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21562" w14:textId="77777777" w:rsidR="00DC164B" w:rsidRPr="00D83EBC" w:rsidRDefault="00DC164B" w:rsidP="00D83EBC">
      <w:pPr>
        <w:rPr>
          <w:lang w:val="en-GB"/>
        </w:rPr>
      </w:pPr>
    </w:p>
    <w:p w14:paraId="2CEB36F5" w14:textId="77777777" w:rsidR="00DC164B" w:rsidRPr="008F56D3" w:rsidRDefault="00DC164B" w:rsidP="00FB770D">
      <w:pPr>
        <w:jc w:val="center"/>
        <w:rPr>
          <w:sz w:val="18"/>
          <w:szCs w:val="18"/>
        </w:rPr>
      </w:pPr>
      <w:r>
        <w:rPr>
          <w:rStyle w:val="s4f807e54"/>
          <w:rFonts w:ascii="Arial" w:hAnsi="Arial" w:cs="Arial"/>
          <w:sz w:val="18"/>
          <w:szCs w:val="18"/>
        </w:rPr>
        <w:t>© Copyright for the Polish translation by Naczelny Sąd Administracyjny, Warszawa 2018</w:t>
      </w:r>
    </w:p>
    <w:p w14:paraId="56A80D20" w14:textId="77777777" w:rsidR="00DC164B" w:rsidRPr="008F56D3" w:rsidRDefault="00DC164B" w:rsidP="00FB770D">
      <w:pPr>
        <w:jc w:val="center"/>
      </w:pPr>
    </w:p>
    <w:p w14:paraId="080C6057" w14:textId="77777777" w:rsidR="00DC164B" w:rsidRPr="00FB770D" w:rsidRDefault="00DC164B" w:rsidP="00FB770D">
      <w:pPr>
        <w:jc w:val="center"/>
      </w:pPr>
      <w:r>
        <w:t>EUROPEJSKI TRYBUNAŁ PRAW CZŁOWIEKA</w:t>
      </w:r>
    </w:p>
    <w:p w14:paraId="5DD8A9AB" w14:textId="77777777" w:rsidR="00DC164B" w:rsidRPr="00FB770D" w:rsidRDefault="00DC164B" w:rsidP="00FB770D"/>
    <w:p w14:paraId="5BF1EA93" w14:textId="77777777" w:rsidR="00DC164B" w:rsidRPr="00FB770D" w:rsidRDefault="00DC164B" w:rsidP="00D83EBC">
      <w:pPr>
        <w:tabs>
          <w:tab w:val="left" w:pos="5529"/>
        </w:tabs>
        <w:jc w:val="center"/>
      </w:pPr>
      <w:r>
        <w:t>WIELKA IZBA</w:t>
      </w:r>
    </w:p>
    <w:p w14:paraId="6AC0E0FE" w14:textId="77777777" w:rsidR="00DC164B" w:rsidRPr="00FB770D" w:rsidRDefault="00DC164B" w:rsidP="00D83EBC">
      <w:pPr>
        <w:jc w:val="center"/>
      </w:pPr>
    </w:p>
    <w:p w14:paraId="04845714" w14:textId="77777777" w:rsidR="00DC164B" w:rsidRPr="00FB770D" w:rsidRDefault="00DC164B" w:rsidP="00D83EBC">
      <w:pPr>
        <w:jc w:val="center"/>
      </w:pPr>
    </w:p>
    <w:p w14:paraId="640D55D5" w14:textId="77777777" w:rsidR="00DC164B" w:rsidRPr="00FB770D" w:rsidRDefault="00DC164B" w:rsidP="00D83EBC">
      <w:pPr>
        <w:jc w:val="center"/>
      </w:pPr>
    </w:p>
    <w:p w14:paraId="6EA2B5BA" w14:textId="77777777" w:rsidR="00DC164B" w:rsidRPr="00FB770D" w:rsidRDefault="00DC164B" w:rsidP="00D83EBC">
      <w:pPr>
        <w:jc w:val="center"/>
      </w:pPr>
    </w:p>
    <w:p w14:paraId="7322893E" w14:textId="77777777" w:rsidR="00DC164B" w:rsidRPr="00FB770D" w:rsidRDefault="00DC164B" w:rsidP="00D83EBC">
      <w:pPr>
        <w:jc w:val="center"/>
      </w:pPr>
    </w:p>
    <w:p w14:paraId="0EF8064A" w14:textId="77777777" w:rsidR="00DC164B" w:rsidRPr="00FB770D" w:rsidRDefault="00DC164B" w:rsidP="00D83EBC">
      <w:pPr>
        <w:jc w:val="center"/>
      </w:pPr>
    </w:p>
    <w:p w14:paraId="5C15F49C" w14:textId="77777777" w:rsidR="00DC164B" w:rsidRPr="00FB770D" w:rsidRDefault="00DC164B" w:rsidP="00D83EBC">
      <w:pPr>
        <w:jc w:val="center"/>
      </w:pPr>
    </w:p>
    <w:p w14:paraId="5155F98F" w14:textId="77777777" w:rsidR="00DC164B" w:rsidRPr="00FB770D" w:rsidRDefault="00DC164B" w:rsidP="00D83EBC">
      <w:pPr>
        <w:jc w:val="center"/>
        <w:rPr>
          <w:b/>
          <w:bCs/>
        </w:rPr>
      </w:pPr>
      <w:bookmarkStart w:id="0" w:name="To"/>
      <w:r>
        <w:rPr>
          <w:b/>
          <w:bCs/>
        </w:rPr>
        <w:t xml:space="preserve">SPRAWA </w:t>
      </w:r>
      <w:bookmarkEnd w:id="0"/>
      <w:r>
        <w:rPr>
          <w:b/>
          <w:bCs/>
        </w:rPr>
        <w:t>REGNER przeciwko REPUBLICE CZESKIEJ</w:t>
      </w:r>
    </w:p>
    <w:p w14:paraId="6A53CA93" w14:textId="77777777" w:rsidR="00DC164B" w:rsidRPr="00FB770D" w:rsidRDefault="00DC164B" w:rsidP="00D83EBC">
      <w:pPr>
        <w:jc w:val="center"/>
      </w:pPr>
    </w:p>
    <w:p w14:paraId="2B8F4B43" w14:textId="77777777" w:rsidR="00DC164B" w:rsidRPr="00FB770D" w:rsidRDefault="00DC164B" w:rsidP="00D83EBC">
      <w:pPr>
        <w:jc w:val="center"/>
        <w:rPr>
          <w:i/>
          <w:iCs/>
        </w:rPr>
      </w:pPr>
      <w:r>
        <w:rPr>
          <w:i/>
          <w:iCs/>
        </w:rPr>
        <w:t>(Skarga nr 35289/11)</w:t>
      </w:r>
    </w:p>
    <w:p w14:paraId="3347055C" w14:textId="77777777" w:rsidR="00DC164B" w:rsidRPr="00FB770D" w:rsidRDefault="00DC164B" w:rsidP="00D83EBC">
      <w:pPr>
        <w:jc w:val="center"/>
      </w:pPr>
    </w:p>
    <w:p w14:paraId="46A560DB" w14:textId="77777777" w:rsidR="00DC164B" w:rsidRPr="00FB770D" w:rsidRDefault="00DC164B" w:rsidP="00D83EBC">
      <w:pPr>
        <w:jc w:val="center"/>
      </w:pPr>
    </w:p>
    <w:p w14:paraId="51818182" w14:textId="77777777" w:rsidR="00DC164B" w:rsidRPr="00FB770D" w:rsidRDefault="00DC164B" w:rsidP="00D83EBC">
      <w:pPr>
        <w:jc w:val="center"/>
      </w:pPr>
    </w:p>
    <w:p w14:paraId="70522ACB" w14:textId="77777777" w:rsidR="00DC164B" w:rsidRPr="00FB770D" w:rsidRDefault="00DC164B" w:rsidP="00D83EBC">
      <w:pPr>
        <w:jc w:val="center"/>
      </w:pPr>
    </w:p>
    <w:p w14:paraId="1B40B465" w14:textId="77777777" w:rsidR="00DC164B" w:rsidRPr="00FB770D" w:rsidRDefault="00DC164B" w:rsidP="00D83EBC">
      <w:pPr>
        <w:jc w:val="center"/>
      </w:pPr>
    </w:p>
    <w:p w14:paraId="1C5549E8" w14:textId="77777777" w:rsidR="00DC164B" w:rsidRPr="00FB770D" w:rsidRDefault="00DC164B" w:rsidP="00D83EBC">
      <w:pPr>
        <w:jc w:val="center"/>
      </w:pPr>
    </w:p>
    <w:p w14:paraId="0F00FA23" w14:textId="77777777" w:rsidR="00DC164B" w:rsidRPr="00FB770D" w:rsidRDefault="00DC164B" w:rsidP="00D83EBC">
      <w:pPr>
        <w:jc w:val="center"/>
      </w:pPr>
    </w:p>
    <w:p w14:paraId="3388D4AD" w14:textId="77777777" w:rsidR="00DC164B" w:rsidRPr="00FB770D" w:rsidRDefault="00DC164B" w:rsidP="00D83EBC">
      <w:pPr>
        <w:jc w:val="center"/>
      </w:pPr>
    </w:p>
    <w:p w14:paraId="2353C106" w14:textId="77777777" w:rsidR="00DC164B" w:rsidRPr="00FB770D" w:rsidRDefault="00DC164B" w:rsidP="00D83EBC">
      <w:pPr>
        <w:jc w:val="center"/>
      </w:pPr>
    </w:p>
    <w:p w14:paraId="5F20C44A" w14:textId="77777777" w:rsidR="00DC164B" w:rsidRPr="00FB770D" w:rsidRDefault="00DC164B" w:rsidP="00D83EBC">
      <w:pPr>
        <w:jc w:val="center"/>
      </w:pPr>
    </w:p>
    <w:p w14:paraId="0717452B" w14:textId="77777777" w:rsidR="00DC164B" w:rsidRPr="00FB770D" w:rsidRDefault="00DC164B" w:rsidP="00D83EBC">
      <w:pPr>
        <w:jc w:val="center"/>
      </w:pPr>
      <w:r>
        <w:t>WYROK</w:t>
      </w:r>
    </w:p>
    <w:p w14:paraId="22C546E2" w14:textId="77777777" w:rsidR="00DC164B" w:rsidRPr="004C3588" w:rsidRDefault="004C3588" w:rsidP="00D83EBC">
      <w:pPr>
        <w:jc w:val="center"/>
        <w:rPr>
          <w:iCs/>
        </w:rPr>
      </w:pPr>
      <w:r w:rsidRPr="004C3588">
        <w:rPr>
          <w:iCs/>
        </w:rPr>
        <w:t>[wyciąg]</w:t>
      </w:r>
    </w:p>
    <w:p w14:paraId="053D11CA" w14:textId="77777777" w:rsidR="00DC164B" w:rsidRPr="00FB770D" w:rsidRDefault="00DC164B" w:rsidP="00D83EBC">
      <w:pPr>
        <w:jc w:val="center"/>
      </w:pPr>
    </w:p>
    <w:p w14:paraId="12E02304" w14:textId="77777777" w:rsidR="00DC164B" w:rsidRPr="00FB770D" w:rsidRDefault="00DC164B" w:rsidP="00D83EBC">
      <w:pPr>
        <w:jc w:val="center"/>
      </w:pPr>
      <w:r>
        <w:t>STRASBURG</w:t>
      </w:r>
    </w:p>
    <w:p w14:paraId="3BABFF82" w14:textId="77777777" w:rsidR="00DC164B" w:rsidRPr="00FB770D" w:rsidRDefault="00DC164B" w:rsidP="00D83EBC">
      <w:pPr>
        <w:jc w:val="center"/>
      </w:pPr>
    </w:p>
    <w:p w14:paraId="5075FAC3" w14:textId="77777777" w:rsidR="00DC164B" w:rsidRPr="00FB770D" w:rsidRDefault="00DC164B" w:rsidP="00D83EBC">
      <w:pPr>
        <w:jc w:val="center"/>
      </w:pPr>
      <w:r>
        <w:t>19 września 2017</w:t>
      </w:r>
      <w:r w:rsidR="008D2ECE">
        <w:t xml:space="preserve"> r.</w:t>
      </w:r>
    </w:p>
    <w:p w14:paraId="5921F131" w14:textId="77777777" w:rsidR="00DC164B" w:rsidRPr="00FB770D" w:rsidRDefault="00DC164B" w:rsidP="00D83EBC">
      <w:pPr>
        <w:jc w:val="center"/>
      </w:pPr>
    </w:p>
    <w:p w14:paraId="062EC34A" w14:textId="77777777" w:rsidR="00DC164B" w:rsidRPr="00FB770D" w:rsidRDefault="00DC164B" w:rsidP="00D83EBC">
      <w:pPr>
        <w:jc w:val="center"/>
      </w:pPr>
    </w:p>
    <w:p w14:paraId="4B06A33B" w14:textId="77777777" w:rsidR="00DC164B" w:rsidRPr="00FB770D" w:rsidRDefault="00DC164B" w:rsidP="00D83EBC">
      <w:pPr>
        <w:jc w:val="center"/>
      </w:pPr>
    </w:p>
    <w:p w14:paraId="58B0F4DC" w14:textId="77777777" w:rsidR="00DC164B" w:rsidRPr="008D2ECE" w:rsidRDefault="00DC164B" w:rsidP="0090700F">
      <w:pPr>
        <w:rPr>
          <w:rFonts w:eastAsiaTheme="minorEastAsia"/>
          <w:i/>
          <w:sz w:val="22"/>
          <w:szCs w:val="22"/>
        </w:rPr>
      </w:pPr>
      <w:r w:rsidRPr="008D2ECE">
        <w:rPr>
          <w:rFonts w:eastAsiaTheme="minorEastAsia"/>
          <w:i/>
          <w:sz w:val="22"/>
          <w:szCs w:val="22"/>
        </w:rPr>
        <w:t>Niniejszy wyrok jest ostateczny, ale może podlegać korekcie wydawniczej.</w:t>
      </w:r>
    </w:p>
    <w:p w14:paraId="17AE8161" w14:textId="77777777" w:rsidR="008D2ECE" w:rsidRPr="008D2ECE" w:rsidRDefault="008D2ECE" w:rsidP="0090700F">
      <w:pPr>
        <w:rPr>
          <w:rFonts w:eastAsiaTheme="minorEastAsia"/>
          <w:i/>
          <w:sz w:val="22"/>
          <w:szCs w:val="22"/>
        </w:rPr>
      </w:pPr>
    </w:p>
    <w:p w14:paraId="1CA61778" w14:textId="77777777" w:rsidR="008D2ECE" w:rsidRPr="00B8608B" w:rsidRDefault="008D2ECE" w:rsidP="0090700F">
      <w:pPr>
        <w:rPr>
          <w:rFonts w:eastAsiaTheme="minorEastAsia"/>
          <w:i/>
          <w:sz w:val="22"/>
          <w:szCs w:val="22"/>
        </w:rPr>
      </w:pPr>
    </w:p>
    <w:p w14:paraId="2ADF1709" w14:textId="77777777" w:rsidR="00DC164B" w:rsidRPr="00FB770D" w:rsidRDefault="00DC164B" w:rsidP="00FB770D">
      <w:pPr>
        <w:rPr>
          <w:sz w:val="22"/>
          <w:szCs w:val="22"/>
        </w:rPr>
      </w:pPr>
    </w:p>
    <w:p w14:paraId="4B836FD6" w14:textId="77777777" w:rsidR="00DC164B" w:rsidRPr="00FB770D" w:rsidRDefault="00DC164B" w:rsidP="00D83EBC">
      <w:pPr>
        <w:rPr>
          <w:sz w:val="22"/>
          <w:szCs w:val="22"/>
        </w:rPr>
        <w:sectPr w:rsidR="00DC164B" w:rsidRPr="00FB770D" w:rsidSect="008D2ECE">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code="9"/>
          <w:pgMar w:top="2274" w:right="2274" w:bottom="2274" w:left="2274" w:header="1701" w:footer="708" w:gutter="0"/>
          <w:pgNumType w:start="1"/>
          <w:cols w:space="708"/>
          <w:noEndnote/>
          <w:titlePg/>
          <w:docGrid w:linePitch="326"/>
        </w:sectPr>
      </w:pPr>
    </w:p>
    <w:p w14:paraId="0C664E18" w14:textId="77777777" w:rsidR="00DC164B" w:rsidRPr="00D83EBC" w:rsidRDefault="00DC164B" w:rsidP="00D83EBC">
      <w:pPr>
        <w:pStyle w:val="JuCase"/>
      </w:pPr>
      <w:r>
        <w:lastRenderedPageBreak/>
        <w:t>W sprawie Regner przeciwko Republice Czeskiej,</w:t>
      </w:r>
    </w:p>
    <w:p w14:paraId="4BCEB108" w14:textId="0DB453BA" w:rsidR="00DC164B" w:rsidRPr="00D83EBC" w:rsidRDefault="00DC164B" w:rsidP="00D83EBC">
      <w:pPr>
        <w:pStyle w:val="ECHRPara"/>
      </w:pPr>
      <w:r>
        <w:t>Europejski Trybunał Praw Człowieka, zasiadając jako Wielka Izba w</w:t>
      </w:r>
      <w:r w:rsidR="00510B2D">
        <w:t> </w:t>
      </w:r>
      <w:r>
        <w:t>składzie:</w:t>
      </w:r>
    </w:p>
    <w:p w14:paraId="536A503B" w14:textId="77777777" w:rsidR="00DC164B" w:rsidRPr="00D83EBC" w:rsidRDefault="00DC164B" w:rsidP="00D83EBC">
      <w:pPr>
        <w:pStyle w:val="ECHRDecisionBody"/>
        <w:rPr>
          <w:i/>
          <w:iCs/>
        </w:rPr>
      </w:pPr>
      <w:r>
        <w:tab/>
        <w:t>Guido Raimondi,</w:t>
      </w:r>
      <w:r>
        <w:rPr>
          <w:i/>
          <w:iCs/>
        </w:rPr>
        <w:t xml:space="preserve"> Przewodniczący,</w:t>
      </w:r>
    </w:p>
    <w:p w14:paraId="3094B67C" w14:textId="77777777" w:rsidR="00DC164B" w:rsidRPr="00D83EBC" w:rsidRDefault="00DC164B" w:rsidP="00D83EBC">
      <w:pPr>
        <w:pStyle w:val="ECHRDecisionBody"/>
      </w:pPr>
      <w:r>
        <w:tab/>
        <w:t>Linos-Alexandre Sicilianos</w:t>
      </w:r>
    </w:p>
    <w:p w14:paraId="54297EB9" w14:textId="77777777" w:rsidR="00DC164B" w:rsidRPr="00FB770D" w:rsidRDefault="00DC164B" w:rsidP="00D83EBC">
      <w:pPr>
        <w:pStyle w:val="ECHRDecisionBody"/>
      </w:pPr>
      <w:r>
        <w:tab/>
        <w:t>Robert Spano</w:t>
      </w:r>
    </w:p>
    <w:p w14:paraId="56EF6A94" w14:textId="77777777" w:rsidR="00DC164B" w:rsidRPr="00FB770D" w:rsidRDefault="00DC164B" w:rsidP="00D83EBC">
      <w:pPr>
        <w:pStyle w:val="ECHRDecisionBody"/>
        <w:ind w:left="567"/>
      </w:pPr>
      <w:r>
        <w:t>Mirjana Lazarova Trajkovska</w:t>
      </w:r>
    </w:p>
    <w:p w14:paraId="39D894C5" w14:textId="77777777" w:rsidR="00DC164B" w:rsidRPr="00FB770D" w:rsidRDefault="00DC164B" w:rsidP="00D83EBC">
      <w:pPr>
        <w:pStyle w:val="ECHRDecisionBody"/>
        <w:ind w:left="567"/>
      </w:pPr>
      <w:r>
        <w:t>Khanlar Hajiyev</w:t>
      </w:r>
    </w:p>
    <w:p w14:paraId="44D01DB6" w14:textId="77777777" w:rsidR="00DC164B" w:rsidRPr="00FB770D" w:rsidRDefault="00DC164B" w:rsidP="00D83EBC">
      <w:pPr>
        <w:pStyle w:val="ECHRDecisionBody"/>
        <w:ind w:left="567"/>
      </w:pPr>
      <w:r>
        <w:t>Luis López Guerra</w:t>
      </w:r>
    </w:p>
    <w:p w14:paraId="7F10A847" w14:textId="77777777" w:rsidR="00DC164B" w:rsidRPr="00FB770D" w:rsidRDefault="00DC164B" w:rsidP="00D83EBC">
      <w:pPr>
        <w:pStyle w:val="ECHRDecisionBody"/>
        <w:ind w:left="567"/>
      </w:pPr>
      <w:r>
        <w:t>András Sajó</w:t>
      </w:r>
    </w:p>
    <w:p w14:paraId="3D14B1D7" w14:textId="77777777" w:rsidR="00DC164B" w:rsidRPr="00FB770D" w:rsidRDefault="00DC164B" w:rsidP="00D83EBC">
      <w:pPr>
        <w:pStyle w:val="ECHRDecisionBody"/>
        <w:ind w:left="567"/>
      </w:pPr>
      <w:r>
        <w:t>Işıl Karakaş</w:t>
      </w:r>
    </w:p>
    <w:p w14:paraId="5DF75D4B" w14:textId="77777777" w:rsidR="00DC164B" w:rsidRPr="00FB770D" w:rsidRDefault="00DC164B" w:rsidP="00D83EBC">
      <w:pPr>
        <w:pStyle w:val="ECHRDecisionBody"/>
        <w:ind w:left="567"/>
      </w:pPr>
      <w:r>
        <w:t>Erik Møse</w:t>
      </w:r>
    </w:p>
    <w:p w14:paraId="75C2FE6E" w14:textId="77777777" w:rsidR="00DC164B" w:rsidRPr="00FB770D" w:rsidRDefault="00DC164B" w:rsidP="00D83EBC">
      <w:pPr>
        <w:pStyle w:val="ECHRDecisionBody"/>
        <w:ind w:left="567"/>
      </w:pPr>
      <w:r>
        <w:t>Aleš Pejchal</w:t>
      </w:r>
    </w:p>
    <w:p w14:paraId="54A7A949" w14:textId="77777777" w:rsidR="00DC164B" w:rsidRPr="00FB770D" w:rsidRDefault="00DC164B" w:rsidP="00D83EBC">
      <w:pPr>
        <w:pStyle w:val="ECHRDecisionBody"/>
        <w:ind w:left="567"/>
      </w:pPr>
      <w:r>
        <w:t>Krzysztof Wojtyczek</w:t>
      </w:r>
    </w:p>
    <w:p w14:paraId="3F1641F1" w14:textId="77777777" w:rsidR="00DC164B" w:rsidRPr="00FB770D" w:rsidRDefault="00DC164B" w:rsidP="00D83EBC">
      <w:pPr>
        <w:pStyle w:val="ECHRDecisionBody"/>
        <w:ind w:left="567"/>
      </w:pPr>
      <w:r>
        <w:t>Egidijus Kūris</w:t>
      </w:r>
    </w:p>
    <w:p w14:paraId="53EC8E05" w14:textId="77777777" w:rsidR="00DC164B" w:rsidRPr="00FB770D" w:rsidRDefault="00DC164B" w:rsidP="00D83EBC">
      <w:pPr>
        <w:pStyle w:val="ECHRDecisionBody"/>
        <w:ind w:left="567"/>
      </w:pPr>
      <w:r>
        <w:t>Mārtiņš Mits</w:t>
      </w:r>
    </w:p>
    <w:p w14:paraId="35113CFE" w14:textId="77777777" w:rsidR="00DC164B" w:rsidRPr="00A031E9" w:rsidRDefault="00DC164B" w:rsidP="00D83EBC">
      <w:pPr>
        <w:pStyle w:val="ECHRDecisionBody"/>
        <w:ind w:left="567"/>
        <w:rPr>
          <w:lang w:val="sv-SE"/>
        </w:rPr>
      </w:pPr>
      <w:r w:rsidRPr="00A031E9">
        <w:rPr>
          <w:lang w:val="sv-SE"/>
        </w:rPr>
        <w:t>Georges Ravarani</w:t>
      </w:r>
    </w:p>
    <w:p w14:paraId="715DBAAE" w14:textId="77777777" w:rsidR="00DC164B" w:rsidRPr="00A031E9" w:rsidRDefault="00DC164B" w:rsidP="00D83EBC">
      <w:pPr>
        <w:pStyle w:val="ECHRDecisionBody"/>
        <w:ind w:left="567"/>
        <w:rPr>
          <w:lang w:val="sv-SE"/>
        </w:rPr>
      </w:pPr>
      <w:r w:rsidRPr="00A031E9">
        <w:rPr>
          <w:lang w:val="sv-SE"/>
        </w:rPr>
        <w:t>Pere Pastor Vilanova</w:t>
      </w:r>
    </w:p>
    <w:p w14:paraId="33CFA052" w14:textId="77777777" w:rsidR="00DC164B" w:rsidRPr="00A031E9" w:rsidRDefault="00DC164B" w:rsidP="00D83EBC">
      <w:pPr>
        <w:pStyle w:val="ECHRDecisionBody"/>
        <w:ind w:left="567"/>
        <w:rPr>
          <w:lang w:val="sv-SE"/>
        </w:rPr>
      </w:pPr>
      <w:r w:rsidRPr="00A031E9">
        <w:rPr>
          <w:lang w:val="sv-SE"/>
        </w:rPr>
        <w:t>Alena Poláčková</w:t>
      </w:r>
    </w:p>
    <w:p w14:paraId="3F462E0D" w14:textId="77777777" w:rsidR="00DC164B" w:rsidRPr="00D83EBC" w:rsidRDefault="00DC164B" w:rsidP="00D83EBC">
      <w:pPr>
        <w:pStyle w:val="ECHRDecisionBody"/>
        <w:ind w:left="567"/>
        <w:rPr>
          <w:i/>
          <w:iCs/>
        </w:rPr>
      </w:pPr>
      <w:r>
        <w:t>Georgios Serghides,</w:t>
      </w:r>
      <w:r>
        <w:rPr>
          <w:i/>
          <w:iCs/>
        </w:rPr>
        <w:t xml:space="preserve"> sędziowie,</w:t>
      </w:r>
    </w:p>
    <w:p w14:paraId="02616E69" w14:textId="77777777" w:rsidR="00DC164B" w:rsidRPr="00D83EBC" w:rsidRDefault="00DC164B" w:rsidP="00D83EBC">
      <w:pPr>
        <w:pStyle w:val="ECHRDecisionBody"/>
      </w:pPr>
      <w:r>
        <w:t xml:space="preserve">oraz Johan Callewaert, </w:t>
      </w:r>
      <w:r>
        <w:rPr>
          <w:i/>
          <w:iCs/>
        </w:rPr>
        <w:t>Zastępca Kanclerza Wielkiej Izby,</w:t>
      </w:r>
    </w:p>
    <w:p w14:paraId="6ED562C5" w14:textId="4EC2384F" w:rsidR="00DC164B" w:rsidRPr="00D83EBC" w:rsidRDefault="0090700F" w:rsidP="00D83EBC">
      <w:pPr>
        <w:pStyle w:val="ECHRPara"/>
      </w:pPr>
      <w:r>
        <w:t>po obradach</w:t>
      </w:r>
      <w:r w:rsidR="00DC164B">
        <w:t xml:space="preserve"> na posiedzeniach </w:t>
      </w:r>
      <w:r>
        <w:t xml:space="preserve">niejawnych </w:t>
      </w:r>
      <w:r w:rsidR="00DC164B">
        <w:t>w dniach 19 października 2016 i 10 maja 2017 r.,</w:t>
      </w:r>
    </w:p>
    <w:p w14:paraId="0B3B1B5B" w14:textId="0BF7034C" w:rsidR="00DC164B" w:rsidRPr="00D83EBC" w:rsidRDefault="00DC164B" w:rsidP="00D83EBC">
      <w:pPr>
        <w:pStyle w:val="ECHRPara"/>
      </w:pPr>
      <w:r>
        <w:t>wydaje następujący wyrok, który został przyjęty w drugiej z</w:t>
      </w:r>
      <w:r w:rsidR="00510B2D">
        <w:t> </w:t>
      </w:r>
      <w:r>
        <w:t>wymienionych dat:</w:t>
      </w:r>
    </w:p>
    <w:p w14:paraId="759518F2" w14:textId="77777777" w:rsidR="00DC164B" w:rsidRPr="008F56D3" w:rsidRDefault="00DC164B" w:rsidP="00D83EBC">
      <w:pPr>
        <w:pStyle w:val="ECHRTitle1"/>
      </w:pPr>
      <w:r>
        <w:t>POSTĘPOWANIE</w:t>
      </w:r>
    </w:p>
    <w:p w14:paraId="73EAE02A" w14:textId="77777777" w:rsidR="00DC164B" w:rsidRPr="008F56D3" w:rsidRDefault="00DC164B" w:rsidP="0032129D">
      <w:pPr>
        <w:pStyle w:val="ECHRPara"/>
        <w:ind w:firstLine="0"/>
      </w:pPr>
      <w:r>
        <w:rPr>
          <w:i/>
          <w:iCs/>
        </w:rPr>
        <w:t>[Paragrafy 1- 8 wyroku pominięto]</w:t>
      </w:r>
    </w:p>
    <w:p w14:paraId="14A6ACF6" w14:textId="77777777" w:rsidR="00DC164B" w:rsidRPr="00D83EBC" w:rsidRDefault="00DC164B" w:rsidP="00D83EBC">
      <w:pPr>
        <w:pStyle w:val="ECHRPara"/>
        <w:rPr>
          <w:lang w:val="cs-CZ" w:eastAsia="x-none"/>
        </w:rPr>
      </w:pPr>
    </w:p>
    <w:p w14:paraId="59461D07" w14:textId="77777777" w:rsidR="00DC164B" w:rsidRPr="008F56D3" w:rsidRDefault="00DC164B" w:rsidP="005F51FA">
      <w:pPr>
        <w:pStyle w:val="ECHRTitle1"/>
        <w:spacing w:before="240"/>
      </w:pPr>
      <w:r>
        <w:t>FAKTY</w:t>
      </w:r>
    </w:p>
    <w:p w14:paraId="71D47034" w14:textId="77777777" w:rsidR="00DC164B" w:rsidRDefault="00DC164B" w:rsidP="001E7FA6">
      <w:pPr>
        <w:pStyle w:val="ECHRPara"/>
        <w:ind w:firstLine="0"/>
        <w:rPr>
          <w:i/>
          <w:iCs/>
        </w:rPr>
      </w:pPr>
      <w:r>
        <w:rPr>
          <w:i/>
          <w:iCs/>
        </w:rPr>
        <w:t>[Paragrafy 9-72 wyroku pominięte i zastąpione tłumaczeniem poniższego streszczenia przygotowanego przez Kancelarię Europejskiego Trybunału Praw Człowieka</w:t>
      </w:r>
    </w:p>
    <w:p w14:paraId="6B170D98" w14:textId="77777777" w:rsidR="00643FDA" w:rsidRDefault="00643FDA" w:rsidP="001E7FA6">
      <w:pPr>
        <w:pStyle w:val="ECHRPara"/>
        <w:ind w:firstLine="0"/>
        <w:rPr>
          <w:i/>
          <w:iCs/>
        </w:rPr>
      </w:pPr>
    </w:p>
    <w:p w14:paraId="7DE172D9" w14:textId="77777777" w:rsidR="00DC164B" w:rsidRPr="00185AE1" w:rsidRDefault="00DC164B" w:rsidP="001E7FA6">
      <w:pPr>
        <w:pStyle w:val="ECHRPara"/>
        <w:ind w:firstLine="0"/>
        <w:rPr>
          <w:i/>
          <w:iCs/>
        </w:rPr>
      </w:pPr>
    </w:p>
    <w:p w14:paraId="4CFFE7B1" w14:textId="77777777" w:rsidR="00DC164B" w:rsidRPr="001E7FA6" w:rsidRDefault="00DC164B" w:rsidP="001E7FA6">
      <w:pPr>
        <w:pStyle w:val="ECHRPara"/>
      </w:pPr>
      <w:r w:rsidRPr="000A2840">
        <w:rPr>
          <w:i/>
          <w:iCs/>
          <w:u w:val="single"/>
        </w:rPr>
        <w:lastRenderedPageBreak/>
        <w:t>Streszczenie stanu faktycznego</w:t>
      </w:r>
      <w:r w:rsidRPr="000A2840">
        <w:rPr>
          <w:rStyle w:val="Odwoanieprzypisudolnego"/>
          <w:i/>
          <w:iCs/>
          <w:u w:val="single"/>
        </w:rPr>
        <w:footnoteReference w:id="2"/>
      </w:r>
      <w:r w:rsidRPr="000A2840">
        <w:rPr>
          <w:u w:val="single"/>
        </w:rPr>
        <w:t>:</w:t>
      </w:r>
    </w:p>
    <w:p w14:paraId="10684AB2" w14:textId="3D155F1B" w:rsidR="00DC164B" w:rsidRPr="001E7FA6" w:rsidRDefault="00DC164B" w:rsidP="001E7FA6">
      <w:pPr>
        <w:autoSpaceDE w:val="0"/>
        <w:autoSpaceDN w:val="0"/>
        <w:adjustRightInd w:val="0"/>
        <w:ind w:firstLine="284"/>
        <w:rPr>
          <w:rFonts w:eastAsia="Times New Roman"/>
        </w:rPr>
      </w:pPr>
      <w:r>
        <w:t>We wrześniu 2006 r. Urząd Bezpieczeństwa Narodowego zdecydował o</w:t>
      </w:r>
      <w:r w:rsidR="00510B2D">
        <w:t> </w:t>
      </w:r>
      <w:r>
        <w:t>cofnięciu poświadczenia bezpieczeństwa</w:t>
      </w:r>
      <w:r w:rsidR="00E97F72">
        <w:t xml:space="preserve"> skarżącego</w:t>
      </w:r>
      <w:bookmarkStart w:id="1" w:name="_GoBack"/>
      <w:bookmarkEnd w:id="1"/>
      <w:r>
        <w:t xml:space="preserve">, </w:t>
      </w:r>
      <w:r w:rsidRPr="0090700F">
        <w:t>umożliwiając</w:t>
      </w:r>
      <w:r w:rsidR="0090700F" w:rsidRPr="0090700F">
        <w:t>ego</w:t>
      </w:r>
      <w:r w:rsidRPr="0090700F">
        <w:t xml:space="preserve"> mu pełnienie stanowiska zastępcy pierwszego wiceministra obrony, uzasadniając to faktem, że stanowił zagrożenie dla bezpieczeństwa narodowego. Decyzja ta nie wskazywała jednak, na jakich informacjach poufnych się opierała, jako że oznaczone były jako „zastrzeżone” i nie</w:t>
      </w:r>
      <w:r>
        <w:t xml:space="preserve"> mogły zatem, zgodnie z prawem, być ujawnione skarżącemu.</w:t>
      </w:r>
    </w:p>
    <w:p w14:paraId="0C063688" w14:textId="638E53B9" w:rsidR="00DC164B" w:rsidRPr="001E7FA6" w:rsidRDefault="0090700F" w:rsidP="001E7FA6">
      <w:pPr>
        <w:autoSpaceDE w:val="0"/>
        <w:autoSpaceDN w:val="0"/>
        <w:adjustRightInd w:val="0"/>
        <w:ind w:firstLine="720"/>
        <w:rPr>
          <w:rFonts w:eastAsia="Times New Roman"/>
        </w:rPr>
      </w:pPr>
      <w:r>
        <w:t>Wskutek odwołania skarżącego</w:t>
      </w:r>
      <w:r w:rsidR="00DC164B">
        <w:t xml:space="preserve"> dyrektor </w:t>
      </w:r>
      <w:r w:rsidR="00425781">
        <w:t>Urzędu</w:t>
      </w:r>
      <w:r w:rsidR="00DC164B">
        <w:t xml:space="preserve"> potwierdził istnienie zagrożenia. Następnie wniosek złożony przez skarżącego o sądową </w:t>
      </w:r>
      <w:r w:rsidR="00CA4EFE">
        <w:t>kontrolę</w:t>
      </w:r>
      <w:r w:rsidR="00DC164B">
        <w:t xml:space="preserve"> decyzji został odrzucony przez Sąd Miejski, do którego przedmiotowe dokumenty zostały przekazane przez Urząd. Skarżącemu i</w:t>
      </w:r>
      <w:r w:rsidR="00510B2D">
        <w:t> </w:t>
      </w:r>
      <w:r w:rsidR="00DC164B">
        <w:t>jego pełnomocnikowi nie pozwolono na zapoznanie się z nimi. Kolejne odwołania składane przez skarżącego były nieskuteczne.</w:t>
      </w:r>
    </w:p>
    <w:p w14:paraId="6566A4CB" w14:textId="2B773CD2" w:rsidR="00DC164B" w:rsidRPr="001E7FA6" w:rsidRDefault="00DC164B" w:rsidP="001E7FA6">
      <w:pPr>
        <w:autoSpaceDE w:val="0"/>
        <w:autoSpaceDN w:val="0"/>
        <w:adjustRightInd w:val="0"/>
        <w:ind w:firstLine="720"/>
        <w:rPr>
          <w:rFonts w:eastAsia="Times New Roman"/>
        </w:rPr>
      </w:pPr>
      <w:r>
        <w:t xml:space="preserve">Na podstawie </w:t>
      </w:r>
      <w:r w:rsidR="00307B53">
        <w:t>art.</w:t>
      </w:r>
      <w:r>
        <w:t xml:space="preserve"> 6 ust. 1 Konwencji</w:t>
      </w:r>
      <w:r w:rsidR="00897F4A">
        <w:t xml:space="preserve"> </w:t>
      </w:r>
      <w:r w:rsidR="00897F4A">
        <w:rPr>
          <w:rStyle w:val="tlid-translation"/>
        </w:rPr>
        <w:t>[o ochronie praw człowieka i</w:t>
      </w:r>
      <w:r w:rsidR="00510B2D">
        <w:rPr>
          <w:rStyle w:val="tlid-translation"/>
        </w:rPr>
        <w:t> </w:t>
      </w:r>
      <w:r w:rsidR="00897F4A">
        <w:rPr>
          <w:rStyle w:val="tlid-translation"/>
        </w:rPr>
        <w:t>podstawowych wolności]</w:t>
      </w:r>
      <w:r>
        <w:t xml:space="preserve"> skarżący skarżył się, że postępowanie administracyjne było nie</w:t>
      </w:r>
      <w:r w:rsidR="0090700F">
        <w:t>rzetelne</w:t>
      </w:r>
      <w:r>
        <w:t>, ponieważ nie miał wglądu w</w:t>
      </w:r>
      <w:r w:rsidR="00510B2D">
        <w:t> </w:t>
      </w:r>
      <w:r>
        <w:t xml:space="preserve">rozstrzygające dowody, oznaczone jako </w:t>
      </w:r>
      <w:r w:rsidRPr="0090700F">
        <w:t>informacje poufne,</w:t>
      </w:r>
      <w:r>
        <w:t xml:space="preserve"> które zostały udostępnione sądom przez pozwanego.</w:t>
      </w:r>
    </w:p>
    <w:p w14:paraId="2DCCF217" w14:textId="2AC4167D" w:rsidR="00DC164B" w:rsidRPr="001E7FA6" w:rsidRDefault="00DC164B" w:rsidP="001E7FA6">
      <w:pPr>
        <w:autoSpaceDE w:val="0"/>
        <w:autoSpaceDN w:val="0"/>
        <w:adjustRightInd w:val="0"/>
        <w:ind w:firstLine="720"/>
        <w:rPr>
          <w:rFonts w:eastAsia="Times New Roman"/>
        </w:rPr>
      </w:pPr>
      <w:r>
        <w:t xml:space="preserve">W wyroku z dnia 26 listopada 2015 r. Izba Trybunału jednogłośnie uznała, że nie doszło do naruszenia </w:t>
      </w:r>
      <w:r w:rsidR="00307B53">
        <w:t>art.</w:t>
      </w:r>
      <w:r>
        <w:t xml:space="preserve"> 6 ust. 1 Konwencji, stwierdzając, że</w:t>
      </w:r>
      <w:r w:rsidR="00510B2D">
        <w:t> </w:t>
      </w:r>
      <w:r>
        <w:t>procedura decyzyjna w najszerszym możliwym zakresie była zgodna z</w:t>
      </w:r>
      <w:r w:rsidR="00510B2D">
        <w:t> </w:t>
      </w:r>
      <w:r>
        <w:t>wymogami postępowania kontradyktoryjnego i równości stron oraz oferowała stosowne zabezpieczenia celem ochrony interesów skarżącego.</w:t>
      </w:r>
    </w:p>
    <w:p w14:paraId="2A7016E0" w14:textId="678A93CD" w:rsidR="00DC164B" w:rsidRPr="001E7FA6" w:rsidRDefault="0090700F" w:rsidP="001E7FA6">
      <w:pPr>
        <w:autoSpaceDE w:val="0"/>
        <w:autoSpaceDN w:val="0"/>
        <w:adjustRightInd w:val="0"/>
        <w:ind w:firstLine="284"/>
        <w:rPr>
          <w:rFonts w:eastAsia="Times New Roman"/>
        </w:rPr>
      </w:pPr>
      <w:r>
        <w:t>W dniu 2 maja 2016 r. sprawa została przekazana</w:t>
      </w:r>
      <w:r w:rsidR="00DC164B">
        <w:t xml:space="preserve"> do Wielkiej Izby na</w:t>
      </w:r>
      <w:r w:rsidR="00510B2D">
        <w:t> </w:t>
      </w:r>
      <w:r w:rsidR="00DC164B">
        <w:t>wniosek skarżącego.]</w:t>
      </w:r>
    </w:p>
    <w:p w14:paraId="292A63E5" w14:textId="77777777" w:rsidR="00DC164B" w:rsidRDefault="00DC164B" w:rsidP="00D50D1E">
      <w:pPr>
        <w:pStyle w:val="ECHRTitle1"/>
        <w:spacing w:before="0"/>
      </w:pPr>
    </w:p>
    <w:p w14:paraId="5A471DD5" w14:textId="77777777" w:rsidR="00DC164B" w:rsidRPr="00D83EBC" w:rsidRDefault="00DC164B" w:rsidP="00D50D1E">
      <w:pPr>
        <w:pStyle w:val="ECHRTitle1"/>
        <w:spacing w:before="0"/>
      </w:pPr>
      <w:r w:rsidRPr="00D50D1E">
        <w:t>PRAWO</w:t>
      </w:r>
    </w:p>
    <w:p w14:paraId="755065D1" w14:textId="4A550167" w:rsidR="00DC164B" w:rsidRPr="00D83EBC" w:rsidRDefault="00DC164B" w:rsidP="00D83EBC">
      <w:pPr>
        <w:pStyle w:val="ECHRHeading1"/>
      </w:pPr>
      <w:r>
        <w:t xml:space="preserve">ZARZUT NARUSZENIA </w:t>
      </w:r>
      <w:r w:rsidR="00307B53">
        <w:t>ART.</w:t>
      </w:r>
      <w:r>
        <w:t xml:space="preserve"> 6 UST. 1 KONWENCJI</w:t>
      </w:r>
    </w:p>
    <w:p w14:paraId="285F0348" w14:textId="1DDDE4DD" w:rsidR="00DC164B" w:rsidRPr="00D83EBC" w:rsidRDefault="00425781" w:rsidP="00D83EBC">
      <w:pPr>
        <w:pStyle w:val="ECHRPara"/>
      </w:pPr>
      <w:r>
        <w:t>73</w:t>
      </w:r>
      <w:r w:rsidR="00DC164B">
        <w:t>.</w:t>
      </w:r>
      <w:r>
        <w:t xml:space="preserve"> </w:t>
      </w:r>
      <w:r w:rsidR="00DC164B">
        <w:t xml:space="preserve">Skarżący skarżył się na </w:t>
      </w:r>
      <w:r w:rsidR="00DC164B" w:rsidRPr="00625317">
        <w:t>nie</w:t>
      </w:r>
      <w:r w:rsidR="00111358" w:rsidRPr="00625317">
        <w:t>rzetelność</w:t>
      </w:r>
      <w:r w:rsidR="00DC164B">
        <w:t xml:space="preserve"> postępowania, które zainicjował celem zaskarżenia decyzji o cofnięciu jego poświadczenia bezpieczeństwa. W swoim wniosku podniósł, że sądy administracyjne odmówiły mu dostępu do rozstrzygających dowodów, oznaczonych jako poufne, które zostały im udostępnione przez pozwanego. W tym względzie </w:t>
      </w:r>
      <w:r w:rsidR="00DC164B">
        <w:lastRenderedPageBreak/>
        <w:t xml:space="preserve">opierał się na </w:t>
      </w:r>
      <w:r w:rsidR="00307B53">
        <w:t>art.</w:t>
      </w:r>
      <w:r w:rsidR="00DC164B">
        <w:t xml:space="preserve"> 6 ust. 1 Konwencji, którego stosowny fragment brzmi następująco:</w:t>
      </w:r>
    </w:p>
    <w:p w14:paraId="600D9A7A" w14:textId="63A3A540" w:rsidR="00DC164B" w:rsidRPr="00D83EBC" w:rsidRDefault="00DC164B" w:rsidP="00D83EBC">
      <w:pPr>
        <w:pStyle w:val="ECHRParaQuote"/>
      </w:pPr>
      <w:r>
        <w:t xml:space="preserve">„Każdy ma prawo do sprawiedliwego </w:t>
      </w:r>
      <w:r w:rsidR="009B5A5E">
        <w:t>...</w:t>
      </w:r>
      <w:r w:rsidR="005F142B">
        <w:t xml:space="preserve"> </w:t>
      </w:r>
      <w:r w:rsidR="009B5A5E">
        <w:t xml:space="preserve"> </w:t>
      </w:r>
      <w:r>
        <w:t>rozpatrzenia jego sprawy ... przez ... sąd ... przy rozstrzyganiu o jego prawach i obowiązkach o charakterze cywilnym ....”</w:t>
      </w:r>
      <w:r w:rsidR="00897F4A">
        <w:t>.</w:t>
      </w:r>
    </w:p>
    <w:p w14:paraId="04EC1271" w14:textId="77777777" w:rsidR="00DC164B" w:rsidRPr="00D833FA" w:rsidRDefault="00DC164B" w:rsidP="00D83EBC">
      <w:pPr>
        <w:pStyle w:val="ECHRHeading2"/>
        <w:rPr>
          <w:sz w:val="24"/>
        </w:rPr>
      </w:pPr>
      <w:r w:rsidRPr="00D833FA">
        <w:rPr>
          <w:sz w:val="24"/>
        </w:rPr>
        <w:t>A. Wyrok Izby</w:t>
      </w:r>
    </w:p>
    <w:p w14:paraId="6F8C1D8A" w14:textId="4EA12190" w:rsidR="00DC164B" w:rsidRPr="00FB770D" w:rsidRDefault="00425781" w:rsidP="00D83EBC">
      <w:pPr>
        <w:pStyle w:val="ECHRPara"/>
      </w:pPr>
      <w:r>
        <w:t>74</w:t>
      </w:r>
      <w:r w:rsidR="00DC164B">
        <w:t>.</w:t>
      </w:r>
      <w:r>
        <w:t xml:space="preserve"> </w:t>
      </w:r>
      <w:r w:rsidR="00DC164B">
        <w:t>Izba najpierw rozpatrzyła zarzut niedopuszczalności podniesiony przez Rząd na podstawie braku zastosowa</w:t>
      </w:r>
      <w:r w:rsidR="00111358">
        <w:t>lności</w:t>
      </w:r>
      <w:r w:rsidR="00DC164B">
        <w:t xml:space="preserve"> </w:t>
      </w:r>
      <w:r w:rsidR="00307B53">
        <w:t>art.</w:t>
      </w:r>
      <w:r w:rsidR="00DC164B">
        <w:t xml:space="preserve"> 6 Konwencji. Odnotowała w tej kwestii, że prawo czeskie uznaje, iż każdy, komu</w:t>
      </w:r>
      <w:r w:rsidR="00510B2D">
        <w:t> </w:t>
      </w:r>
      <w:r w:rsidR="00DC164B">
        <w:t xml:space="preserve">przyznano poświadczenie bezpieczeństwa, otrzymuje prawo szczególne uprawniające taką osobę do uzyskania </w:t>
      </w:r>
      <w:r w:rsidR="00625317">
        <w:t>kontroli</w:t>
      </w:r>
      <w:r w:rsidR="00DC164B">
        <w:t xml:space="preserve"> późniejszej decyzji anulującej takie poświadczenie</w:t>
      </w:r>
      <w:r w:rsidR="00111358">
        <w:t xml:space="preserve"> w celu</w:t>
      </w:r>
      <w:r w:rsidR="00DC164B">
        <w:t xml:space="preserve"> zapewnienia, że decyzja taka jest uzasadniona zgodnie z ustawowymi kryteriami wydawania poświadczeń (zob. paragraf 53 wyroku).</w:t>
      </w:r>
    </w:p>
    <w:p w14:paraId="6D562294" w14:textId="2B208F96" w:rsidR="00DC164B" w:rsidRPr="00D83EBC" w:rsidRDefault="00425781" w:rsidP="00D83EBC">
      <w:pPr>
        <w:pStyle w:val="ECHRPara"/>
      </w:pPr>
      <w:r>
        <w:t>75</w:t>
      </w:r>
      <w:r w:rsidR="00DC164B">
        <w:t>.</w:t>
      </w:r>
      <w:r>
        <w:t xml:space="preserve"> </w:t>
      </w:r>
      <w:r w:rsidR="00DC164B">
        <w:t xml:space="preserve">W odniesieniu do </w:t>
      </w:r>
      <w:r w:rsidR="008A4B1D">
        <w:t xml:space="preserve">cywilnego </w:t>
      </w:r>
      <w:r w:rsidR="00DC164B">
        <w:t xml:space="preserve">charakteru </w:t>
      </w:r>
      <w:r w:rsidR="008A4B1D">
        <w:t>t</w:t>
      </w:r>
      <w:r w:rsidR="00DC164B">
        <w:t xml:space="preserve">ego prawa Izba zastosowała test </w:t>
      </w:r>
      <w:r w:rsidR="00DC164B">
        <w:rPr>
          <w:i/>
          <w:iCs/>
        </w:rPr>
        <w:t>Vilho Eskelinen</w:t>
      </w:r>
      <w:r w:rsidR="00DC164B">
        <w:t xml:space="preserve"> (zob. sprawa </w:t>
      </w:r>
      <w:r w:rsidR="00DC164B">
        <w:rPr>
          <w:i/>
          <w:iCs/>
        </w:rPr>
        <w:t xml:space="preserve">Vilho Eskelinen </w:t>
      </w:r>
      <w:r w:rsidR="00DE5B4A">
        <w:rPr>
          <w:i/>
          <w:iCs/>
        </w:rPr>
        <w:t>i Inni</w:t>
      </w:r>
      <w:r w:rsidR="00DC164B">
        <w:rPr>
          <w:i/>
          <w:iCs/>
        </w:rPr>
        <w:t xml:space="preserve"> przeciwko Finlandii</w:t>
      </w:r>
      <w:r w:rsidR="00DC164B">
        <w:t xml:space="preserve"> [WI], nr 63235/00, § 62, ECHR 2007</w:t>
      </w:r>
      <w:r w:rsidR="00DC164B">
        <w:noBreakHyphen/>
        <w:t xml:space="preserve">II) i uznała, że skarżący jest urzędnikiem służby cywilnej. Jednakże stwierdziła, że przedmiotowa sprawa różni się od sprawy </w:t>
      </w:r>
      <w:r w:rsidR="00DC164B">
        <w:rPr>
          <w:i/>
          <w:iCs/>
        </w:rPr>
        <w:t>Vilho Eskelinen</w:t>
      </w:r>
      <w:r w:rsidR="00DC164B">
        <w:t xml:space="preserve"> ze względu na fakt, iż</w:t>
      </w:r>
      <w:r w:rsidR="00510B2D">
        <w:t> </w:t>
      </w:r>
      <w:r w:rsidR="00111358">
        <w:t>dla</w:t>
      </w:r>
      <w:r w:rsidR="00510B2D">
        <w:t> </w:t>
      </w:r>
      <w:r w:rsidR="00111358">
        <w:t xml:space="preserve">skarżącego </w:t>
      </w:r>
      <w:r w:rsidR="00DC164B">
        <w:t>nie był bezpośrednio kluczowy</w:t>
      </w:r>
      <w:r w:rsidR="00111358" w:rsidRPr="00111358">
        <w:t xml:space="preserve"> </w:t>
      </w:r>
      <w:r w:rsidR="00111358">
        <w:t>spór pracowniczy</w:t>
      </w:r>
      <w:r w:rsidR="00DC164B">
        <w:t>, jako</w:t>
      </w:r>
      <w:r w:rsidR="00510B2D">
        <w:t> </w:t>
      </w:r>
      <w:r w:rsidR="00DC164B">
        <w:t>że</w:t>
      </w:r>
      <w:r w:rsidR="00510B2D">
        <w:t> </w:t>
      </w:r>
      <w:r w:rsidR="00DC164B">
        <w:t>nie został usunięty z urzędu w wyniku cofnięcia poświadczenia bezpieczeństwa</w:t>
      </w:r>
      <w:r w:rsidR="00111358">
        <w:t>,</w:t>
      </w:r>
      <w:r w:rsidR="00DC164B">
        <w:t xml:space="preserve"> a przedmiotowe postępowanie nie dotyczyło odwołania ze</w:t>
      </w:r>
      <w:r w:rsidR="00510B2D">
        <w:t> </w:t>
      </w:r>
      <w:r w:rsidR="00DC164B">
        <w:t xml:space="preserve">stanowiska. W opinii Izby, mimo że cofnięcie poświadczenia bezpieczeństwa nie spowodowało automatycznego </w:t>
      </w:r>
      <w:r w:rsidR="008136B4">
        <w:t>rozwiązania</w:t>
      </w:r>
      <w:r w:rsidR="00DC164B">
        <w:t xml:space="preserve"> umowy o</w:t>
      </w:r>
      <w:r w:rsidR="00510B2D">
        <w:t> </w:t>
      </w:r>
      <w:r w:rsidR="00DC164B">
        <w:t>pracę skarżącego z Ministerstwem Obrony, miało ono decydujący wpływ na wybór stanowisk dostępnych dla skarżącego (zob. paragraf 55 wyroku).</w:t>
      </w:r>
      <w:r w:rsidR="00DC164B">
        <w:rPr>
          <w:color w:val="FF0000"/>
        </w:rPr>
        <w:t xml:space="preserve"> </w:t>
      </w:r>
      <w:r w:rsidR="00D812D7" w:rsidRPr="00D812D7">
        <w:t xml:space="preserve">W związku z powyższym </w:t>
      </w:r>
      <w:r w:rsidR="00DC164B">
        <w:t>decyzja anulująca poświadczenie bezpieczeństwa skarżącego i postępowanie, które następnie miało miejsce, miały wpływ na</w:t>
      </w:r>
      <w:r w:rsidR="00510B2D">
        <w:t> </w:t>
      </w:r>
      <w:r w:rsidR="00DC164B">
        <w:t>jego prawa</w:t>
      </w:r>
      <w:r w:rsidR="00111358">
        <w:t xml:space="preserve"> </w:t>
      </w:r>
      <w:r w:rsidR="00044DC3">
        <w:t>o charakterze cywilnym</w:t>
      </w:r>
      <w:r w:rsidR="00DC164B">
        <w:t xml:space="preserve">, a w rezultacie </w:t>
      </w:r>
      <w:r w:rsidR="00307B53">
        <w:t xml:space="preserve">art. </w:t>
      </w:r>
      <w:r w:rsidR="00DC164B">
        <w:t>6 ust. 1 Konwencji znajdował zastosowanie (zob. paragrafy 57-58 wyroku).</w:t>
      </w:r>
    </w:p>
    <w:p w14:paraId="1C7973E4" w14:textId="6CDDF145" w:rsidR="00DC164B" w:rsidRPr="00D83EBC" w:rsidRDefault="00425781" w:rsidP="00D83EBC">
      <w:pPr>
        <w:pStyle w:val="ECHRPara"/>
      </w:pPr>
      <w:r>
        <w:t>76</w:t>
      </w:r>
      <w:r w:rsidR="00DC164B">
        <w:t>.</w:t>
      </w:r>
      <w:r>
        <w:t xml:space="preserve"> </w:t>
      </w:r>
      <w:r w:rsidR="00DC164B">
        <w:t xml:space="preserve">W </w:t>
      </w:r>
      <w:r w:rsidR="0069647C">
        <w:t>sprawie przedmiotu skargi</w:t>
      </w:r>
      <w:r w:rsidR="00DC164B">
        <w:t xml:space="preserve"> Izba stwierdziła, że powody podjęcia decyzji o nieujawnianiu przedmiotowego dokumentu skarżącemu wynikały ze względów bezpieczeństwa narodowego, ponieważ, według władz, ujawnienie dokumentu mogłoby skutkować ujawnieniem metod pracy służb wywiadowczych oraz </w:t>
      </w:r>
      <w:r w:rsidR="0069647C">
        <w:t xml:space="preserve">ich </w:t>
      </w:r>
      <w:r w:rsidR="00DC164B">
        <w:t>źródeł informacji lub mogłoby doprowadzić do</w:t>
      </w:r>
      <w:r w:rsidR="00510B2D">
        <w:t> </w:t>
      </w:r>
      <w:r w:rsidR="00DC164B">
        <w:t xml:space="preserve">prób wywarcia wpływu na potencjalnych świadków przez skarżącego. </w:t>
      </w:r>
      <w:r w:rsidR="0069647C">
        <w:t xml:space="preserve">Według </w:t>
      </w:r>
      <w:r w:rsidR="00DC164B">
        <w:t xml:space="preserve">Izby procedura decyzyjna była „w najszerszym możliwym zakresie” zgodna z wymogami postępowania kontradyktoryjnego i równości stron oraz oferowała stosowne zabezpieczenia celem ochrony interesów skarżącego, a w rezultacie nie miało miejsce naruszenie </w:t>
      </w:r>
      <w:r w:rsidR="00307B53">
        <w:t>art.</w:t>
      </w:r>
      <w:r w:rsidR="00DC164B">
        <w:t xml:space="preserve"> 6 ust. 1 Konwencji (zob. paragrafy 72, 75-76 i 79 wyroku).</w:t>
      </w:r>
    </w:p>
    <w:p w14:paraId="7A5FA97F" w14:textId="197DDD74" w:rsidR="00DC164B" w:rsidRPr="00D833FA" w:rsidRDefault="00DC164B" w:rsidP="00D83EBC">
      <w:pPr>
        <w:pStyle w:val="ECHRHeading2"/>
        <w:rPr>
          <w:sz w:val="24"/>
        </w:rPr>
      </w:pPr>
      <w:r w:rsidRPr="00D833FA">
        <w:rPr>
          <w:sz w:val="24"/>
        </w:rPr>
        <w:lastRenderedPageBreak/>
        <w:t xml:space="preserve">B. </w:t>
      </w:r>
      <w:r w:rsidR="00085EED" w:rsidRPr="00D833FA">
        <w:rPr>
          <w:sz w:val="24"/>
        </w:rPr>
        <w:t xml:space="preserve">Zastrzeżenia wstępne </w:t>
      </w:r>
      <w:r w:rsidRPr="00D833FA">
        <w:rPr>
          <w:sz w:val="24"/>
        </w:rPr>
        <w:t>podniesione przez Rząd</w:t>
      </w:r>
    </w:p>
    <w:p w14:paraId="42F66BC4" w14:textId="0CA56883" w:rsidR="00DC164B" w:rsidRPr="00D83EBC" w:rsidRDefault="00DC164B" w:rsidP="00D83EBC">
      <w:pPr>
        <w:pStyle w:val="ECHRHeading3"/>
      </w:pPr>
      <w:r>
        <w:t>1.</w:t>
      </w:r>
      <w:r w:rsidR="00425781">
        <w:t xml:space="preserve"> </w:t>
      </w:r>
      <w:r w:rsidR="00D307D5">
        <w:t>Twierdzenia</w:t>
      </w:r>
      <w:r>
        <w:t xml:space="preserve"> stron</w:t>
      </w:r>
    </w:p>
    <w:p w14:paraId="02911726" w14:textId="77777777" w:rsidR="00DC164B" w:rsidRPr="00D83EBC" w:rsidRDefault="00DC164B" w:rsidP="00D83EBC">
      <w:pPr>
        <w:pStyle w:val="ECHRHeading4"/>
      </w:pPr>
      <w:r>
        <w:t>(a) Rząd</w:t>
      </w:r>
    </w:p>
    <w:p w14:paraId="1331B139" w14:textId="77777777" w:rsidR="00DC164B" w:rsidRPr="00D83EBC" w:rsidRDefault="00DC164B" w:rsidP="00D83EBC">
      <w:pPr>
        <w:pStyle w:val="ECHRHeading5"/>
      </w:pPr>
      <w:r>
        <w:t>(i) Status ofiary skarżącego</w:t>
      </w:r>
    </w:p>
    <w:p w14:paraId="746895D2" w14:textId="63985387" w:rsidR="00DC164B" w:rsidRPr="00D83EBC" w:rsidRDefault="00425781" w:rsidP="00D83EBC">
      <w:pPr>
        <w:pStyle w:val="ECHRPara"/>
      </w:pPr>
      <w:r>
        <w:t>77</w:t>
      </w:r>
      <w:r w:rsidR="00DC164B">
        <w:t>.</w:t>
      </w:r>
      <w:r>
        <w:t xml:space="preserve"> </w:t>
      </w:r>
      <w:r w:rsidR="00DC164B">
        <w:t>W odpowiedzi na pytanie przedstawione prze</w:t>
      </w:r>
      <w:r w:rsidR="0069647C">
        <w:t>z Wielką Izbę</w:t>
      </w:r>
      <w:r w:rsidR="00DC164B">
        <w:t xml:space="preserve"> dotyczące statusu ofiary skarżącego Rząd podniósł, że wynik postępowania krajowego nie był bezpośrednio decydujący dla prawa skarżącego do</w:t>
      </w:r>
      <w:r w:rsidR="00510B2D">
        <w:t> </w:t>
      </w:r>
      <w:r w:rsidR="00DC164B">
        <w:t>kontynuowania wykonywania swoich obowiązków. Podniósł, że to sam skarżący poprosił o odwołanie z urzędu i że nie wskazał przy tym, że jego prośba była umotywowana cofnięciem jego poświadczenia bezpieczeństwa ani w inny sposób powiązana z tym cofnięciem. Co więcej odwołanie ze</w:t>
      </w:r>
      <w:r w:rsidR="00510B2D">
        <w:t> </w:t>
      </w:r>
      <w:r w:rsidR="00DC164B">
        <w:t>stanowiska nie stanowiło wypowiedzenia jego stosunku pracy. Innymi słowy, nic nie sugerowało, że przedmiotowy środek, tj. cofnięcie poświadczenia bezpieczeństwa skarżącego, miał jakikolwiek wpływ na</w:t>
      </w:r>
      <w:r w:rsidR="00510B2D">
        <w:t> </w:t>
      </w:r>
      <w:r w:rsidR="00DC164B">
        <w:t>stosunek pracy z Ministerstwem Obrony. W związku z tym skarżący nie</w:t>
      </w:r>
      <w:r w:rsidR="00510B2D">
        <w:t> </w:t>
      </w:r>
      <w:r w:rsidR="00DC164B">
        <w:t xml:space="preserve">może być traktowany jako ofiara, w rozumieniu </w:t>
      </w:r>
      <w:r w:rsidR="00307B53">
        <w:t>art.</w:t>
      </w:r>
      <w:r w:rsidR="00DC164B">
        <w:t xml:space="preserve"> 34 Konwencji, naruszenia prawa do sprawiedliwego procesu.</w:t>
      </w:r>
    </w:p>
    <w:p w14:paraId="6B48A062" w14:textId="65C956A1" w:rsidR="00DC164B" w:rsidRPr="00D83EBC" w:rsidRDefault="00DC164B" w:rsidP="00D83EBC">
      <w:pPr>
        <w:pStyle w:val="ECHRHeading5"/>
      </w:pPr>
      <w:r>
        <w:t>(ii) Zastosowa</w:t>
      </w:r>
      <w:r w:rsidR="009D419A">
        <w:t>nie</w:t>
      </w:r>
      <w:r>
        <w:t xml:space="preserve"> </w:t>
      </w:r>
      <w:r w:rsidR="00307B53">
        <w:t>art.</w:t>
      </w:r>
      <w:r>
        <w:t xml:space="preserve"> 6 ust. 1 Konwencji</w:t>
      </w:r>
    </w:p>
    <w:p w14:paraId="5C3DBC9F" w14:textId="0C4836AF" w:rsidR="00DC164B" w:rsidRPr="00D83EBC" w:rsidRDefault="00425781" w:rsidP="00D83EBC">
      <w:pPr>
        <w:pStyle w:val="ECHRPara"/>
      </w:pPr>
      <w:r>
        <w:t>78</w:t>
      </w:r>
      <w:r w:rsidR="00DC164B">
        <w:t>.</w:t>
      </w:r>
      <w:r>
        <w:t xml:space="preserve"> </w:t>
      </w:r>
      <w:r w:rsidR="00DC164B">
        <w:t>Rząd nie zakwestionował faktu, że przedmiotowa sprawa dotyczyła „sporu” pomiędzy</w:t>
      </w:r>
      <w:r w:rsidR="0069647C">
        <w:t xml:space="preserve"> skarżącym jako byłym posiadaczem</w:t>
      </w:r>
      <w:r w:rsidR="00DC164B">
        <w:t xml:space="preserve"> poświadczenia bezpieczeństwa a Urzędem Bezpieczeństwa Narodowego, centralnym organem odpowiedzialnym za decyzje dotyczące poświadczeń bezpieczeństwa. Zgodził się z Izbą, że głównym przedmiotem sporu była </w:t>
      </w:r>
      <w:r w:rsidR="0069647C">
        <w:t>wiarygodność</w:t>
      </w:r>
      <w:r w:rsidR="00DC164B">
        <w:t xml:space="preserve"> skarżącego z punktu widzenia bezpieczeństwa (zob. paragraf 50 </w:t>
      </w:r>
      <w:r w:rsidR="00DC164B">
        <w:rPr>
          <w:i/>
          <w:iCs/>
        </w:rPr>
        <w:t>in fine</w:t>
      </w:r>
      <w:r w:rsidR="00DC164B">
        <w:t xml:space="preserve"> wyroku Izby).</w:t>
      </w:r>
    </w:p>
    <w:p w14:paraId="477A04B1" w14:textId="22D547EE" w:rsidR="00DC164B" w:rsidRPr="00D83EBC" w:rsidRDefault="00425781" w:rsidP="00D83EBC">
      <w:pPr>
        <w:pStyle w:val="ECHRPara"/>
      </w:pPr>
      <w:r>
        <w:t>79</w:t>
      </w:r>
      <w:r w:rsidR="00DC164B">
        <w:t>.</w:t>
      </w:r>
      <w:r>
        <w:t xml:space="preserve"> </w:t>
      </w:r>
      <w:r w:rsidR="00DC164B">
        <w:t xml:space="preserve">Jednakże, w przeciwieństwie do Izby, która uznała, że przedmiotem sporu było prawo skarżącego do uzyskania </w:t>
      </w:r>
      <w:r w:rsidR="00625317">
        <w:t>kontroli</w:t>
      </w:r>
      <w:r w:rsidR="00DC164B">
        <w:t xml:space="preserve"> decyzji anulującej jego poświadczenie bezpieczeństwa (zob. paragraf 53 wyroku Izby), Rząd podniósł, że przedmiotowy spór dotyczył pytania, czy skarżący powinien nadal być uznawany za osobę </w:t>
      </w:r>
      <w:r w:rsidR="0069647C">
        <w:t xml:space="preserve">wiarygodną </w:t>
      </w:r>
      <w:r w:rsidR="00DC164B">
        <w:t>z punktu widzenia bezpieczeństwa, to jest, czy miał materialne prawo, lub też ra</w:t>
      </w:r>
      <w:r w:rsidR="00625317">
        <w:t>czej przywilej, który umożliwia</w:t>
      </w:r>
      <w:r w:rsidR="00DC164B">
        <w:t>ł mu zachowanie poświadczenia bezpieczeństwa dającego mu dostęp do informacji</w:t>
      </w:r>
      <w:r w:rsidR="0069647C">
        <w:t xml:space="preserve"> niejawnych</w:t>
      </w:r>
      <w:r w:rsidR="00DC164B">
        <w:t>.</w:t>
      </w:r>
    </w:p>
    <w:p w14:paraId="2F12C77A" w14:textId="0A27D04B" w:rsidR="00DC164B" w:rsidRPr="00D83EBC" w:rsidRDefault="00425781" w:rsidP="00D83EBC">
      <w:pPr>
        <w:pStyle w:val="ECHRPara"/>
      </w:pPr>
      <w:r>
        <w:t>80</w:t>
      </w:r>
      <w:r w:rsidR="00DC164B">
        <w:t>.</w:t>
      </w:r>
      <w:r>
        <w:t xml:space="preserve"> </w:t>
      </w:r>
      <w:r w:rsidR="00DC164B">
        <w:t>Rząd dodał, że w przedmiotowej sprawie spór nie dotyczył prawa</w:t>
      </w:r>
      <w:r w:rsidR="0069647C">
        <w:t>,</w:t>
      </w:r>
      <w:r w:rsidR="00DC164B">
        <w:t xml:space="preserve"> by</w:t>
      </w:r>
      <w:r w:rsidR="00510B2D">
        <w:t> </w:t>
      </w:r>
      <w:r w:rsidR="00DC164B">
        <w:t xml:space="preserve">nie być niesprawiedliwie odwołanym ze stanowiska, jako że skarżący sam poprosił o odwołanie ze stanowiska i zgodził się na </w:t>
      </w:r>
      <w:r w:rsidR="00B12FB2">
        <w:t>rozwiązan</w:t>
      </w:r>
      <w:r w:rsidR="0069647C">
        <w:t xml:space="preserve">ie </w:t>
      </w:r>
      <w:r w:rsidR="00DC164B">
        <w:t>stosunku pracy.</w:t>
      </w:r>
    </w:p>
    <w:p w14:paraId="7E7B709A" w14:textId="0D1DE99C" w:rsidR="00DC164B" w:rsidRPr="00D83EBC" w:rsidRDefault="00425781" w:rsidP="00D83EBC">
      <w:pPr>
        <w:pStyle w:val="ECHRPara"/>
      </w:pPr>
      <w:r>
        <w:t>81</w:t>
      </w:r>
      <w:r w:rsidR="00DC164B">
        <w:t>.</w:t>
      </w:r>
      <w:r>
        <w:t xml:space="preserve"> </w:t>
      </w:r>
      <w:r w:rsidR="00DC164B">
        <w:t>W odniesieniu do pytania, czy spór dotyczył prawa uznawanego według prawa krajowego, Rząd w pierwszej kolejności uznał, że</w:t>
      </w:r>
      <w:r w:rsidR="00510B2D">
        <w:t> </w:t>
      </w:r>
      <w:r w:rsidR="008136B4">
        <w:t>ze</w:t>
      </w:r>
      <w:r w:rsidR="00510B2D">
        <w:t> </w:t>
      </w:r>
      <w:r w:rsidR="008136B4">
        <w:t>stosownych przepisów prawa krajowego</w:t>
      </w:r>
      <w:r w:rsidR="00DC164B">
        <w:t xml:space="preserve"> nie może być wywiedzione </w:t>
      </w:r>
      <w:r w:rsidR="008136B4">
        <w:lastRenderedPageBreak/>
        <w:t xml:space="preserve">żadne prawo dostępu do informacji zastrzeżonych. </w:t>
      </w:r>
      <w:r w:rsidR="00DC164B">
        <w:t>Rząd wskazał, że</w:t>
      </w:r>
      <w:r w:rsidR="00510B2D">
        <w:t> </w:t>
      </w:r>
      <w:r w:rsidR="00DC164B">
        <w:t>zgodnie z orzecznictwem wyższych sądów krajowych prawo czeskie nie</w:t>
      </w:r>
      <w:r w:rsidR="00510B2D">
        <w:t> </w:t>
      </w:r>
      <w:r w:rsidR="00DC164B">
        <w:t xml:space="preserve">wspomina o „prawie” </w:t>
      </w:r>
      <w:r w:rsidR="008136B4">
        <w:t xml:space="preserve">do przyznania </w:t>
      </w:r>
      <w:r w:rsidR="00DC164B">
        <w:t>poświadczeniem bezpieczeństwa. Odwoływał się w związku z tym do orzecznictwa krajowego, zgodnie z</w:t>
      </w:r>
      <w:r w:rsidR="00510B2D">
        <w:t> </w:t>
      </w:r>
      <w:r w:rsidR="00DC164B">
        <w:t xml:space="preserve">którym wydanie poświadczenia bezpieczeństwa konkretnej osobie </w:t>
      </w:r>
      <w:r w:rsidR="008136B4">
        <w:t>jest</w:t>
      </w:r>
      <w:r w:rsidR="00DC164B">
        <w:t xml:space="preserve"> nadzwyczajnym przywilejem udziel</w:t>
      </w:r>
      <w:r w:rsidR="008136B4">
        <w:t>a</w:t>
      </w:r>
      <w:r w:rsidR="00DC164B">
        <w:t>nym przez Urząd, a decyzja</w:t>
      </w:r>
      <w:r w:rsidR="008136B4">
        <w:t>,</w:t>
      </w:r>
      <w:r w:rsidR="00DC164B">
        <w:t xml:space="preserve"> czy</w:t>
      </w:r>
      <w:r w:rsidR="00510B2D">
        <w:t> </w:t>
      </w:r>
      <w:r w:rsidR="00DC164B">
        <w:t>udzielić tego przywileju danej osobie czy nie</w:t>
      </w:r>
      <w:r w:rsidR="008136B4">
        <w:t>,</w:t>
      </w:r>
      <w:r w:rsidR="00DC164B">
        <w:t xml:space="preserve"> pozostaje wyłącznie w</w:t>
      </w:r>
      <w:r w:rsidR="00510B2D">
        <w:t> </w:t>
      </w:r>
      <w:r w:rsidR="00DC164B">
        <w:t>gestii tego organu.</w:t>
      </w:r>
    </w:p>
    <w:p w14:paraId="609BC99E" w14:textId="5AB5E902" w:rsidR="00DC164B" w:rsidRPr="00D83EBC" w:rsidRDefault="00425781" w:rsidP="00D83EBC">
      <w:pPr>
        <w:pStyle w:val="ECHRPara"/>
      </w:pPr>
      <w:r>
        <w:t>82</w:t>
      </w:r>
      <w:r w:rsidR="00DC164B">
        <w:t>.</w:t>
      </w:r>
      <w:r>
        <w:t xml:space="preserve"> </w:t>
      </w:r>
      <w:r w:rsidR="00DC164B">
        <w:t xml:space="preserve">Według Rządu wspomniane wyżej względy mają zastosowanie </w:t>
      </w:r>
      <w:r w:rsidR="00DC164B">
        <w:rPr>
          <w:i/>
          <w:iCs/>
        </w:rPr>
        <w:t>mutatis mutandis</w:t>
      </w:r>
      <w:r w:rsidR="00DC164B">
        <w:t xml:space="preserve"> do cofnięcia poświadczenia bezpieczeństwa osoby.</w:t>
      </w:r>
    </w:p>
    <w:p w14:paraId="53928E09" w14:textId="2BB59E75" w:rsidR="00DC164B" w:rsidRPr="00D83EBC" w:rsidRDefault="00425781" w:rsidP="00D83EBC">
      <w:pPr>
        <w:pStyle w:val="ECHRPara"/>
      </w:pPr>
      <w:r>
        <w:t>83</w:t>
      </w:r>
      <w:r w:rsidR="00DC164B">
        <w:t>.</w:t>
      </w:r>
      <w:r>
        <w:t xml:space="preserve"> </w:t>
      </w:r>
      <w:r w:rsidR="00DC164B">
        <w:t xml:space="preserve">Zauważył, że Urząd cieszy się szerokim marginesem </w:t>
      </w:r>
      <w:r w:rsidR="009B5A5E">
        <w:t xml:space="preserve">oceny </w:t>
      </w:r>
      <w:r w:rsidR="00DC164B">
        <w:t>w</w:t>
      </w:r>
      <w:r w:rsidR="00510B2D">
        <w:t> </w:t>
      </w:r>
      <w:r w:rsidR="00DC164B">
        <w:t>ustalaniu zachowania lub działań, które mogą wzbudzać wątpliwości dotyczące zagrożenia [ryzyka] bezpieczeństwa, a zatem rzucić cień na</w:t>
      </w:r>
      <w:r w:rsidR="00510B2D">
        <w:t> </w:t>
      </w:r>
      <w:r w:rsidR="00DC164B">
        <w:t>wiarygodność danej osoby z punktu widzenia bezpieczeństwa. Opierając się na zasadach ogólnych ustanowionych przez Trybunał, Rząd podniósł, że</w:t>
      </w:r>
      <w:r w:rsidR="00510B2D">
        <w:t> </w:t>
      </w:r>
      <w:r w:rsidR="00DC164B">
        <w:t xml:space="preserve">tam, gdzie przedmiotem postępowania krajowego była decyzja o tym, czy skarżący powinien nadal korzystać z danego przywileju, nieskrępowany lub też szeroki margines </w:t>
      </w:r>
      <w:r w:rsidR="009B5A5E">
        <w:t>oceny</w:t>
      </w:r>
      <w:r w:rsidR="00DC164B">
        <w:t xml:space="preserve"> po stronie Urzędu był czynnikiem wskazującym, iż prawo krajowe nie uznawało żadnego „prawa” do takiego przywileju (</w:t>
      </w:r>
      <w:r w:rsidR="008136B4">
        <w:t>Rząd powołał</w:t>
      </w:r>
      <w:r w:rsidR="00DC164B">
        <w:t xml:space="preserve"> się na sprawę </w:t>
      </w:r>
      <w:r w:rsidR="00DC164B">
        <w:rPr>
          <w:i/>
          <w:iCs/>
        </w:rPr>
        <w:t>Mendel przeciwko Szwecji</w:t>
      </w:r>
      <w:r w:rsidR="00DC164B">
        <w:t>, nr</w:t>
      </w:r>
      <w:r w:rsidR="00510B2D">
        <w:t> </w:t>
      </w:r>
      <w:r w:rsidR="00DC164B">
        <w:t>28426/06, § 44, 7 kwietnia 2009 r.).</w:t>
      </w:r>
    </w:p>
    <w:p w14:paraId="385FCEBB" w14:textId="748B9996" w:rsidR="00DC164B" w:rsidRPr="00D83EBC" w:rsidRDefault="00425781" w:rsidP="00D83EBC">
      <w:pPr>
        <w:pStyle w:val="ECHRPara"/>
      </w:pPr>
      <w:r>
        <w:t>84</w:t>
      </w:r>
      <w:r w:rsidR="00DC164B">
        <w:t>.</w:t>
      </w:r>
      <w:r>
        <w:t xml:space="preserve"> </w:t>
      </w:r>
      <w:r w:rsidR="008136B4">
        <w:t>Rząd dodał</w:t>
      </w:r>
      <w:r w:rsidR="00DC164B">
        <w:t>, że po stwierdzeniu wątpliwości dotyczących wiarygodności danej osoby z punktu widzenia bezpieczeństwa narodowego, Urząd nie ma dalszego wyboru, prawo w takiej sytuacji nakłada natychmiastowe środki wymagające cofnięcia poświadczenia bezpieczeństwa takiej osoby. Rząd podkreślił</w:t>
      </w:r>
      <w:r w:rsidR="00536A4D">
        <w:t xml:space="preserve"> </w:t>
      </w:r>
      <w:r w:rsidR="00DC164B">
        <w:t xml:space="preserve">w tym aspekcie, </w:t>
      </w:r>
      <w:r w:rsidR="00536A4D">
        <w:t xml:space="preserve">że ponieważ </w:t>
      </w:r>
      <w:r w:rsidR="00DC164B">
        <w:t>uzasadnione wątpliwości lu</w:t>
      </w:r>
      <w:r w:rsidR="00536A4D">
        <w:t>b też samo podejrzenie stanowi</w:t>
      </w:r>
      <w:r w:rsidR="00DC164B">
        <w:t xml:space="preserve"> podstawę do</w:t>
      </w:r>
      <w:r w:rsidR="00510B2D">
        <w:t> </w:t>
      </w:r>
      <w:r w:rsidR="00DC164B">
        <w:t>cofnięcia poświadczenia bezpieczeństwa, Urząd nie miał praktycznie żadnej swobody w podejmowaniu decyzji (</w:t>
      </w:r>
      <w:r w:rsidR="00536A4D">
        <w:t>powołał</w:t>
      </w:r>
      <w:r w:rsidR="00DC164B">
        <w:t xml:space="preserve"> się na sprawę </w:t>
      </w:r>
      <w:r w:rsidR="00DC164B">
        <w:rPr>
          <w:i/>
          <w:iCs/>
        </w:rPr>
        <w:t>Wolff</w:t>
      </w:r>
      <w:r w:rsidR="00510B2D">
        <w:rPr>
          <w:i/>
          <w:iCs/>
        </w:rPr>
        <w:t> </w:t>
      </w:r>
      <w:r w:rsidR="00DC164B">
        <w:rPr>
          <w:i/>
          <w:iCs/>
        </w:rPr>
        <w:t>Metternich przeciwko Holandii</w:t>
      </w:r>
      <w:r w:rsidR="00DC164B">
        <w:t xml:space="preserve"> (dec.), nr 45908/99, 18 maja 1999 r.).</w:t>
      </w:r>
    </w:p>
    <w:p w14:paraId="4E8A9F25" w14:textId="289C3D4A" w:rsidR="00DC164B" w:rsidRPr="00D83EBC" w:rsidRDefault="00425781" w:rsidP="00D83EBC">
      <w:pPr>
        <w:pStyle w:val="ECHRPara"/>
      </w:pPr>
      <w:r>
        <w:t>85</w:t>
      </w:r>
      <w:r w:rsidR="00DC164B">
        <w:t>.</w:t>
      </w:r>
      <w:r>
        <w:t xml:space="preserve"> </w:t>
      </w:r>
      <w:r w:rsidR="00DC164B">
        <w:t>W odniesieniu do cywilnego charakteru przedmiotowego prawa w</w:t>
      </w:r>
      <w:r w:rsidR="00510B2D">
        <w:t> </w:t>
      </w:r>
      <w:r w:rsidR="00DC164B">
        <w:t xml:space="preserve">rozumieniu </w:t>
      </w:r>
      <w:r w:rsidR="00307B53">
        <w:t>art.</w:t>
      </w:r>
      <w:r w:rsidR="00536A4D">
        <w:t xml:space="preserve"> 6 ust. 1 Konwencji</w:t>
      </w:r>
      <w:r w:rsidR="00DC164B">
        <w:t xml:space="preserve"> Rząd utrzymywał, że pytanie, czy</w:t>
      </w:r>
      <w:r w:rsidR="00510B2D">
        <w:t> </w:t>
      </w:r>
      <w:r w:rsidR="00DC164B">
        <w:t xml:space="preserve">Państwo powinno uznać </w:t>
      </w:r>
      <w:r w:rsidR="00536A4D">
        <w:t xml:space="preserve">osobę pracującą w administracji centralnej [rządowej] </w:t>
      </w:r>
      <w:r w:rsidR="00DC164B">
        <w:t xml:space="preserve">za wiarygodną z punktu widzenia bezpieczeństwa narodowego </w:t>
      </w:r>
      <w:r w:rsidR="00536A4D">
        <w:t>dotyczy samej istoty</w:t>
      </w:r>
      <w:r w:rsidR="00DC164B">
        <w:t xml:space="preserve"> prerogatyw władzy publicznej i niepodległości Państwa.</w:t>
      </w:r>
    </w:p>
    <w:p w14:paraId="370825A9" w14:textId="35D160D8" w:rsidR="00DC164B" w:rsidRPr="00D83EBC" w:rsidRDefault="00425781" w:rsidP="00D83EBC">
      <w:pPr>
        <w:pStyle w:val="ECHRPara"/>
      </w:pPr>
      <w:r>
        <w:t>86</w:t>
      </w:r>
      <w:r w:rsidR="00DC164B">
        <w:t>.</w:t>
      </w:r>
      <w:r>
        <w:t xml:space="preserve"> </w:t>
      </w:r>
      <w:r w:rsidR="00DC164B">
        <w:t>Rząd wskazał również, że luźny związek pomiędzy sporem a</w:t>
      </w:r>
      <w:r w:rsidR="00510B2D">
        <w:t> </w:t>
      </w:r>
      <w:r w:rsidR="00DC164B">
        <w:t xml:space="preserve">prawami </w:t>
      </w:r>
      <w:r w:rsidR="00536A4D">
        <w:t>o charakterze cywilnym</w:t>
      </w:r>
      <w:r w:rsidR="00DC164B">
        <w:t xml:space="preserve"> w sprawie lub </w:t>
      </w:r>
      <w:r w:rsidR="00303BEC">
        <w:t>odległe</w:t>
      </w:r>
      <w:r w:rsidR="00DC164B">
        <w:t xml:space="preserve"> konsekwencje tych praw nie wystarcz</w:t>
      </w:r>
      <w:r w:rsidR="00257F8A">
        <w:t>ają</w:t>
      </w:r>
      <w:r w:rsidR="00DC164B">
        <w:t xml:space="preserve">, by można było zastosować </w:t>
      </w:r>
      <w:r w:rsidR="00307B53">
        <w:t xml:space="preserve">art. </w:t>
      </w:r>
      <w:r w:rsidR="00DC164B">
        <w:t>6 ust. 1. Prawo</w:t>
      </w:r>
      <w:r w:rsidR="00510B2D">
        <w:t> </w:t>
      </w:r>
      <w:r w:rsidR="00DC164B">
        <w:t xml:space="preserve">lub </w:t>
      </w:r>
      <w:r w:rsidR="00536A4D">
        <w:t>obowiązek o charakterze cywilnym</w:t>
      </w:r>
      <w:r w:rsidR="00DC164B">
        <w:t xml:space="preserve"> musi być przedmiotem „sporu” oraz, jednocześnie, wynik postępowania musi mieć bezpośredn</w:t>
      </w:r>
      <w:r w:rsidR="00536A4D">
        <w:t>i skutek dla tego prawa (Rząd powołał</w:t>
      </w:r>
      <w:r w:rsidR="00DC164B">
        <w:t xml:space="preserve"> się na sprawę </w:t>
      </w:r>
      <w:r w:rsidR="00DC164B">
        <w:rPr>
          <w:i/>
          <w:iCs/>
        </w:rPr>
        <w:t>Smagilov przeciwko Rosji</w:t>
      </w:r>
      <w:r w:rsidR="00DC164B">
        <w:t xml:space="preserve"> (dec.), nr 24324/05, § 54, 13 </w:t>
      </w:r>
      <w:r w:rsidR="00DC164B" w:rsidRPr="008D2ECE">
        <w:t>listopada 2014 r.).</w:t>
      </w:r>
    </w:p>
    <w:p w14:paraId="4E99885B" w14:textId="7AFC3891" w:rsidR="00DC164B" w:rsidRPr="00D83EBC" w:rsidRDefault="00425781" w:rsidP="00D83EBC">
      <w:pPr>
        <w:pStyle w:val="ECHRPara"/>
      </w:pPr>
      <w:r>
        <w:lastRenderedPageBreak/>
        <w:t>87</w:t>
      </w:r>
      <w:r w:rsidR="00DC164B">
        <w:t>.</w:t>
      </w:r>
      <w:r>
        <w:t xml:space="preserve"> </w:t>
      </w:r>
      <w:r w:rsidR="00DC164B">
        <w:t>W niniejszej sprawie Rząd podniósł, że oprócz stwierdzenia, że</w:t>
      </w:r>
      <w:r w:rsidR="00510B2D">
        <w:t> </w:t>
      </w:r>
      <w:r w:rsidR="00DC164B">
        <w:t>nie</w:t>
      </w:r>
      <w:r w:rsidR="00510B2D">
        <w:t> </w:t>
      </w:r>
      <w:r w:rsidR="00DC164B">
        <w:t>mógł dłużej kontynuować pełnienia stanowiska, skarżący nigdy nie</w:t>
      </w:r>
      <w:r w:rsidR="00510B2D">
        <w:t> </w:t>
      </w:r>
      <w:r w:rsidR="00DC164B">
        <w:t xml:space="preserve">podnosił, że decyzja Urzędu lub postępowanie następujące potem miały jakikolwiek wpływ na prawa </w:t>
      </w:r>
      <w:r w:rsidR="009F12F2">
        <w:t>o charakterze cywilnym</w:t>
      </w:r>
      <w:r w:rsidR="00DC164B">
        <w:t xml:space="preserve"> skarżącego; w żaden sposób nie wykazał również najmniejszego niekorzystnego wpływu na jego prawa </w:t>
      </w:r>
      <w:r w:rsidR="009F12F2">
        <w:t>o charakterze cywilnym</w:t>
      </w:r>
      <w:r w:rsidR="00DC164B">
        <w:t>. Rząd wskazał również, że miesięczny dochód skarżącego w okresie przed cofnięciem jego poświadczenia bezpieczeństwa w rzeczywistości był niemal identyczny jak dochód otrzymywany później.</w:t>
      </w:r>
    </w:p>
    <w:p w14:paraId="7310DB3B" w14:textId="26709C7E" w:rsidR="00DC164B" w:rsidRPr="00D83EBC" w:rsidRDefault="00425781" w:rsidP="00D83EBC">
      <w:pPr>
        <w:pStyle w:val="ECHRPara"/>
      </w:pPr>
      <w:r>
        <w:t>88</w:t>
      </w:r>
      <w:r w:rsidR="00DC164B">
        <w:t>.</w:t>
      </w:r>
      <w:r>
        <w:t xml:space="preserve"> </w:t>
      </w:r>
      <w:r w:rsidR="00DC164B">
        <w:t xml:space="preserve">Rząd stwierdził, że </w:t>
      </w:r>
      <w:r w:rsidR="00D50CBF">
        <w:t xml:space="preserve">z Konwencji nie można wywieść </w:t>
      </w:r>
      <w:r w:rsidR="00DC164B">
        <w:t>żadne</w:t>
      </w:r>
      <w:r w:rsidR="00D50CBF">
        <w:t>go</w:t>
      </w:r>
      <w:r w:rsidR="00DC164B">
        <w:t xml:space="preserve"> „praw</w:t>
      </w:r>
      <w:r w:rsidR="00257F8A">
        <w:t>a</w:t>
      </w:r>
      <w:r w:rsidR="009F12F2" w:rsidRPr="009F12F2">
        <w:t xml:space="preserve"> </w:t>
      </w:r>
      <w:r w:rsidR="009F12F2">
        <w:t>o charakterze cywilnym</w:t>
      </w:r>
      <w:r w:rsidR="00DC164B">
        <w:t>” urzędnika publicznego do bycia upoważnionym do pełnienia danego urzędu publicznego w administracji państwowej (</w:t>
      </w:r>
      <w:r w:rsidR="00D50CBF">
        <w:t>Rząd</w:t>
      </w:r>
      <w:r w:rsidR="00510B2D">
        <w:t> </w:t>
      </w:r>
      <w:r w:rsidR="00D50CBF">
        <w:t xml:space="preserve">powołał się na </w:t>
      </w:r>
      <w:r w:rsidR="00DC164B">
        <w:t xml:space="preserve">sprawę </w:t>
      </w:r>
      <w:r w:rsidR="00DC164B">
        <w:rPr>
          <w:i/>
          <w:iCs/>
        </w:rPr>
        <w:t>Houbal przeciwko Republice Czeskiej</w:t>
      </w:r>
      <w:r w:rsidR="00DC164B">
        <w:t>, nr</w:t>
      </w:r>
      <w:r w:rsidR="00510B2D">
        <w:t> </w:t>
      </w:r>
      <w:r w:rsidR="00DC164B">
        <w:t xml:space="preserve">75375/01, § 70, 14 czerwca 2005 r.). Podobnie, w danym czasie nie było możliwe </w:t>
      </w:r>
      <w:r w:rsidR="00970B77">
        <w:t xml:space="preserve">wywieść istnienia </w:t>
      </w:r>
      <w:r w:rsidR="00DC164B">
        <w:t xml:space="preserve">prawa </w:t>
      </w:r>
      <w:r w:rsidR="00970B77">
        <w:t xml:space="preserve">podmiotowego </w:t>
      </w:r>
      <w:r w:rsidR="00DC164B">
        <w:t>do niezakłóconego pełnienia urzędu publicznego, jeżeli osoba została już nominowana na dane stanowisko</w:t>
      </w:r>
      <w:r w:rsidR="00970B77">
        <w:t>,</w:t>
      </w:r>
      <w:r w:rsidR="00DC164B">
        <w:t xml:space="preserve"> ponieważ zgodnie z prawem urzędnik</w:t>
      </w:r>
      <w:r>
        <w:t xml:space="preserve"> </w:t>
      </w:r>
      <w:r w:rsidR="00DC164B">
        <w:t xml:space="preserve">publiczny może być usunięty z urzędu w każdej chwili przez osobę uprawnioną do nominowania takiej osoby, co jednakże nie oznacza, że w ten sposób </w:t>
      </w:r>
      <w:r w:rsidR="00970B77">
        <w:t xml:space="preserve">rozwiązaniu </w:t>
      </w:r>
      <w:r w:rsidR="00DC164B">
        <w:t>ulega stosunek pracy, jako że zmianie uleg</w:t>
      </w:r>
      <w:r w:rsidR="00341C4A">
        <w:t>a</w:t>
      </w:r>
      <w:r w:rsidR="00DC164B">
        <w:t xml:space="preserve"> tylko stanowisko.</w:t>
      </w:r>
    </w:p>
    <w:p w14:paraId="68B74DE8" w14:textId="330FACBE" w:rsidR="00DC164B" w:rsidRPr="00D83EBC" w:rsidRDefault="00425781" w:rsidP="00D83EBC">
      <w:pPr>
        <w:pStyle w:val="ECHRPara"/>
      </w:pPr>
      <w:r>
        <w:t>89</w:t>
      </w:r>
      <w:r w:rsidR="00DC164B">
        <w:t>.</w:t>
      </w:r>
      <w:r>
        <w:t xml:space="preserve"> </w:t>
      </w:r>
      <w:r w:rsidR="005B063E">
        <w:t xml:space="preserve">W [świetle] </w:t>
      </w:r>
      <w:r w:rsidR="00D307D5">
        <w:t>twierdzenia</w:t>
      </w:r>
      <w:r w:rsidR="005B063E">
        <w:t xml:space="preserve"> Rządu w</w:t>
      </w:r>
      <w:r w:rsidR="00DC164B">
        <w:t xml:space="preserve">zględy te miały tym bardziej zastosowanie, </w:t>
      </w:r>
      <w:r w:rsidR="00970B77">
        <w:t>jeżeli</w:t>
      </w:r>
      <w:r w:rsidR="00DC164B">
        <w:t xml:space="preserve"> </w:t>
      </w:r>
      <w:r w:rsidR="005B063E">
        <w:t>–</w:t>
      </w:r>
      <w:r w:rsidR="00970B77">
        <w:t xml:space="preserve"> </w:t>
      </w:r>
      <w:r w:rsidR="005B063E">
        <w:t xml:space="preserve">na podstawie </w:t>
      </w:r>
      <w:r w:rsidR="00307B53">
        <w:t>art.</w:t>
      </w:r>
      <w:r w:rsidR="00DC164B">
        <w:t xml:space="preserve"> 26 § 2 Kar</w:t>
      </w:r>
      <w:r w:rsidR="00970B77">
        <w:t>ty Podstawowych Praw i</w:t>
      </w:r>
      <w:r w:rsidR="00510B2D">
        <w:t> </w:t>
      </w:r>
      <w:r w:rsidR="00970B77">
        <w:t xml:space="preserve">Wolności </w:t>
      </w:r>
      <w:r w:rsidR="005B063E">
        <w:t>–</w:t>
      </w:r>
      <w:r w:rsidR="00970B77">
        <w:t xml:space="preserve"> </w:t>
      </w:r>
      <w:r w:rsidR="00DC164B">
        <w:t>do pełn</w:t>
      </w:r>
      <w:r w:rsidR="00970B77">
        <w:t>ienia danego urzędu publicznego</w:t>
      </w:r>
      <w:r w:rsidR="00DC164B">
        <w:t xml:space="preserve"> prawo wskazuje konieczność spełnienia szczególnych wymogów, które dany urzędnik przestał spełniać. Rząd zatem podzielił pogląd Najwyższego Sądu Administracyjnego, że nie istniało prawo do pełnienia takiego urzędu publicznego, ponieważ taka osoba nie mogła mieć żadnego uprawnionego oczekiwania, że nie zostanie usunięta ze stanowiska, jeżeli nie będzie dłużej spełniać wymogów dla właściwego pełnienia stanowiska (zob. paragraf </w:t>
      </w:r>
      <w:r w:rsidR="00307B53">
        <w:t>59</w:t>
      </w:r>
      <w:r w:rsidR="00DC164B">
        <w:t xml:space="preserve"> powyżej).</w:t>
      </w:r>
    </w:p>
    <w:p w14:paraId="5B34B7A3" w14:textId="5449B3F3" w:rsidR="00DC164B" w:rsidRPr="00D83EBC" w:rsidRDefault="00425781" w:rsidP="00D83EBC">
      <w:pPr>
        <w:pStyle w:val="ECHRPara"/>
      </w:pPr>
      <w:r>
        <w:t>90</w:t>
      </w:r>
      <w:r w:rsidR="00DC164B">
        <w:t>.</w:t>
      </w:r>
      <w:r>
        <w:t xml:space="preserve"> </w:t>
      </w:r>
      <w:r w:rsidR="00DC164B">
        <w:t>Rząd podsumował, że przedmiotowy spór dotyczył głównie pytania, czy skarżący pozostał osobą wiarygodną z punktu widzenia bezpieczeństwa i czy może w związku z tym zachować poświadczenie bezpieczeństwa, które dawało mu dostęp do tajemnic państwowych. Tej prerogatywy nie</w:t>
      </w:r>
      <w:r w:rsidR="00510B2D">
        <w:t> </w:t>
      </w:r>
      <w:r w:rsidR="00DC164B">
        <w:t xml:space="preserve">można nazwać „prawem”, a tym bardziej prawem </w:t>
      </w:r>
      <w:r w:rsidR="009F12F2">
        <w:t>o charakterze cywilnym</w:t>
      </w:r>
      <w:r w:rsidR="00DC164B">
        <w:t>.</w:t>
      </w:r>
      <w:r w:rsidR="00D812D7">
        <w:t xml:space="preserve"> Stosownie do tego</w:t>
      </w:r>
      <w:r w:rsidR="00DC164B">
        <w:t xml:space="preserve">, według </w:t>
      </w:r>
      <w:r w:rsidR="00D812D7">
        <w:t xml:space="preserve">twierdzeń </w:t>
      </w:r>
      <w:r w:rsidR="00DC164B">
        <w:t xml:space="preserve">Rządu, </w:t>
      </w:r>
      <w:r w:rsidR="00307B53">
        <w:t xml:space="preserve">art. </w:t>
      </w:r>
      <w:r w:rsidR="00DC164B">
        <w:t>6 ust. 1 Konwencji nie miał zastosowania w przedmiotowej sprawie.</w:t>
      </w:r>
    </w:p>
    <w:p w14:paraId="1075D9CF" w14:textId="77777777" w:rsidR="00DC164B" w:rsidRPr="00D83EBC" w:rsidRDefault="00DC164B" w:rsidP="00D83EBC">
      <w:pPr>
        <w:pStyle w:val="ECHRHeading4"/>
      </w:pPr>
      <w:r w:rsidRPr="008D2ECE">
        <w:t>(b) Skarżący</w:t>
      </w:r>
    </w:p>
    <w:p w14:paraId="14319BC4" w14:textId="77777777" w:rsidR="00DC164B" w:rsidRPr="00D83EBC" w:rsidRDefault="00DC164B" w:rsidP="00D83EBC">
      <w:pPr>
        <w:pStyle w:val="ECHRHeading5"/>
      </w:pPr>
      <w:r>
        <w:t>(i) Status ofiary skarżącego</w:t>
      </w:r>
    </w:p>
    <w:p w14:paraId="4E315F35" w14:textId="3D1590D0" w:rsidR="00DC164B" w:rsidRPr="00D83EBC" w:rsidRDefault="00425781" w:rsidP="00D83EBC">
      <w:pPr>
        <w:pStyle w:val="ECHRPara"/>
      </w:pPr>
      <w:r>
        <w:t>91</w:t>
      </w:r>
      <w:r w:rsidR="00DC164B">
        <w:t>.</w:t>
      </w:r>
      <w:r>
        <w:t xml:space="preserve"> </w:t>
      </w:r>
      <w:r w:rsidR="00DC164B">
        <w:t>Skarżący podniósł, że jego odwołanie z urzędu oraz następujące po</w:t>
      </w:r>
      <w:r w:rsidR="00510B2D">
        <w:t> </w:t>
      </w:r>
      <w:r w:rsidR="00DC164B">
        <w:t xml:space="preserve">tym </w:t>
      </w:r>
      <w:r w:rsidR="008D2ECE">
        <w:t>rozwiązanie</w:t>
      </w:r>
      <w:r w:rsidR="00DC164B">
        <w:t xml:space="preserve"> stosunku pracy były konsekwencją wcześniejszych niezgodnych z prawem środków i błędnych decyzji podjętych przez Urząd </w:t>
      </w:r>
      <w:r w:rsidR="00DC164B">
        <w:lastRenderedPageBreak/>
        <w:t xml:space="preserve">Bezpieczeństwa Narodowego, które zaskarżył w postępowaniach administracyjnych i sądowych oraz </w:t>
      </w:r>
      <w:r w:rsidR="008D2ECE">
        <w:t>do Trybunału Konstytucyjnego</w:t>
      </w:r>
      <w:r w:rsidR="00DC164B">
        <w:t>.</w:t>
      </w:r>
    </w:p>
    <w:p w14:paraId="571E4626" w14:textId="15BEF065" w:rsidR="00DC164B" w:rsidRPr="00D83EBC" w:rsidRDefault="00425781" w:rsidP="00D83EBC">
      <w:pPr>
        <w:pStyle w:val="ECHRPara"/>
      </w:pPr>
      <w:r>
        <w:t>92</w:t>
      </w:r>
      <w:r w:rsidR="00DC164B">
        <w:t>.</w:t>
      </w:r>
      <w:r>
        <w:t xml:space="preserve"> </w:t>
      </w:r>
      <w:r w:rsidR="00DC164B">
        <w:t>Mając na uwadze presję psychologiczną, jaka została na niego wywarta, nie miał innego wyjścia</w:t>
      </w:r>
      <w:r w:rsidR="008D2ECE">
        <w:t>,</w:t>
      </w:r>
      <w:r w:rsidR="00DC164B">
        <w:t xml:space="preserve"> jak opuścić stanowisko i zrezygnować z</w:t>
      </w:r>
      <w:r w:rsidR="00510B2D">
        <w:t> </w:t>
      </w:r>
      <w:r w:rsidR="00DC164B">
        <w:t>zatrudnienia.</w:t>
      </w:r>
    </w:p>
    <w:p w14:paraId="3F760E19" w14:textId="59190AE3" w:rsidR="00DC164B" w:rsidRPr="00D83EBC" w:rsidRDefault="00DC164B" w:rsidP="00D83EBC">
      <w:pPr>
        <w:pStyle w:val="ECHRHeading5"/>
      </w:pPr>
      <w:r>
        <w:t xml:space="preserve">(ii) Zastosowanie </w:t>
      </w:r>
      <w:r w:rsidR="00307B53">
        <w:t>art.</w:t>
      </w:r>
      <w:r>
        <w:t xml:space="preserve"> 6 ust. 1 Konwencji</w:t>
      </w:r>
    </w:p>
    <w:p w14:paraId="2F07BD4F" w14:textId="76B9DC3F" w:rsidR="00DC164B" w:rsidRPr="00D83EBC" w:rsidRDefault="00425781" w:rsidP="00D83EBC">
      <w:pPr>
        <w:pStyle w:val="ECHRPara"/>
      </w:pPr>
      <w:r>
        <w:t>93</w:t>
      </w:r>
      <w:r w:rsidR="00DC164B">
        <w:t>.</w:t>
      </w:r>
      <w:r>
        <w:t xml:space="preserve"> </w:t>
      </w:r>
      <w:r w:rsidR="00DC164B">
        <w:t>Skarżący podniósł, że decyzja udzielająca lub anulująca poświadczenie bezpieczeństwa nie była wtedy i nie jest teraz zależna od</w:t>
      </w:r>
      <w:r w:rsidR="00510B2D">
        <w:t> </w:t>
      </w:r>
      <w:r w:rsidR="00DC164B">
        <w:t>oceny Urzędu, lecz musi być udzielona</w:t>
      </w:r>
      <w:r w:rsidR="00C62A72">
        <w:t>,</w:t>
      </w:r>
      <w:r w:rsidR="00DC164B">
        <w:t xml:space="preserve"> jeżeli spełnione są ustawowe warunki</w:t>
      </w:r>
      <w:r w:rsidR="00C62A72">
        <w:t>.</w:t>
      </w:r>
      <w:r w:rsidR="00DC164B">
        <w:t xml:space="preserve"> </w:t>
      </w:r>
      <w:r w:rsidR="003E46F3">
        <w:t>W związku z powyższym</w:t>
      </w:r>
      <w:r w:rsidR="00DC164B">
        <w:t xml:space="preserve">, przepisy prawa czeskiego </w:t>
      </w:r>
      <w:r w:rsidR="00C62A72">
        <w:t xml:space="preserve">przewidują </w:t>
      </w:r>
      <w:r w:rsidR="00DC164B">
        <w:t xml:space="preserve">prawo dostępu do informacji </w:t>
      </w:r>
      <w:r w:rsidR="00C62A72">
        <w:t xml:space="preserve">niejawnych </w:t>
      </w:r>
      <w:r w:rsidR="00DC164B">
        <w:t>po spełnieniu warunków ustawowych.</w:t>
      </w:r>
    </w:p>
    <w:p w14:paraId="56F64C93" w14:textId="3B8D623B" w:rsidR="00DC164B" w:rsidRPr="00D83EBC" w:rsidRDefault="00425781" w:rsidP="00D83EBC">
      <w:pPr>
        <w:pStyle w:val="ECHRPara"/>
      </w:pPr>
      <w:r>
        <w:t>94</w:t>
      </w:r>
      <w:r w:rsidR="00DC164B">
        <w:t>.</w:t>
      </w:r>
      <w:r>
        <w:t xml:space="preserve"> </w:t>
      </w:r>
      <w:r w:rsidR="00DC164B">
        <w:t xml:space="preserve">Stwierdził, że jego skarga dotyczyła </w:t>
      </w:r>
      <w:r w:rsidR="00C62A72">
        <w:t xml:space="preserve">nie tylko </w:t>
      </w:r>
      <w:r w:rsidR="00DC164B">
        <w:t>cofnięcia jego poświadczenia bezpieczeństwa samego w sobie, ale też środków proceduralnych podjętych przez władze administracyjne i sądy, które</w:t>
      </w:r>
      <w:r w:rsidR="00510B2D">
        <w:t> </w:t>
      </w:r>
      <w:r w:rsidR="00DC164B">
        <w:t>doprowadziły do cofnięcia jego poświadczenia.</w:t>
      </w:r>
    </w:p>
    <w:p w14:paraId="41E48B2E" w14:textId="4DDAC280" w:rsidR="00DC164B" w:rsidRPr="00D83EBC" w:rsidRDefault="00425781" w:rsidP="00D83EBC">
      <w:pPr>
        <w:pStyle w:val="ECHRPara"/>
      </w:pPr>
      <w:r>
        <w:t>95</w:t>
      </w:r>
      <w:r w:rsidR="00DC164B">
        <w:t>.</w:t>
      </w:r>
      <w:r>
        <w:t xml:space="preserve"> </w:t>
      </w:r>
      <w:r w:rsidR="00DC164B">
        <w:t>Skarżący wskazał również, że cofnięcie jego poświadczenia bezpieczeństwo miało skutek w postaci niemożności kontynuowania przez niego wykonywania swoich obowiązków. Jako zastępca wiceministra obrony oraz dyrektor departamentu adm</w:t>
      </w:r>
      <w:r w:rsidR="00C62A72">
        <w:t>inistracji majątku Ministerstwa</w:t>
      </w:r>
      <w:r w:rsidR="00DC164B">
        <w:t xml:space="preserve"> skarżący regularnie miał kontakt z informacjami </w:t>
      </w:r>
      <w:r w:rsidR="00C62A72">
        <w:t>niejawnymi</w:t>
      </w:r>
      <w:r w:rsidR="00DC164B">
        <w:t>, co stało się niemożliwe bez poświa</w:t>
      </w:r>
      <w:r w:rsidR="00C62A72">
        <w:t>dczenia bezpieczeństwa. A zatem</w:t>
      </w:r>
      <w:r w:rsidR="00DC164B">
        <w:t xml:space="preserve"> musiał przestać pracować dla Ministerstwa Obrony. Dodał, że nie był w stanie wykonywać innych obowiązków wymagających poświadczenia bezpieczeństwa. Zakończył stwierdzeniem, że sprawa dotyczyła jego praw </w:t>
      </w:r>
      <w:r w:rsidR="009F12F2">
        <w:t>o charakterze cywilnym</w:t>
      </w:r>
      <w:r w:rsidR="00C62A72">
        <w:t>, a zatem</w:t>
      </w:r>
      <w:r w:rsidR="00DC164B">
        <w:t xml:space="preserve"> </w:t>
      </w:r>
      <w:r w:rsidR="00307B53">
        <w:t xml:space="preserve">art. </w:t>
      </w:r>
      <w:r w:rsidR="00DC164B">
        <w:t>6 ust. 1 Konwencji znajduje zastosowanie w</w:t>
      </w:r>
      <w:r w:rsidR="00510B2D">
        <w:t> </w:t>
      </w:r>
      <w:r w:rsidR="00DC164B">
        <w:t>niniejszej sprawie.</w:t>
      </w:r>
    </w:p>
    <w:p w14:paraId="77BC2D23" w14:textId="5C648363" w:rsidR="00DC164B" w:rsidRPr="00D83EBC" w:rsidRDefault="00DC164B" w:rsidP="00D83EBC">
      <w:pPr>
        <w:pStyle w:val="ECHRHeading3"/>
      </w:pPr>
      <w:r>
        <w:t>2.</w:t>
      </w:r>
      <w:r w:rsidR="00425781">
        <w:t xml:space="preserve"> </w:t>
      </w:r>
      <w:r>
        <w:t>Ocena Trybunału</w:t>
      </w:r>
    </w:p>
    <w:p w14:paraId="091C9838" w14:textId="77777777" w:rsidR="00DC164B" w:rsidRPr="00D83EBC" w:rsidRDefault="00DC164B" w:rsidP="00D83EBC">
      <w:pPr>
        <w:pStyle w:val="ECHRHeading4"/>
      </w:pPr>
      <w:r>
        <w:t>(a) Czy skarżący był ofiarą</w:t>
      </w:r>
    </w:p>
    <w:p w14:paraId="2908639A" w14:textId="49305E9F" w:rsidR="00DC164B" w:rsidRPr="00D83EBC" w:rsidRDefault="00425781" w:rsidP="00D83EBC">
      <w:pPr>
        <w:pStyle w:val="ECHRPara"/>
      </w:pPr>
      <w:r>
        <w:t>96</w:t>
      </w:r>
      <w:r w:rsidR="00DC164B">
        <w:t>.</w:t>
      </w:r>
      <w:r>
        <w:t xml:space="preserve"> </w:t>
      </w:r>
      <w:r w:rsidR="00DC164B" w:rsidRPr="00085EED">
        <w:t xml:space="preserve">Trybunał zauważa na wstępie, że Rząd </w:t>
      </w:r>
      <w:r w:rsidR="00DC164B" w:rsidRPr="00085EED">
        <w:rPr>
          <w:rStyle w:val="tlid-translation"/>
        </w:rPr>
        <w:t xml:space="preserve">nie jest pozbawiony </w:t>
      </w:r>
      <w:r w:rsidR="00AC291A">
        <w:rPr>
          <w:rStyle w:val="tlid-translation"/>
        </w:rPr>
        <w:t xml:space="preserve">[z uwagi na </w:t>
      </w:r>
      <w:r w:rsidR="00085EED" w:rsidRPr="00085EED">
        <w:rPr>
          <w:rStyle w:val="tlid-translation"/>
          <w:i/>
        </w:rPr>
        <w:t>estoppel</w:t>
      </w:r>
      <w:r w:rsidR="00AC291A">
        <w:rPr>
          <w:rStyle w:val="tlid-translation"/>
        </w:rPr>
        <w:t>]</w:t>
      </w:r>
      <w:r w:rsidR="00085EED" w:rsidRPr="00085EED">
        <w:rPr>
          <w:rStyle w:val="tlid-translation"/>
          <w:i/>
        </w:rPr>
        <w:t xml:space="preserve"> </w:t>
      </w:r>
      <w:r w:rsidR="00DC164B" w:rsidRPr="00085EED">
        <w:rPr>
          <w:rStyle w:val="tlid-translation"/>
        </w:rPr>
        <w:t>możliwości kwestionowania statusu ofiary skarżącego po raz pierwszy przed Wielką Izb</w:t>
      </w:r>
      <w:r w:rsidR="00DC164B" w:rsidRPr="00341C4A">
        <w:rPr>
          <w:rStyle w:val="tlid-translation"/>
        </w:rPr>
        <w:t>ą</w:t>
      </w:r>
      <w:r w:rsidR="00DC164B" w:rsidRPr="00341C4A">
        <w:t>,</w:t>
      </w:r>
      <w:r w:rsidR="00DC164B" w:rsidRPr="00085EED">
        <w:t xml:space="preserve"> zwłaszcza że [Wielka Izba] zwróciła się do</w:t>
      </w:r>
      <w:r w:rsidR="003C1B1C">
        <w:t> </w:t>
      </w:r>
      <w:r w:rsidR="00DC164B" w:rsidRPr="00085EED">
        <w:t>stron z pytaniem w tej sprawie z</w:t>
      </w:r>
      <w:r w:rsidR="00DC164B">
        <w:t xml:space="preserve"> własnej inicjatywy (zob. sprawa </w:t>
      </w:r>
      <w:r w:rsidR="00DC164B">
        <w:rPr>
          <w:i/>
          <w:iCs/>
        </w:rPr>
        <w:t>Blečić przeciwko Chorwacji</w:t>
      </w:r>
      <w:r w:rsidR="00DC164B">
        <w:t xml:space="preserve"> [WI], nr 59532/00, §§ 63-67, ECHR 2006-III).</w:t>
      </w:r>
    </w:p>
    <w:p w14:paraId="41E1DAD2" w14:textId="6ACE41E4" w:rsidR="00DC164B" w:rsidRPr="00D83EBC" w:rsidRDefault="00425781" w:rsidP="00D83EBC">
      <w:pPr>
        <w:pStyle w:val="ECHRPara"/>
      </w:pPr>
      <w:r>
        <w:t>97</w:t>
      </w:r>
      <w:r w:rsidR="00DC164B">
        <w:t>.</w:t>
      </w:r>
      <w:r>
        <w:t xml:space="preserve"> </w:t>
      </w:r>
      <w:r w:rsidR="00DC164B">
        <w:t xml:space="preserve">Wielka Izba odnotowuje, że może, podobnie jak Izba, na mocy </w:t>
      </w:r>
      <w:r w:rsidR="00307B53">
        <w:t>art.</w:t>
      </w:r>
      <w:r w:rsidR="00510B2D">
        <w:t> </w:t>
      </w:r>
      <w:r w:rsidR="00DC164B">
        <w:t xml:space="preserve">35 ust. 4 </w:t>
      </w:r>
      <w:r w:rsidR="00DC164B">
        <w:rPr>
          <w:i/>
          <w:iCs/>
        </w:rPr>
        <w:t>in fine</w:t>
      </w:r>
      <w:r w:rsidR="00085EED">
        <w:t xml:space="preserve"> Konwencji</w:t>
      </w:r>
      <w:r w:rsidR="00DC164B">
        <w:t xml:space="preserve"> „odrzucić każdą skargę, </w:t>
      </w:r>
      <w:r w:rsidR="00085EED">
        <w:t xml:space="preserve">którą </w:t>
      </w:r>
      <w:r w:rsidR="00DC164B">
        <w:t>uzna za</w:t>
      </w:r>
      <w:r w:rsidR="00510B2D">
        <w:t> </w:t>
      </w:r>
      <w:r w:rsidR="00DC164B">
        <w:t xml:space="preserve">niedopuszczalną ... </w:t>
      </w:r>
      <w:r w:rsidR="00085EED">
        <w:t>w każdej fazie postępowania”. A zatem</w:t>
      </w:r>
      <w:r w:rsidR="00DC164B">
        <w:t xml:space="preserve"> nawet na</w:t>
      </w:r>
      <w:r w:rsidR="00510B2D">
        <w:t> </w:t>
      </w:r>
      <w:r w:rsidR="00DC164B">
        <w:t xml:space="preserve">etapie rozstrzygania merytorycznego oraz z zastrzeżeniem </w:t>
      </w:r>
      <w:r w:rsidR="00307B53">
        <w:t>Reguły</w:t>
      </w:r>
      <w:r w:rsidR="00DC164B">
        <w:t xml:space="preserve"> 55 Regulaminu Trybunału Wielka Izba może ponownie rozważyć decyzję o</w:t>
      </w:r>
      <w:r w:rsidR="00510B2D">
        <w:t> </w:t>
      </w:r>
      <w:r w:rsidR="00DC164B">
        <w:t>uznaniu skargi za do</w:t>
      </w:r>
      <w:r w:rsidR="00085EED">
        <w:t xml:space="preserve">puszczalną, </w:t>
      </w:r>
      <w:r w:rsidR="009D419A">
        <w:t>jeśli dojdzie do wniosku</w:t>
      </w:r>
      <w:r w:rsidR="00085EED">
        <w:t>, że powinna ona być uznana</w:t>
      </w:r>
      <w:r w:rsidR="00DC164B">
        <w:t xml:space="preserve"> za niedopuszczalną z jednej z przyczyn podanych w pierwszych </w:t>
      </w:r>
      <w:r w:rsidR="00DC164B">
        <w:lastRenderedPageBreak/>
        <w:t xml:space="preserve">trzech ustępach </w:t>
      </w:r>
      <w:r w:rsidR="00307B53">
        <w:t>art.</w:t>
      </w:r>
      <w:r w:rsidR="00DC164B">
        <w:t xml:space="preserve"> 35 Konwencji (zob. </w:t>
      </w:r>
      <w:r w:rsidR="00DC164B">
        <w:rPr>
          <w:i/>
          <w:iCs/>
        </w:rPr>
        <w:t xml:space="preserve">Vučković </w:t>
      </w:r>
      <w:r w:rsidR="00DE5B4A">
        <w:rPr>
          <w:i/>
          <w:iCs/>
        </w:rPr>
        <w:t>i Inni</w:t>
      </w:r>
      <w:r w:rsidR="00DC164B">
        <w:rPr>
          <w:i/>
          <w:iCs/>
        </w:rPr>
        <w:t xml:space="preserve"> przeciwko Serbii</w:t>
      </w:r>
      <w:r w:rsidR="00DC164B">
        <w:t xml:space="preserve"> (wstępny sprzeciw) [WI], nr 17153/11 i inne, § 56 oraz dalsze odwołania cytowane w wyroku, 25 marca 2014 r.).</w:t>
      </w:r>
    </w:p>
    <w:p w14:paraId="109475E5" w14:textId="4E9AA518" w:rsidR="00DC164B" w:rsidRPr="00D83EBC" w:rsidRDefault="00425781" w:rsidP="00D83EBC">
      <w:pPr>
        <w:pStyle w:val="ECHRPara"/>
      </w:pPr>
      <w:r>
        <w:t>98</w:t>
      </w:r>
      <w:r w:rsidR="00DC164B">
        <w:t>.</w:t>
      </w:r>
      <w:r>
        <w:t xml:space="preserve"> </w:t>
      </w:r>
      <w:r w:rsidR="00DC164B">
        <w:t xml:space="preserve">W świetle szczególnych okoliczności przedmiotowej sprawy status ofiary skarżącego jest ściśle powiązany z treścią skargi z </w:t>
      </w:r>
      <w:r w:rsidR="00307B53">
        <w:t>art.</w:t>
      </w:r>
      <w:r w:rsidR="00DC164B">
        <w:t xml:space="preserve"> 6 ust. 1 Konwencji. Trybunał zatem uważa, że uzasadnione jest dołączenie tej</w:t>
      </w:r>
      <w:r w:rsidR="00510B2D">
        <w:t> </w:t>
      </w:r>
      <w:r w:rsidR="00DC164B">
        <w:t xml:space="preserve">kwestii do badania zastosowania </w:t>
      </w:r>
      <w:r w:rsidR="00307B53">
        <w:t>art.</w:t>
      </w:r>
      <w:r w:rsidR="00DC164B">
        <w:t xml:space="preserve"> 6 ust. 1 Konwencji.</w:t>
      </w:r>
    </w:p>
    <w:p w14:paraId="2A7B903C" w14:textId="1DBC56A7" w:rsidR="00DC164B" w:rsidRPr="00D83EBC" w:rsidRDefault="00DC164B" w:rsidP="00D83EBC">
      <w:pPr>
        <w:pStyle w:val="ECHRHeading4"/>
      </w:pPr>
      <w:r>
        <w:t xml:space="preserve">(b) Zastosowanie </w:t>
      </w:r>
      <w:r w:rsidR="00307B53">
        <w:t>art.</w:t>
      </w:r>
      <w:r>
        <w:t xml:space="preserve"> 6 ust. 1 Konwencji</w:t>
      </w:r>
    </w:p>
    <w:p w14:paraId="6159108E" w14:textId="77777777" w:rsidR="00DC164B" w:rsidRPr="00D83EBC" w:rsidRDefault="00DC164B" w:rsidP="00D83EBC">
      <w:pPr>
        <w:pStyle w:val="ECHRHeading5"/>
      </w:pPr>
      <w:r>
        <w:t>(i) Zasady</w:t>
      </w:r>
    </w:p>
    <w:p w14:paraId="30DD11B8" w14:textId="542CA152" w:rsidR="00DC164B" w:rsidRPr="00D83EBC" w:rsidRDefault="00425781" w:rsidP="00D83EBC">
      <w:pPr>
        <w:pStyle w:val="ECHRPara"/>
        <w:rPr>
          <w:snapToGrid w:val="0"/>
        </w:rPr>
      </w:pPr>
      <w:r>
        <w:t>99</w:t>
      </w:r>
      <w:r w:rsidR="00DC164B">
        <w:t>.</w:t>
      </w:r>
      <w:r>
        <w:t xml:space="preserve"> </w:t>
      </w:r>
      <w:r w:rsidR="00DC164B">
        <w:t xml:space="preserve">Trybunał przypomina, że </w:t>
      </w:r>
      <w:r w:rsidR="009D419A">
        <w:t xml:space="preserve">aby </w:t>
      </w:r>
      <w:r w:rsidR="00307B53">
        <w:t xml:space="preserve">art. </w:t>
      </w:r>
      <w:r w:rsidR="00DC164B">
        <w:t xml:space="preserve">6 ust. 1 </w:t>
      </w:r>
      <w:r w:rsidR="009D419A">
        <w:t xml:space="preserve">w </w:t>
      </w:r>
      <w:r w:rsidR="00DC164B">
        <w:t xml:space="preserve">swoim cywilnym aspekcie </w:t>
      </w:r>
      <w:r w:rsidR="009D419A">
        <w:t xml:space="preserve">mógł mieć zastosowanie, musi </w:t>
      </w:r>
      <w:r w:rsidR="00DC164B">
        <w:t xml:space="preserve">istnieć „spór” na temat „prawa”, </w:t>
      </w:r>
      <w:r w:rsidR="009D419A">
        <w:t>o</w:t>
      </w:r>
      <w:r w:rsidR="00510B2D">
        <w:t> </w:t>
      </w:r>
      <w:r w:rsidR="009D419A">
        <w:t>którym można powiedzieć</w:t>
      </w:r>
      <w:r w:rsidR="00DC164B">
        <w:t xml:space="preserve">, przynajmniej </w:t>
      </w:r>
      <w:r w:rsidR="00DC164B" w:rsidRPr="00341C4A">
        <w:t xml:space="preserve">na podstawie </w:t>
      </w:r>
      <w:r w:rsidR="009D419A" w:rsidRPr="00341C4A">
        <w:t>dających się uzasadnić</w:t>
      </w:r>
      <w:r w:rsidR="00B538FE">
        <w:t xml:space="preserve"> argumentów</w:t>
      </w:r>
      <w:r w:rsidR="009D419A" w:rsidRPr="009D419A">
        <w:rPr>
          <w:i/>
        </w:rPr>
        <w:t xml:space="preserve"> (arguable grounds)</w:t>
      </w:r>
      <w:r w:rsidR="00DC164B">
        <w:t xml:space="preserve">, </w:t>
      </w:r>
      <w:r w:rsidR="009D419A">
        <w:t xml:space="preserve">że jest uznane </w:t>
      </w:r>
      <w:r w:rsidR="00DC164B">
        <w:t>na mocy prawa krajowego, niezależnie od tego, czy dane prawo jest chronione na mocy Konwencji. Spór ten musi być rzeczywisty i poważny; może dotyczyć nie tylko rzeczywistego istnienia prawa, ale też jego zakresu czy sposobu wykonania; a wreszcie, wynik postępowania musi mieć bezpośrednio wpływ na dane prawo; sam luźny związek lub dalekie konsekwencje nie</w:t>
      </w:r>
      <w:r w:rsidR="00510B2D">
        <w:t> </w:t>
      </w:r>
      <w:r w:rsidR="00DC164B">
        <w:t xml:space="preserve">wystarczają, by powołać się na </w:t>
      </w:r>
      <w:r w:rsidR="00307B53">
        <w:t xml:space="preserve">art. </w:t>
      </w:r>
      <w:r w:rsidR="00DC164B">
        <w:t>6 ust. 1</w:t>
      </w:r>
      <w:r w:rsidR="00DC164B">
        <w:rPr>
          <w:snapToGrid w:val="0"/>
        </w:rPr>
        <w:t>.</w:t>
      </w:r>
    </w:p>
    <w:p w14:paraId="2BFD9C88" w14:textId="5FAAD339" w:rsidR="00DC164B" w:rsidRPr="00FB770D" w:rsidRDefault="00425781" w:rsidP="00D83EBC">
      <w:pPr>
        <w:pStyle w:val="ECHRPara"/>
      </w:pPr>
      <w:r>
        <w:rPr>
          <w:snapToGrid w:val="0"/>
        </w:rPr>
        <w:t>100</w:t>
      </w:r>
      <w:r w:rsidR="00DC164B">
        <w:rPr>
          <w:snapToGrid w:val="0"/>
        </w:rPr>
        <w:t>.</w:t>
      </w:r>
      <w:r>
        <w:rPr>
          <w:snapToGrid w:val="0"/>
        </w:rPr>
        <w:t xml:space="preserve"> </w:t>
      </w:r>
      <w:r w:rsidR="00DC164B">
        <w:t>W odniesieniu najpierw do istnienia prawa Trybunał przywołuje, że</w:t>
      </w:r>
      <w:r w:rsidR="00510B2D">
        <w:t> </w:t>
      </w:r>
      <w:r w:rsidR="00DC164B">
        <w:t xml:space="preserve">punktem wyjścia muszą być przepisy prawa krajowego i ich interpretacja przez sądy krajowe (zob. </w:t>
      </w:r>
      <w:r w:rsidR="00DC164B">
        <w:rPr>
          <w:i/>
          <w:iCs/>
        </w:rPr>
        <w:t>Masson and Van Zon przeciwko Holandii</w:t>
      </w:r>
      <w:r w:rsidR="00DC164B">
        <w:t>, 28</w:t>
      </w:r>
      <w:r w:rsidR="00510B2D">
        <w:t> </w:t>
      </w:r>
      <w:r w:rsidR="00DC164B">
        <w:t>września 1995 r., § 49, Seria A nr 327</w:t>
      </w:r>
      <w:r w:rsidR="00DC164B">
        <w:noBreakHyphen/>
        <w:t xml:space="preserve">A; </w:t>
      </w:r>
      <w:r w:rsidR="00DC164B">
        <w:rPr>
          <w:i/>
          <w:iCs/>
        </w:rPr>
        <w:t xml:space="preserve">Roche przeciwko Wielkiej Brytanii </w:t>
      </w:r>
      <w:r w:rsidR="00DC164B">
        <w:t>[WI], nr 32555/96, § 120, ECHR 2005</w:t>
      </w:r>
      <w:r w:rsidR="00DC164B">
        <w:noBreakHyphen/>
        <w:t xml:space="preserve">X; </w:t>
      </w:r>
      <w:r w:rsidR="00DC164B">
        <w:rPr>
          <w:i/>
          <w:iCs/>
        </w:rPr>
        <w:t>Boulois przeciwko Luksemburgowi</w:t>
      </w:r>
      <w:r w:rsidR="00DC164B">
        <w:t xml:space="preserve"> [WI], nr 37575/04, § 91, </w:t>
      </w:r>
      <w:r w:rsidR="00DC164B">
        <w:rPr>
          <w:snapToGrid w:val="0"/>
        </w:rPr>
        <w:t>ECHR 2012</w:t>
      </w:r>
      <w:r w:rsidR="00DC164B">
        <w:t xml:space="preserve">; </w:t>
      </w:r>
      <w:r w:rsidR="00DC164B">
        <w:rPr>
          <w:i/>
          <w:iCs/>
        </w:rPr>
        <w:t>Al-Dulimi i Montana Management Inc. przeciwko Szwajcarii</w:t>
      </w:r>
      <w:r w:rsidR="00DC164B">
        <w:t xml:space="preserve"> [WI],</w:t>
      </w:r>
      <w:r w:rsidR="00DC164B">
        <w:rPr>
          <w:snapToGrid w:val="0"/>
        </w:rPr>
        <w:t xml:space="preserve"> </w:t>
      </w:r>
      <w:r w:rsidR="00DC164B">
        <w:t>nr 5809/08</w:t>
      </w:r>
      <w:r w:rsidR="00DC164B">
        <w:rPr>
          <w:snapToGrid w:val="0"/>
        </w:rPr>
        <w:t>, § 97, ECHR 2016</w:t>
      </w:r>
      <w:r w:rsidR="00DC164B">
        <w:t xml:space="preserve">, i dalsze odwołania podane w wyroku; </w:t>
      </w:r>
      <w:r w:rsidR="00DC164B">
        <w:rPr>
          <w:i/>
          <w:iCs/>
        </w:rPr>
        <w:t xml:space="preserve">Baka przeciwko Węgrom </w:t>
      </w:r>
      <w:r w:rsidR="00DC164B">
        <w:t>[WI], nr 20261/12</w:t>
      </w:r>
      <w:r w:rsidR="00DC164B">
        <w:rPr>
          <w:snapToGrid w:val="0"/>
        </w:rPr>
        <w:t xml:space="preserve">, § 101, ECHR 2016; i </w:t>
      </w:r>
      <w:r w:rsidR="00DC164B">
        <w:rPr>
          <w:i/>
          <w:iCs/>
        </w:rPr>
        <w:t xml:space="preserve">Lupeni Greek Catholic Parish </w:t>
      </w:r>
      <w:r w:rsidR="00DE5B4A">
        <w:rPr>
          <w:i/>
          <w:iCs/>
        </w:rPr>
        <w:t>i Inni</w:t>
      </w:r>
      <w:r w:rsidR="00DC164B">
        <w:rPr>
          <w:i/>
          <w:iCs/>
        </w:rPr>
        <w:t xml:space="preserve"> przeciwko Rumunii</w:t>
      </w:r>
      <w:r w:rsidR="00DC164B">
        <w:t xml:space="preserve"> [WI], nr 76943/11, § 71, ECHR 2016 (fragmenty), i dalsze odwołania podane w wyroku).</w:t>
      </w:r>
      <w:r w:rsidR="00DC164B">
        <w:rPr>
          <w:snapToGrid w:val="0"/>
        </w:rPr>
        <w:t xml:space="preserve"> </w:t>
      </w:r>
      <w:r w:rsidR="00307B53">
        <w:rPr>
          <w:snapToGrid w:val="0"/>
        </w:rPr>
        <w:t xml:space="preserve">Art. </w:t>
      </w:r>
      <w:r w:rsidR="00DC164B">
        <w:rPr>
          <w:snapToGrid w:val="0"/>
        </w:rPr>
        <w:t>6 ust. 1 nie</w:t>
      </w:r>
      <w:r w:rsidR="003C1B1C">
        <w:rPr>
          <w:snapToGrid w:val="0"/>
        </w:rPr>
        <w:t> </w:t>
      </w:r>
      <w:r w:rsidR="00DC164B">
        <w:rPr>
          <w:snapToGrid w:val="0"/>
        </w:rPr>
        <w:t xml:space="preserve">gwarantuje żadnej szczególnej treści „praw i obowiązków” w prawie materialnym </w:t>
      </w:r>
      <w:r w:rsidR="009D419A">
        <w:rPr>
          <w:snapToGrid w:val="0"/>
        </w:rPr>
        <w:t xml:space="preserve">Układających się </w:t>
      </w:r>
      <w:r w:rsidR="00DC164B">
        <w:rPr>
          <w:snapToGrid w:val="0"/>
        </w:rPr>
        <w:t xml:space="preserve">Państw: Trybunał nie może tworzyć, poprzez interpretowanie </w:t>
      </w:r>
      <w:r w:rsidR="00307B53">
        <w:rPr>
          <w:snapToGrid w:val="0"/>
        </w:rPr>
        <w:t>art.</w:t>
      </w:r>
      <w:r w:rsidR="00DC164B">
        <w:rPr>
          <w:snapToGrid w:val="0"/>
        </w:rPr>
        <w:t xml:space="preserve"> 6 ust. 1, prawa materialnego, które nie ma podstawy prawnej w danym Państwie </w:t>
      </w:r>
      <w:r w:rsidR="00DC164B">
        <w:t xml:space="preserve">(zob. np. </w:t>
      </w:r>
      <w:r w:rsidR="00DC164B">
        <w:rPr>
          <w:i/>
          <w:iCs/>
        </w:rPr>
        <w:t>Fayed przeciwko Wielkiej Brytanii</w:t>
      </w:r>
      <w:r w:rsidR="00DC164B">
        <w:t>, 21</w:t>
      </w:r>
      <w:r w:rsidR="00510B2D">
        <w:t> </w:t>
      </w:r>
      <w:r w:rsidR="00DC164B">
        <w:t>września 1994 r., § 65, Seria A nr 294</w:t>
      </w:r>
      <w:r w:rsidR="00DC164B">
        <w:noBreakHyphen/>
        <w:t xml:space="preserve">B; </w:t>
      </w:r>
      <w:r w:rsidR="00DC164B">
        <w:rPr>
          <w:i/>
          <w:iCs/>
        </w:rPr>
        <w:t>Roche</w:t>
      </w:r>
      <w:r w:rsidR="00DC164B">
        <w:t>, cyt. powyżej, § 119; i</w:t>
      </w:r>
      <w:r w:rsidR="00510B2D">
        <w:t> </w:t>
      </w:r>
      <w:r w:rsidR="00DC164B">
        <w:rPr>
          <w:i/>
          <w:iCs/>
        </w:rPr>
        <w:t>Boulois</w:t>
      </w:r>
      <w:r w:rsidR="00DC164B">
        <w:t>, cyt. powyżej, § 91).</w:t>
      </w:r>
    </w:p>
    <w:p w14:paraId="3B6ADB55" w14:textId="7B96445D" w:rsidR="00DC164B" w:rsidRPr="00D83EBC" w:rsidRDefault="00425781" w:rsidP="00D83EBC">
      <w:pPr>
        <w:pStyle w:val="ECHRPara"/>
      </w:pPr>
      <w:r>
        <w:t>101</w:t>
      </w:r>
      <w:r w:rsidR="00DC164B">
        <w:t>.</w:t>
      </w:r>
      <w:r>
        <w:t xml:space="preserve"> </w:t>
      </w:r>
      <w:r w:rsidR="00DC164B">
        <w:t>W związku z tym Trybunał stwierdza, że prawo nadane w ten sposób prawem krajowym może być materialne lub proceduralne, lub</w:t>
      </w:r>
      <w:r w:rsidR="00510B2D">
        <w:t> </w:t>
      </w:r>
      <w:r w:rsidR="00DC164B">
        <w:t>alternatywnie, może być ich kombinacją.</w:t>
      </w:r>
    </w:p>
    <w:p w14:paraId="0D6D2220" w14:textId="0509D095" w:rsidR="00DC164B" w:rsidRPr="00D83EBC" w:rsidRDefault="00425781" w:rsidP="00D83EBC">
      <w:pPr>
        <w:pStyle w:val="ECHRPara"/>
      </w:pPr>
      <w:r>
        <w:t>102</w:t>
      </w:r>
      <w:r w:rsidR="00DC164B">
        <w:t>.</w:t>
      </w:r>
      <w:r>
        <w:t xml:space="preserve"> </w:t>
      </w:r>
      <w:r w:rsidR="00DC164B">
        <w:t xml:space="preserve">Nie może być wątpliwości na temat faktu, że prawo w rozumieniu </w:t>
      </w:r>
      <w:r w:rsidR="00307B53">
        <w:t>art.</w:t>
      </w:r>
      <w:r w:rsidR="00DC164B">
        <w:t xml:space="preserve"> 6 ust. 1</w:t>
      </w:r>
      <w:r w:rsidR="009D419A">
        <w:t xml:space="preserve"> istnieje</w:t>
      </w:r>
      <w:r w:rsidR="00B1488E">
        <w:t>, gdzie prawu</w:t>
      </w:r>
      <w:r w:rsidR="00DC164B">
        <w:t xml:space="preserve"> materialne</w:t>
      </w:r>
      <w:r w:rsidR="00B1488E">
        <w:t>mu</w:t>
      </w:r>
      <w:r w:rsidR="00DC164B">
        <w:t xml:space="preserve"> uznawane</w:t>
      </w:r>
      <w:r w:rsidR="00B1488E">
        <w:t>mu</w:t>
      </w:r>
      <w:r w:rsidR="00DC164B">
        <w:t xml:space="preserve"> w prawie krajowym a towarzyszy prawo proceduralne do dochodzenia danego prawa </w:t>
      </w:r>
      <w:r w:rsidR="00DC164B">
        <w:lastRenderedPageBreak/>
        <w:t>w sądzie. Sam fakt, że brzmienie przepisu prawnego zezwala na</w:t>
      </w:r>
      <w:r w:rsidR="00510B2D">
        <w:t> </w:t>
      </w:r>
      <w:r w:rsidR="00DC164B">
        <w:t xml:space="preserve">element </w:t>
      </w:r>
      <w:r w:rsidR="009D419A">
        <w:t xml:space="preserve">uznaniowości </w:t>
      </w:r>
      <w:r w:rsidR="00DC164B">
        <w:t>nie wyklucza istnienia prawa (zob.</w:t>
      </w:r>
      <w:r>
        <w:t xml:space="preserve"> </w:t>
      </w:r>
      <w:r w:rsidR="00DC164B">
        <w:rPr>
          <w:i/>
          <w:iCs/>
        </w:rPr>
        <w:t xml:space="preserve">Camps przeciwko Francji </w:t>
      </w:r>
      <w:r w:rsidR="00DC164B">
        <w:t>(dec.), nr</w:t>
      </w:r>
      <w:r w:rsidR="00DC164B">
        <w:rPr>
          <w:vertAlign w:val="superscript"/>
        </w:rPr>
        <w:t> </w:t>
      </w:r>
      <w:r w:rsidR="00DC164B">
        <w:t xml:space="preserve">42401/98, 24 października 2000 r., i </w:t>
      </w:r>
      <w:r w:rsidR="00DC164B">
        <w:rPr>
          <w:i/>
          <w:iCs/>
        </w:rPr>
        <w:t xml:space="preserve">Ellès </w:t>
      </w:r>
      <w:r w:rsidR="00DE5B4A">
        <w:rPr>
          <w:i/>
          <w:iCs/>
        </w:rPr>
        <w:t>i Inni</w:t>
      </w:r>
      <w:r w:rsidR="00DC164B">
        <w:rPr>
          <w:i/>
          <w:iCs/>
        </w:rPr>
        <w:t xml:space="preserve"> przeciwko Szwajcarii</w:t>
      </w:r>
      <w:r w:rsidR="00DC164B">
        <w:t>, nr 12573/06, § 16, 16 grudnia 2010 r.</w:t>
      </w:r>
      <w:r w:rsidR="00DC164B">
        <w:rPr>
          <w:snapToGrid w:val="0"/>
        </w:rPr>
        <w:t xml:space="preserve">; i, z drugiej strony, </w:t>
      </w:r>
      <w:r w:rsidR="00DC164B">
        <w:rPr>
          <w:i/>
          <w:iCs/>
          <w:snapToGrid w:val="0"/>
        </w:rPr>
        <w:t xml:space="preserve">Boulois, </w:t>
      </w:r>
      <w:r w:rsidR="00DC164B">
        <w:rPr>
          <w:snapToGrid w:val="0"/>
        </w:rPr>
        <w:t xml:space="preserve">cyt. powyżej, § 99, i </w:t>
      </w:r>
      <w:r w:rsidR="00DC164B">
        <w:rPr>
          <w:i/>
          <w:iCs/>
        </w:rPr>
        <w:t>Miessen przeciwko Belgii</w:t>
      </w:r>
      <w:r w:rsidR="00DC164B">
        <w:t>, nr 31517/12, § 48, 18 października 2016 r.</w:t>
      </w:r>
      <w:r w:rsidR="00DC164B">
        <w:rPr>
          <w:snapToGrid w:val="0"/>
        </w:rPr>
        <w:t xml:space="preserve">). Rzeczywiście, </w:t>
      </w:r>
      <w:r w:rsidR="00307B53">
        <w:t xml:space="preserve">art. </w:t>
      </w:r>
      <w:r w:rsidR="00DC164B">
        <w:t>6 ma</w:t>
      </w:r>
      <w:r w:rsidR="00510B2D">
        <w:t> </w:t>
      </w:r>
      <w:r w:rsidR="00DC164B">
        <w:t xml:space="preserve">zastosowanie tam, gdzie postępowanie sądowe dotyczy decyzji zależnej od uznania, </w:t>
      </w:r>
      <w:r w:rsidR="00B1488E">
        <w:t>wywierające</w:t>
      </w:r>
      <w:r w:rsidR="00DC164B">
        <w:t xml:space="preserve">j skutek w postaci </w:t>
      </w:r>
      <w:r w:rsidR="009B5A5E">
        <w:t xml:space="preserve">ingerencji w </w:t>
      </w:r>
      <w:r w:rsidR="00DC164B">
        <w:t>prawa skarżącego (zob.</w:t>
      </w:r>
      <w:r w:rsidR="00510B2D">
        <w:t> </w:t>
      </w:r>
      <w:r w:rsidR="00DC164B">
        <w:rPr>
          <w:i/>
          <w:iCs/>
        </w:rPr>
        <w:t>Pudas przeciwko Szwecji</w:t>
      </w:r>
      <w:r w:rsidR="00DC164B">
        <w:t>, 27 października 1987 r., § 34, Seria A nr</w:t>
      </w:r>
      <w:r w:rsidR="00510B2D">
        <w:t> </w:t>
      </w:r>
      <w:r w:rsidR="00DC164B">
        <w:t>125</w:t>
      </w:r>
      <w:r w:rsidR="00DC164B">
        <w:noBreakHyphen/>
        <w:t xml:space="preserve">A; </w:t>
      </w:r>
      <w:r w:rsidR="00DC164B">
        <w:rPr>
          <w:i/>
          <w:iCs/>
        </w:rPr>
        <w:t>Obermeier przeciwko Austrii</w:t>
      </w:r>
      <w:r w:rsidR="00DC164B">
        <w:t xml:space="preserve">, 28 czerwca 1990 r., § 69, Seria A nr 179; oraz </w:t>
      </w:r>
      <w:r w:rsidR="00DC164B">
        <w:rPr>
          <w:i/>
          <w:iCs/>
        </w:rPr>
        <w:t>Mats Jacobsson przeciwko Szwecji</w:t>
      </w:r>
      <w:r w:rsidR="00DC164B">
        <w:t>, 28 czerwca 1990</w:t>
      </w:r>
      <w:r w:rsidR="00510B2D">
        <w:t> </w:t>
      </w:r>
      <w:r w:rsidR="00DC164B">
        <w:t>r., § 32, Seria A nr 180</w:t>
      </w:r>
      <w:r w:rsidR="00DC164B">
        <w:noBreakHyphen/>
        <w:t>A).</w:t>
      </w:r>
    </w:p>
    <w:p w14:paraId="2EC2DBB9" w14:textId="6A58B477" w:rsidR="00DC164B" w:rsidRPr="00D83EBC" w:rsidRDefault="00425781" w:rsidP="00D83EBC">
      <w:pPr>
        <w:pStyle w:val="ECHRPara"/>
      </w:pPr>
      <w:r>
        <w:t>103</w:t>
      </w:r>
      <w:r w:rsidR="00DC164B">
        <w:t>.</w:t>
      </w:r>
      <w:r>
        <w:t xml:space="preserve"> </w:t>
      </w:r>
      <w:r w:rsidR="009D419A">
        <w:t>Jednakże</w:t>
      </w:r>
      <w:r w:rsidR="00DC164B">
        <w:t xml:space="preserve"> </w:t>
      </w:r>
      <w:r w:rsidR="00307B53">
        <w:t xml:space="preserve">art. </w:t>
      </w:r>
      <w:r w:rsidR="00DC164B">
        <w:t>6 nie ma zastosowania, jeżeli prawo krajowe</w:t>
      </w:r>
      <w:r w:rsidR="00B1488E">
        <w:t>,</w:t>
      </w:r>
      <w:r w:rsidR="00DC164B">
        <w:t xml:space="preserve"> bez</w:t>
      </w:r>
      <w:r w:rsidR="00510B2D">
        <w:t> </w:t>
      </w:r>
      <w:r w:rsidR="00DC164B">
        <w:t>nadawania prawa</w:t>
      </w:r>
      <w:r w:rsidR="00B1488E">
        <w:t>,</w:t>
      </w:r>
      <w:r w:rsidR="00DC164B">
        <w:t xml:space="preserve"> udziela pewnej korzyści, o uznanie której nie można ubiegać się przed sądem (zob. sprawa </w:t>
      </w:r>
      <w:r w:rsidR="00DC164B">
        <w:rPr>
          <w:i/>
          <w:iCs/>
        </w:rPr>
        <w:t>Boulois</w:t>
      </w:r>
      <w:r w:rsidR="00DC164B">
        <w:t>, cyt. powyżej, § 90, która</w:t>
      </w:r>
      <w:r w:rsidR="00510B2D">
        <w:t> </w:t>
      </w:r>
      <w:r w:rsidR="00DC164B">
        <w:t>dotyczyła odmowy rady więzienia</w:t>
      </w:r>
      <w:r w:rsidR="009D419A">
        <w:t>,</w:t>
      </w:r>
      <w:r w:rsidR="00DC164B">
        <w:t xml:space="preserve"> by udzielić przepustki więźniowi, bez możliwości odwołania się do sądu administracyjnego). Taka sama sytuacja ma miejsce, jeżeli </w:t>
      </w:r>
      <w:r w:rsidR="00AE6887">
        <w:t xml:space="preserve">według przepisów prawa krajowego </w:t>
      </w:r>
      <w:r w:rsidR="00DC164B">
        <w:t xml:space="preserve">prawo osoby jest ograniczone do zaledwie nadziei otrzymania prawa, przy czym rzeczywiste otrzymanie prawa zależy od w pełni </w:t>
      </w:r>
      <w:r w:rsidR="00AE6887">
        <w:t xml:space="preserve">uznaniowej </w:t>
      </w:r>
      <w:r w:rsidR="00DC164B">
        <w:t>i</w:t>
      </w:r>
      <w:r w:rsidR="00510B2D">
        <w:t> </w:t>
      </w:r>
      <w:r w:rsidR="00DC164B">
        <w:t xml:space="preserve">nieuzasadnionej decyzji władz (zob. sprawa </w:t>
      </w:r>
      <w:r w:rsidR="00DC164B">
        <w:rPr>
          <w:i/>
          <w:iCs/>
        </w:rPr>
        <w:t>Masson i Van Zon</w:t>
      </w:r>
      <w:r w:rsidR="00DC164B">
        <w:t xml:space="preserve">, odwołanie powyżej, §§ 49-51; </w:t>
      </w:r>
      <w:r w:rsidR="00DC164B">
        <w:rPr>
          <w:i/>
          <w:iCs/>
        </w:rPr>
        <w:t>Roche</w:t>
      </w:r>
      <w:r w:rsidR="00DC164B">
        <w:t>, odwołanie powyżej, §§ 122-25;</w:t>
      </w:r>
      <w:r w:rsidR="00DC164B">
        <w:rPr>
          <w:color w:val="FF0000"/>
        </w:rPr>
        <w:t xml:space="preserve"> </w:t>
      </w:r>
      <w:r w:rsidR="00DC164B">
        <w:t xml:space="preserve">i </w:t>
      </w:r>
      <w:r w:rsidR="00DC164B">
        <w:rPr>
          <w:i/>
          <w:iCs/>
        </w:rPr>
        <w:t>Ankarcrona przeciwko Szwecji</w:t>
      </w:r>
      <w:r w:rsidR="00DC164B">
        <w:t xml:space="preserve"> (dec.), nr 35178/97, ECHR 2000</w:t>
      </w:r>
      <w:r w:rsidR="00DC164B">
        <w:noBreakHyphen/>
        <w:t>VI.</w:t>
      </w:r>
    </w:p>
    <w:p w14:paraId="04742798" w14:textId="618EB37D" w:rsidR="00DC164B" w:rsidRPr="00D83EBC" w:rsidRDefault="00425781" w:rsidP="00D83EBC">
      <w:pPr>
        <w:pStyle w:val="ECHRPara"/>
      </w:pPr>
      <w:r>
        <w:t>104</w:t>
      </w:r>
      <w:r w:rsidR="00DC164B">
        <w:t>.</w:t>
      </w:r>
      <w:r>
        <w:t xml:space="preserve"> </w:t>
      </w:r>
      <w:r w:rsidR="00DC164B">
        <w:t>Są również sprawy, w których prawo krajowe uznaje, że osoba ma</w:t>
      </w:r>
      <w:r w:rsidR="00510B2D">
        <w:t> </w:t>
      </w:r>
      <w:r w:rsidR="00DC164B">
        <w:t>materialne prawo bez istnienia jednocześnie, z takiej czy innej przyczyny, środków prawnych</w:t>
      </w:r>
      <w:r w:rsidR="005E2BC7">
        <w:t xml:space="preserve"> służących</w:t>
      </w:r>
      <w:r w:rsidR="00DC164B">
        <w:t xml:space="preserve"> </w:t>
      </w:r>
      <w:r w:rsidR="00AE6887">
        <w:t xml:space="preserve">do </w:t>
      </w:r>
      <w:r w:rsidR="00DC164B">
        <w:t>potwierdzenia lub wyegzekwowania prawa za pośrednictwem sądów. Jest to przypadek, przykładowo, immunitetów jurysdykcyjnych regulowanych prawem krajowym. Immunitet</w:t>
      </w:r>
      <w:r w:rsidR="00510B2D">
        <w:t> </w:t>
      </w:r>
      <w:r w:rsidR="00DC164B">
        <w:t xml:space="preserve">postrzegany jest tutaj nie </w:t>
      </w:r>
      <w:r w:rsidR="00AE6887">
        <w:t xml:space="preserve">jako </w:t>
      </w:r>
      <w:r w:rsidR="00DC164B">
        <w:t xml:space="preserve">prawo materialne, lecz jako </w:t>
      </w:r>
      <w:r w:rsidR="00AE6887">
        <w:t>proceduralne ograniczenie uprawnienia sądów krajowych do ustalania</w:t>
      </w:r>
      <w:r w:rsidR="00DC164B">
        <w:t xml:space="preserve"> prawa (zob. </w:t>
      </w:r>
      <w:r w:rsidR="00DC164B">
        <w:rPr>
          <w:i/>
          <w:iCs/>
        </w:rPr>
        <w:t>Al-Adsani przeciwko Wielkiej Brytanii</w:t>
      </w:r>
      <w:r w:rsidR="00DC164B">
        <w:t xml:space="preserve"> [WI], nr 35763/97, § 48, ECHR 2001</w:t>
      </w:r>
      <w:r w:rsidR="00DC164B">
        <w:noBreakHyphen/>
        <w:t>XI oraz</w:t>
      </w:r>
      <w:r w:rsidR="00DC164B">
        <w:rPr>
          <w:i/>
          <w:iCs/>
        </w:rPr>
        <w:t xml:space="preserve"> Cudak przeciwko Litwie</w:t>
      </w:r>
      <w:r w:rsidR="00DC164B">
        <w:t xml:space="preserve"> [WI]</w:t>
      </w:r>
      <w:r w:rsidR="00DC164B">
        <w:rPr>
          <w:snapToGrid w:val="0"/>
        </w:rPr>
        <w:t>, nr</w:t>
      </w:r>
      <w:r w:rsidR="00DC164B">
        <w:t xml:space="preserve"> 15869/02, § 57, ECHR 2010-III).</w:t>
      </w:r>
    </w:p>
    <w:p w14:paraId="771FAE75" w14:textId="7BFC3D48" w:rsidR="00DC164B" w:rsidRPr="00D83EBC" w:rsidRDefault="00425781" w:rsidP="00D83EBC">
      <w:pPr>
        <w:pStyle w:val="ECHRPara"/>
        <w:rPr>
          <w:snapToGrid w:val="0"/>
        </w:rPr>
      </w:pPr>
      <w:r>
        <w:t>105</w:t>
      </w:r>
      <w:r w:rsidR="00DC164B">
        <w:t>.</w:t>
      </w:r>
      <w:r>
        <w:t xml:space="preserve"> </w:t>
      </w:r>
      <w:r w:rsidR="00DC164B">
        <w:t>W niektórych sprawach, wreszcie, prawo krajowe, o ile niekoniecznie uznaje, że jednostka ma prawo</w:t>
      </w:r>
      <w:r w:rsidR="00AE6887" w:rsidRPr="00AE6887">
        <w:t xml:space="preserve"> </w:t>
      </w:r>
      <w:r w:rsidR="00AE6887">
        <w:t>materialne</w:t>
      </w:r>
      <w:r w:rsidR="00DC164B">
        <w:t xml:space="preserve">, przyznaje uprawnienie do </w:t>
      </w:r>
      <w:r w:rsidR="00AE6887">
        <w:t xml:space="preserve">zgodnej z </w:t>
      </w:r>
      <w:r w:rsidR="00DC164B">
        <w:t xml:space="preserve">prawem procedury zbadania roszczenia, </w:t>
      </w:r>
      <w:r w:rsidR="00AE6887">
        <w:t>obejmującej takie kwestie</w:t>
      </w:r>
      <w:r w:rsidR="00DC164B">
        <w:t xml:space="preserve"> jak rozstrzygnięcie, czy dana decyzja była arbitralna czy </w:t>
      </w:r>
      <w:r w:rsidR="00DC164B">
        <w:rPr>
          <w:i/>
          <w:iCs/>
        </w:rPr>
        <w:t>ultra vires</w:t>
      </w:r>
      <w:r w:rsidR="00DC164B">
        <w:t xml:space="preserve">, lub też czy doszło do nieprawidłowości proceduralnych (zob. </w:t>
      </w:r>
      <w:r w:rsidR="00DC164B">
        <w:rPr>
          <w:i/>
          <w:iCs/>
        </w:rPr>
        <w:t xml:space="preserve">Van Marle </w:t>
      </w:r>
      <w:r w:rsidR="00DE5B4A">
        <w:rPr>
          <w:i/>
          <w:iCs/>
        </w:rPr>
        <w:t>i Inni</w:t>
      </w:r>
      <w:r w:rsidR="00DC164B">
        <w:rPr>
          <w:i/>
          <w:iCs/>
        </w:rPr>
        <w:t xml:space="preserve"> przeciwko Holandii</w:t>
      </w:r>
      <w:r w:rsidR="00DC164B">
        <w:t xml:space="preserve">, 26 czerwca 1986 r., § 35, Seria A nr 101, oraz, </w:t>
      </w:r>
      <w:r w:rsidR="00DC164B">
        <w:rPr>
          <w:i/>
          <w:iCs/>
        </w:rPr>
        <w:t>mutatis mutandis</w:t>
      </w:r>
      <w:r w:rsidR="00DC164B">
        <w:t xml:space="preserve">, </w:t>
      </w:r>
      <w:r w:rsidR="00DC164B">
        <w:rPr>
          <w:i/>
          <w:iCs/>
        </w:rPr>
        <w:t>Kök przeciwko Turcji</w:t>
      </w:r>
      <w:r w:rsidR="00DC164B">
        <w:t>, nr 1855/02, § 36, 19 października 2006 r.). Jest to sprawa dotycząca pewnych decyzji, w których władze m</w:t>
      </w:r>
      <w:r w:rsidR="00A306DD">
        <w:t>ają</w:t>
      </w:r>
      <w:r w:rsidR="00DC164B">
        <w:t xml:space="preserve"> wyłącznie dyskrecjonalne uprawnienie do przyznania lub odmówienia korzyści lub przywileju, </w:t>
      </w:r>
      <w:r w:rsidR="00A306DD">
        <w:t>a</w:t>
      </w:r>
      <w:r w:rsidR="00510B2D">
        <w:t> </w:t>
      </w:r>
      <w:r w:rsidR="00DC164B">
        <w:t xml:space="preserve">prawo przyznaje danej osobie prawo zwrócenia się do sądów, które jeżeli stwierdzą, że decyzja była niezgodna z prawem, mogą uchylić tę decyzję. </w:t>
      </w:r>
      <w:r w:rsidR="00DC164B">
        <w:lastRenderedPageBreak/>
        <w:t>W</w:t>
      </w:r>
      <w:r w:rsidR="00510B2D">
        <w:t> </w:t>
      </w:r>
      <w:r w:rsidR="00DC164B">
        <w:t xml:space="preserve">takim przypadku </w:t>
      </w:r>
      <w:r w:rsidR="00307B53">
        <w:t xml:space="preserve">art. </w:t>
      </w:r>
      <w:r w:rsidR="00DC164B">
        <w:t>6 ust. 1 Konwencji</w:t>
      </w:r>
      <w:r w:rsidR="00455214">
        <w:t xml:space="preserve"> ma zastosowanie, pod</w:t>
      </w:r>
      <w:r w:rsidR="00510B2D">
        <w:t> </w:t>
      </w:r>
      <w:r w:rsidR="00455214">
        <w:t>warunkiem że korzyść lub przywilej</w:t>
      </w:r>
      <w:r w:rsidR="00DC164B">
        <w:t xml:space="preserve"> po ich przyznaniu</w:t>
      </w:r>
      <w:r w:rsidR="009155AD">
        <w:t xml:space="preserve"> prowadzi do</w:t>
      </w:r>
      <w:r w:rsidR="00510B2D">
        <w:t> </w:t>
      </w:r>
      <w:r w:rsidR="009155AD">
        <w:t xml:space="preserve">powstania </w:t>
      </w:r>
      <w:r w:rsidR="00DC164B">
        <w:t>praw</w:t>
      </w:r>
      <w:r w:rsidR="00455214">
        <w:t>a</w:t>
      </w:r>
      <w:r w:rsidR="00DC164B">
        <w:t xml:space="preserve"> </w:t>
      </w:r>
      <w:r w:rsidR="009F12F2">
        <w:t xml:space="preserve">o </w:t>
      </w:r>
      <w:r w:rsidR="00DC164B">
        <w:t>charakterze cywilnym</w:t>
      </w:r>
      <w:r w:rsidR="00DC164B">
        <w:rPr>
          <w:snapToGrid w:val="0"/>
        </w:rPr>
        <w:t>.</w:t>
      </w:r>
    </w:p>
    <w:p w14:paraId="1574C035" w14:textId="16D71582" w:rsidR="00DC164B" w:rsidRPr="00D83EBC" w:rsidRDefault="00425781" w:rsidP="00D83EBC">
      <w:pPr>
        <w:pStyle w:val="ECHRPara"/>
      </w:pPr>
      <w:r>
        <w:t>106</w:t>
      </w:r>
      <w:r w:rsidR="00DC164B">
        <w:t>.</w:t>
      </w:r>
      <w:r>
        <w:t xml:space="preserve"> </w:t>
      </w:r>
      <w:r w:rsidR="00DC164B">
        <w:t xml:space="preserve">W nawiązaniu do cywilnego charakteru prawa, o którym mowa, Trybunał stwierdza przede wszystkim, że stosunek pracy na mocy prawa zwykłego, </w:t>
      </w:r>
      <w:r w:rsidR="00D94EA3">
        <w:t>oparty o umowę o pracę zawartą</w:t>
      </w:r>
      <w:r w:rsidR="00DC164B">
        <w:t xml:space="preserve"> pomiędzy pracownikiem a</w:t>
      </w:r>
      <w:r w:rsidR="00510B2D">
        <w:t> </w:t>
      </w:r>
      <w:r w:rsidR="00DC164B">
        <w:t xml:space="preserve">pracodawcą, </w:t>
      </w:r>
      <w:r w:rsidR="00D94EA3">
        <w:t xml:space="preserve">prowadzi </w:t>
      </w:r>
      <w:r w:rsidR="00DC164B">
        <w:t xml:space="preserve">do powstania obowiązków </w:t>
      </w:r>
      <w:r w:rsidR="009F12F2">
        <w:t>o charakterze cywilnym</w:t>
      </w:r>
      <w:r w:rsidR="00DC164B">
        <w:t xml:space="preserve"> dla obu stron, które</w:t>
      </w:r>
      <w:r w:rsidR="00D94EA3">
        <w:t>, odpowiednio,</w:t>
      </w:r>
      <w:r w:rsidR="00DC164B">
        <w:t xml:space="preserve"> </w:t>
      </w:r>
      <w:r w:rsidR="00D94EA3">
        <w:t>mają wykonywać zadania</w:t>
      </w:r>
      <w:r w:rsidR="00DC164B">
        <w:t xml:space="preserve">, o których mowa w umowie, oraz </w:t>
      </w:r>
      <w:r w:rsidR="00D94EA3">
        <w:t>zapłacić umówione wynagrodzenie</w:t>
      </w:r>
      <w:r w:rsidR="00DC164B">
        <w:t>.</w:t>
      </w:r>
    </w:p>
    <w:p w14:paraId="3AFE74EA" w14:textId="77777777" w:rsidR="00DC164B" w:rsidRPr="00D83EBC" w:rsidRDefault="00DC164B" w:rsidP="00D83EBC">
      <w:pPr>
        <w:pStyle w:val="ECHRPara"/>
      </w:pPr>
      <w:r>
        <w:t xml:space="preserve">Stosunek pracy pomiędzy podmiotem publiczno-prawnym, w tym Państwem, a pracownikiem, może być oparty, według obowiązujących przepisów krajowych, na przepisach prawa pracy regulujących stosunki </w:t>
      </w:r>
      <w:r w:rsidR="004C1D80">
        <w:t>po</w:t>
      </w:r>
      <w:r>
        <w:t>między osobami prywatnymi lub na przepisach szczególnych regulujących służbę cywilną. Istnieją również systemy mieszane, łączące zasady prawa pracy stosowane w sektorze prywatnym ze szczególnymi zasadami stosowanymi do służby cywilnej.</w:t>
      </w:r>
    </w:p>
    <w:p w14:paraId="4ED80FAC" w14:textId="33AA15FC" w:rsidR="00DC164B" w:rsidRPr="00D83EBC" w:rsidRDefault="00425781" w:rsidP="00D83EBC">
      <w:pPr>
        <w:pStyle w:val="ECHRPara"/>
      </w:pPr>
      <w:r>
        <w:t>107</w:t>
      </w:r>
      <w:r w:rsidR="00DC164B">
        <w:t>.</w:t>
      </w:r>
      <w:r>
        <w:t xml:space="preserve"> </w:t>
      </w:r>
      <w:r w:rsidR="00DC164B">
        <w:t xml:space="preserve">W odniesieniu do urzędników służby cywilnej, według kryteriów ustanowionych w sprawie </w:t>
      </w:r>
      <w:r w:rsidR="00DC164B">
        <w:rPr>
          <w:i/>
          <w:iCs/>
        </w:rPr>
        <w:t xml:space="preserve">Vilho Eskelinen </w:t>
      </w:r>
      <w:r w:rsidR="00DE5B4A">
        <w:rPr>
          <w:i/>
          <w:iCs/>
        </w:rPr>
        <w:t>i Inni</w:t>
      </w:r>
      <w:r w:rsidR="00DC164B">
        <w:t>,</w:t>
      </w:r>
      <w:r w:rsidR="00DC164B">
        <w:rPr>
          <w:i/>
          <w:iCs/>
        </w:rPr>
        <w:t xml:space="preserve"> </w:t>
      </w:r>
      <w:r w:rsidR="004C1D80" w:rsidRPr="004C1D80">
        <w:rPr>
          <w:iCs/>
        </w:rPr>
        <w:t>cyt.</w:t>
      </w:r>
      <w:r w:rsidR="00DC164B">
        <w:t xml:space="preserve"> powyżej, pozwane Państwo nie może powoływać się przed Trybunałem na status skarżącego jako urzędnika cywilnego</w:t>
      </w:r>
      <w:r w:rsidR="004C1D80">
        <w:t>,</w:t>
      </w:r>
      <w:r w:rsidR="00DC164B">
        <w:t xml:space="preserve"> by wyłączyć ochronę ujętą w </w:t>
      </w:r>
      <w:r w:rsidR="00307B53">
        <w:t>art.</w:t>
      </w:r>
      <w:r w:rsidR="00DC164B">
        <w:t xml:space="preserve"> 6, chyba</w:t>
      </w:r>
      <w:r w:rsidR="00510B2D">
        <w:t> </w:t>
      </w:r>
      <w:r w:rsidR="00DC164B">
        <w:t>że</w:t>
      </w:r>
      <w:r w:rsidR="00510B2D">
        <w:t> </w:t>
      </w:r>
      <w:r w:rsidR="00DC164B">
        <w:t>spełnione są dwa warunki. Po pierwsze, w prawie krajowym Państwo musiało wyraźnie wyłączyć dostęp do sądu dla danego stanowiska lub kategorii personelu. Po drugie, wyłączenie musi być uzasadnione obiektywnymi przyczynami leżącymi w interesie Państwa. Aby uzasadnić wyłączenie, nie wystarczy</w:t>
      </w:r>
      <w:r w:rsidR="004C1D80">
        <w:t>,</w:t>
      </w:r>
      <w:r w:rsidR="00DC164B">
        <w:t xml:space="preserve"> by Państwo stwierdziło, że dany urzęd</w:t>
      </w:r>
      <w:r w:rsidR="004C1D80">
        <w:t>nik służby cywilnej uczestniczy</w:t>
      </w:r>
      <w:r w:rsidR="00DC164B">
        <w:t xml:space="preserve"> w wykonywaniu uprawnienia publicznego, lub też że</w:t>
      </w:r>
      <w:r w:rsidR="00510B2D">
        <w:t> </w:t>
      </w:r>
      <w:r w:rsidR="00DC164B">
        <w:t>istnieją szczególne więzy zaufania i lojalności pomiędzy urzędnikiem służby cywilnej a Państwem jako pracodawcą. Państwo ma również za</w:t>
      </w:r>
      <w:r w:rsidR="00510B2D">
        <w:t> </w:t>
      </w:r>
      <w:r w:rsidR="00DC164B">
        <w:t xml:space="preserve">zadanie wykazać, że przedmiot sporu związany jest z wykonywaniem władzy Państwa lub że </w:t>
      </w:r>
      <w:r w:rsidR="004C1D80">
        <w:t xml:space="preserve">podaje </w:t>
      </w:r>
      <w:r w:rsidR="00DC164B">
        <w:t>w wątpliwość te</w:t>
      </w:r>
      <w:r w:rsidR="004C1D80">
        <w:t xml:space="preserve"> szczególne więzy. A zatem</w:t>
      </w:r>
      <w:r w:rsidR="00DC164B">
        <w:t xml:space="preserve"> co do zasady nie można u</w:t>
      </w:r>
      <w:r w:rsidR="004C1D80">
        <w:t>zasadni</w:t>
      </w:r>
      <w:r w:rsidR="005E2BC7">
        <w:t>ć</w:t>
      </w:r>
      <w:r w:rsidR="00DC164B">
        <w:t xml:space="preserve"> wyłączenia gwarancji z </w:t>
      </w:r>
      <w:r w:rsidR="00307B53">
        <w:t>art.</w:t>
      </w:r>
      <w:r w:rsidR="00DC164B">
        <w:t xml:space="preserve"> 6 </w:t>
      </w:r>
      <w:r w:rsidR="004C1D80">
        <w:t>w</w:t>
      </w:r>
      <w:r w:rsidR="00510B2D">
        <w:t> </w:t>
      </w:r>
      <w:r w:rsidR="004C1D80">
        <w:t xml:space="preserve">odniesieniu do </w:t>
      </w:r>
      <w:r w:rsidR="00DC164B">
        <w:t>zwykłych sporów pracowniczych, takich jak te dotyczące wynagrodzeń, uposażeń lub podobnych uprawnień, powołując się na</w:t>
      </w:r>
      <w:r w:rsidR="00510B2D">
        <w:t> </w:t>
      </w:r>
      <w:r w:rsidR="00DC164B">
        <w:t>szczególny charakter stosunku pomiędzy danym urzędnikiem służby cywilnej a danym Państwem. W rezultacie będziemy mieć do czynienia z</w:t>
      </w:r>
      <w:r w:rsidR="00510B2D">
        <w:t> </w:t>
      </w:r>
      <w:r w:rsidR="006B10ED">
        <w:t>domniemaniem</w:t>
      </w:r>
      <w:r w:rsidR="00DC164B">
        <w:t xml:space="preserve">, iż </w:t>
      </w:r>
      <w:r w:rsidR="00307B53">
        <w:t xml:space="preserve">art. </w:t>
      </w:r>
      <w:r w:rsidR="00DC164B">
        <w:t>6 znajduje zastosowanie. Zadaniem pozwanego Państwa jest wykazanie, po pierwsze, że dany urzędnik służby cywilnej nie</w:t>
      </w:r>
      <w:r w:rsidR="00510B2D">
        <w:t> </w:t>
      </w:r>
      <w:r w:rsidR="00DC164B">
        <w:t>ma prawa dostępu do sądu według prawa krajowego, a po drugie, że</w:t>
      </w:r>
      <w:r w:rsidR="00510B2D">
        <w:t> </w:t>
      </w:r>
      <w:r w:rsidR="00DC164B">
        <w:t xml:space="preserve">wyłączenie praw z </w:t>
      </w:r>
      <w:r w:rsidR="00307B53">
        <w:t>art.</w:t>
      </w:r>
      <w:r w:rsidR="00DC164B">
        <w:t xml:space="preserve"> 6 </w:t>
      </w:r>
      <w:r w:rsidR="006B10ED">
        <w:t>wobec</w:t>
      </w:r>
      <w:r w:rsidR="00DC164B">
        <w:t xml:space="preserve"> urzędnika służby cywilnej jest uzasadnione (ibid., § 62, oraz </w:t>
      </w:r>
      <w:r w:rsidR="00DC164B">
        <w:rPr>
          <w:i/>
          <w:iCs/>
        </w:rPr>
        <w:t>Baka</w:t>
      </w:r>
      <w:r w:rsidR="00DC164B">
        <w:rPr>
          <w:snapToGrid w:val="0"/>
        </w:rPr>
        <w:t>, cyt. powyżej, § 103</w:t>
      </w:r>
      <w:r w:rsidR="00DC164B">
        <w:t>).</w:t>
      </w:r>
    </w:p>
    <w:p w14:paraId="51DE0B15" w14:textId="191E3B78" w:rsidR="00DC164B" w:rsidRPr="00D83EBC" w:rsidRDefault="00425781" w:rsidP="00D83EBC">
      <w:pPr>
        <w:pStyle w:val="ECHRPara"/>
      </w:pPr>
      <w:r>
        <w:t>108</w:t>
      </w:r>
      <w:r w:rsidR="00DC164B">
        <w:t>.</w:t>
      </w:r>
      <w:r>
        <w:t xml:space="preserve"> </w:t>
      </w:r>
      <w:r w:rsidR="00DC164B">
        <w:t>Trybunał dalej przypomina, że kryteria określone w wyroku w</w:t>
      </w:r>
      <w:r w:rsidR="00510B2D">
        <w:t> </w:t>
      </w:r>
      <w:r w:rsidR="00DC164B">
        <w:t xml:space="preserve">sprawie </w:t>
      </w:r>
      <w:r w:rsidR="00DC164B">
        <w:rPr>
          <w:i/>
          <w:iCs/>
        </w:rPr>
        <w:t xml:space="preserve">Vilho Eskelinen </w:t>
      </w:r>
      <w:r w:rsidR="00DE5B4A">
        <w:rPr>
          <w:i/>
          <w:iCs/>
        </w:rPr>
        <w:t>i Inni</w:t>
      </w:r>
      <w:r w:rsidR="00303BEC">
        <w:rPr>
          <w:i/>
          <w:iCs/>
        </w:rPr>
        <w:t xml:space="preserve"> </w:t>
      </w:r>
      <w:r w:rsidR="00DC164B">
        <w:t xml:space="preserve">były stosowane w szeregu innych sporów dotyczących urzędników służby cywilnej, w tym tych dotyczących rekrutacji lub nominacji (zob. </w:t>
      </w:r>
      <w:r w:rsidR="00DC164B">
        <w:rPr>
          <w:i/>
          <w:iCs/>
        </w:rPr>
        <w:t>Juričić przeciwko Chorwacji</w:t>
      </w:r>
      <w:r w:rsidR="00DC164B">
        <w:t xml:space="preserve">, nr 58222/09, </w:t>
      </w:r>
      <w:r w:rsidR="00DC164B">
        <w:lastRenderedPageBreak/>
        <w:t>§§</w:t>
      </w:r>
      <w:r w:rsidR="00510B2D">
        <w:t> </w:t>
      </w:r>
      <w:r w:rsidR="00DC164B">
        <w:t xml:space="preserve">54-58, 26 lipca 2011 r.), kariery lub awansu (zob. </w:t>
      </w:r>
      <w:r w:rsidR="00DC164B">
        <w:rPr>
          <w:i/>
          <w:iCs/>
        </w:rPr>
        <w:t xml:space="preserve">Dzhidzheva-Trendafilova </w:t>
      </w:r>
      <w:r w:rsidR="005F142B">
        <w:t>(dec</w:t>
      </w:r>
      <w:r w:rsidR="00DC164B">
        <w:t xml:space="preserve">.), nr 12628/09, § 50, 9 października 2012 r.), przeniesienia (zob. </w:t>
      </w:r>
      <w:r w:rsidR="00DC164B">
        <w:rPr>
          <w:i/>
          <w:iCs/>
        </w:rPr>
        <w:t>Ohneberg przeciwko Austrii</w:t>
      </w:r>
      <w:r w:rsidR="00DC164B">
        <w:t>, nr 10781/08</w:t>
      </w:r>
      <w:r w:rsidR="00DC164B">
        <w:rPr>
          <w:snapToGrid w:val="0"/>
        </w:rPr>
        <w:t>, § 24, 18</w:t>
      </w:r>
      <w:r w:rsidR="00510B2D">
        <w:rPr>
          <w:snapToGrid w:val="0"/>
        </w:rPr>
        <w:t> </w:t>
      </w:r>
      <w:r w:rsidR="00DC164B">
        <w:rPr>
          <w:snapToGrid w:val="0"/>
        </w:rPr>
        <w:t>września 2012 r.)</w:t>
      </w:r>
      <w:r w:rsidR="00DC164B">
        <w:t xml:space="preserve"> oraz zakończenia służby (zob. </w:t>
      </w:r>
      <w:r w:rsidR="00DC164B">
        <w:rPr>
          <w:i/>
          <w:iCs/>
        </w:rPr>
        <w:t>Olujić przeciwko Chorwacji</w:t>
      </w:r>
      <w:r w:rsidR="00DC164B">
        <w:t xml:space="preserve">, nr 22330/05, §§ 33-34, 5 lutego 2009 r., and </w:t>
      </w:r>
      <w:r w:rsidR="00DC164B">
        <w:rPr>
          <w:i/>
          <w:iCs/>
        </w:rPr>
        <w:t>Nazsiz przeciwko Turcji</w:t>
      </w:r>
      <w:r w:rsidR="00DC164B">
        <w:t xml:space="preserve"> (dec.) nr 22412/05, 26 maja 2009 r.). Dokładniej, Trybunał uznał w</w:t>
      </w:r>
      <w:r w:rsidR="00510B2D">
        <w:t> </w:t>
      </w:r>
      <w:r w:rsidR="00DC164B">
        <w:t xml:space="preserve">sprawie </w:t>
      </w:r>
      <w:r w:rsidR="00DC164B">
        <w:rPr>
          <w:i/>
          <w:iCs/>
        </w:rPr>
        <w:t>Bayer przeciwko Niemcom</w:t>
      </w:r>
      <w:r w:rsidR="00DC164B">
        <w:t xml:space="preserve"> (nr 8453/04</w:t>
      </w:r>
      <w:r w:rsidR="00DC164B">
        <w:rPr>
          <w:snapToGrid w:val="0"/>
        </w:rPr>
        <w:t xml:space="preserve">, § 38, 16 lipca 2009 r.), która dotyczyła usunięcia z urzędu zatrudnionego przez państwo komornika wskutek postępowania dyscyplinarnego, że spory </w:t>
      </w:r>
      <w:r w:rsidR="00DC164B">
        <w:t xml:space="preserve">dotyczące „zarobków, uposażeń lub podobnych uprawnień” stanowiły </w:t>
      </w:r>
      <w:r w:rsidR="005F142B">
        <w:t>niemające</w:t>
      </w:r>
      <w:r w:rsidR="00DC164B">
        <w:t xml:space="preserve"> wyczerpującego charakteru </w:t>
      </w:r>
      <w:r w:rsidR="00DC164B">
        <w:rPr>
          <w:snapToGrid w:val="0"/>
        </w:rPr>
        <w:t xml:space="preserve">przykłady „zwykłych sporów pracowniczych”, do których </w:t>
      </w:r>
      <w:r w:rsidR="00307B53">
        <w:rPr>
          <w:snapToGrid w:val="0"/>
        </w:rPr>
        <w:t xml:space="preserve">art. </w:t>
      </w:r>
      <w:r w:rsidR="00DC164B">
        <w:rPr>
          <w:snapToGrid w:val="0"/>
        </w:rPr>
        <w:t xml:space="preserve">6 powinien mieć co do zasady zastosowanie zgodnie z testem </w:t>
      </w:r>
      <w:r w:rsidR="00DC164B">
        <w:rPr>
          <w:i/>
          <w:iCs/>
          <w:snapToGrid w:val="0"/>
        </w:rPr>
        <w:t>Eskelinen</w:t>
      </w:r>
      <w:r w:rsidR="00DC164B">
        <w:rPr>
          <w:snapToGrid w:val="0"/>
        </w:rPr>
        <w:t>. W</w:t>
      </w:r>
      <w:r w:rsidR="00510B2D">
        <w:rPr>
          <w:snapToGrid w:val="0"/>
        </w:rPr>
        <w:t> </w:t>
      </w:r>
      <w:r w:rsidR="00DC164B">
        <w:rPr>
          <w:snapToGrid w:val="0"/>
        </w:rPr>
        <w:t xml:space="preserve">wyroku w sprawie </w:t>
      </w:r>
      <w:r w:rsidR="00DC164B">
        <w:rPr>
          <w:i/>
          <w:iCs/>
        </w:rPr>
        <w:t>Olujić</w:t>
      </w:r>
      <w:r>
        <w:rPr>
          <w:i/>
          <w:iCs/>
        </w:rPr>
        <w:t xml:space="preserve"> </w:t>
      </w:r>
      <w:r w:rsidR="00DC164B">
        <w:t>(cyt. powyżej,</w:t>
      </w:r>
      <w:r w:rsidR="00DC164B">
        <w:rPr>
          <w:i/>
          <w:iCs/>
        </w:rPr>
        <w:t xml:space="preserve"> </w:t>
      </w:r>
      <w:r w:rsidR="00DC164B">
        <w:t>§ 34) [Trybunał] uznał, że</w:t>
      </w:r>
      <w:r w:rsidR="00510B2D">
        <w:t> </w:t>
      </w:r>
      <w:r w:rsidR="00303BEC">
        <w:t>domniemanie</w:t>
      </w:r>
      <w:r w:rsidR="00DC164B">
        <w:t xml:space="preserve"> zastosowania </w:t>
      </w:r>
      <w:r w:rsidR="00307B53">
        <w:t>art.</w:t>
      </w:r>
      <w:r w:rsidR="00DC164B">
        <w:t xml:space="preserve"> 6 w wyroku </w:t>
      </w:r>
      <w:r w:rsidR="00DC164B">
        <w:rPr>
          <w:i/>
          <w:iCs/>
        </w:rPr>
        <w:t>Eskelinen</w:t>
      </w:r>
      <w:r w:rsidR="00DC164B">
        <w:t xml:space="preserve"> ma również zastosowanie do odwołań ze stanowiska (zob. sprawa </w:t>
      </w:r>
      <w:r w:rsidR="00DC164B">
        <w:rPr>
          <w:i/>
          <w:iCs/>
        </w:rPr>
        <w:t>Baka</w:t>
      </w:r>
      <w:r w:rsidR="00DC164B">
        <w:t>, cyt. powyżej, §</w:t>
      </w:r>
      <w:r w:rsidR="00510B2D">
        <w:t> </w:t>
      </w:r>
      <w:r w:rsidR="00DC164B">
        <w:t>105).</w:t>
      </w:r>
    </w:p>
    <w:p w14:paraId="4E5BF70D" w14:textId="0F24C2B0" w:rsidR="00DC164B" w:rsidRPr="00FB770D" w:rsidRDefault="00425781" w:rsidP="00D83EBC">
      <w:pPr>
        <w:pStyle w:val="ECHRPara"/>
      </w:pPr>
      <w:r>
        <w:t>109</w:t>
      </w:r>
      <w:r w:rsidR="00DC164B">
        <w:t>.</w:t>
      </w:r>
      <w:r>
        <w:t xml:space="preserve"> </w:t>
      </w:r>
      <w:r w:rsidR="00DC164B">
        <w:t xml:space="preserve">W szczególności Trybunał zastosował </w:t>
      </w:r>
      <w:r w:rsidR="00307B53">
        <w:t xml:space="preserve">art. </w:t>
      </w:r>
      <w:r w:rsidR="00DC164B">
        <w:t>6 ust. 1 w sprawie dotyczącej odmowy wydania poświadczenia bezpieczeństwa skarżącemu, który następnie został odwołany ze stanowiska strażnika granicznego (zob.</w:t>
      </w:r>
      <w:r w:rsidR="003C1B1C">
        <w:t> </w:t>
      </w:r>
      <w:r w:rsidR="00DC164B">
        <w:rPr>
          <w:i/>
          <w:iCs/>
        </w:rPr>
        <w:t>Ternovskis przeciwko Łotwie</w:t>
      </w:r>
      <w:r w:rsidR="00DC164B">
        <w:rPr>
          <w:snapToGrid w:val="0"/>
        </w:rPr>
        <w:t xml:space="preserve">, </w:t>
      </w:r>
      <w:r w:rsidR="00DC164B">
        <w:t xml:space="preserve">nr 33637/02, </w:t>
      </w:r>
      <w:r w:rsidR="00DC164B">
        <w:rPr>
          <w:snapToGrid w:val="0"/>
        </w:rPr>
        <w:t>§§ 9 i 10</w:t>
      </w:r>
      <w:r w:rsidR="00DC164B">
        <w:t>, 29 kwietnia 2014 r.</w:t>
      </w:r>
      <w:r w:rsidR="00DC164B">
        <w:rPr>
          <w:snapToGrid w:val="0"/>
        </w:rPr>
        <w:t>)</w:t>
      </w:r>
      <w:r w:rsidR="00DC164B">
        <w:t>. Odnotował, że choć prawo dostępu do tajemnic państwowych nie było gwarantowane Konwencją, odmowa wydania poświadczenia bezpieczeństwa doprowadziła do odwołania skarżącego ze stanowiska, co</w:t>
      </w:r>
      <w:r w:rsidR="00510B2D">
        <w:t> </w:t>
      </w:r>
      <w:r w:rsidR="00DC164B">
        <w:t>skutkowało wyraźnymi reperkusjami finansowymi wobec niego. Rzeczywiście, powiązanie pomiędzy decyzją o nieprzyznaniu skarżącemu poświadczenia bezpieczeństwa a utratą dochodu było „</w:t>
      </w:r>
      <w:r w:rsidR="0014619E">
        <w:t xml:space="preserve">z pewnością </w:t>
      </w:r>
      <w:r w:rsidR="000E69A1">
        <w:t>bardziej ścisłe niż</w:t>
      </w:r>
      <w:r w:rsidR="003C1B1C">
        <w:t> </w:t>
      </w:r>
      <w:r w:rsidR="000E69A1">
        <w:t>luźne czy odległe”</w:t>
      </w:r>
      <w:r w:rsidR="00DC164B">
        <w:t xml:space="preserve"> (ibid., § 44). Trybunał uznał, że </w:t>
      </w:r>
      <w:r w:rsidR="00307B53">
        <w:t xml:space="preserve">art. </w:t>
      </w:r>
      <w:r w:rsidR="00DC164B">
        <w:t>6 ma</w:t>
      </w:r>
      <w:r w:rsidR="003C1B1C">
        <w:t> </w:t>
      </w:r>
      <w:r w:rsidR="00DC164B">
        <w:t>zastosowanie, dodając, że prawo krajowe nie wyłączyło prawa powoda do sądu (ibid., §§ 46-50).</w:t>
      </w:r>
    </w:p>
    <w:p w14:paraId="39218012" w14:textId="33FE187F" w:rsidR="00DC164B" w:rsidRPr="00FB770D" w:rsidRDefault="00425781" w:rsidP="00D83EBC">
      <w:pPr>
        <w:pStyle w:val="ECHRPara"/>
      </w:pPr>
      <w:r>
        <w:t>110</w:t>
      </w:r>
      <w:r w:rsidR="00DC164B">
        <w:t>.</w:t>
      </w:r>
      <w:r>
        <w:t xml:space="preserve"> </w:t>
      </w:r>
      <w:r w:rsidR="00307B53">
        <w:t xml:space="preserve">Art. </w:t>
      </w:r>
      <w:r w:rsidR="00DC164B">
        <w:t>6 Konwencji został również uznany za mający zastosowanie w</w:t>
      </w:r>
      <w:r w:rsidR="00510B2D">
        <w:t> </w:t>
      </w:r>
      <w:r w:rsidR="00DC164B">
        <w:t>dwóch przypadkach dotyczących cofni</w:t>
      </w:r>
      <w:r w:rsidR="005E2BC7">
        <w:t>ęcia licencji na noszenie broni</w:t>
      </w:r>
      <w:r w:rsidR="00DC164B">
        <w:t xml:space="preserve"> </w:t>
      </w:r>
      <w:r w:rsidR="00AA3E2C">
        <w:t>po</w:t>
      </w:r>
      <w:r w:rsidR="00510B2D">
        <w:t> </w:t>
      </w:r>
      <w:r w:rsidR="00AA3E2C">
        <w:t xml:space="preserve">umieszczeniu </w:t>
      </w:r>
      <w:r w:rsidR="00DC164B">
        <w:t>skarżący</w:t>
      </w:r>
      <w:r w:rsidR="00AA3E2C">
        <w:t>ch</w:t>
      </w:r>
      <w:r w:rsidR="00DC164B">
        <w:t xml:space="preserve"> w bazie danych zawierających informacje o</w:t>
      </w:r>
      <w:r w:rsidR="00510B2D">
        <w:t> </w:t>
      </w:r>
      <w:r w:rsidR="00AA7499">
        <w:t>osobach uznanych za stanowiące</w:t>
      </w:r>
      <w:r w:rsidR="00DC164B">
        <w:t xml:space="preserve"> potencjalne zagrożenie dla</w:t>
      </w:r>
      <w:r w:rsidR="00510B2D">
        <w:t> </w:t>
      </w:r>
      <w:r w:rsidR="00DC164B">
        <w:t xml:space="preserve">społeczeństwa (zob. </w:t>
      </w:r>
      <w:r w:rsidR="00DC164B">
        <w:rPr>
          <w:i/>
          <w:iCs/>
        </w:rPr>
        <w:t>Pocius przeciwko Litwie</w:t>
      </w:r>
      <w:r w:rsidR="00DC164B">
        <w:t xml:space="preserve">, nr 35601/04, § 40, 6 lipca 2010 r., oraz </w:t>
      </w:r>
      <w:r w:rsidR="00DC164B">
        <w:rPr>
          <w:i/>
          <w:iCs/>
        </w:rPr>
        <w:t>Užukauskas przeciwko Litwie</w:t>
      </w:r>
      <w:r w:rsidR="00DC164B">
        <w:t>, nr 16965/04, § 34, 6 lipca 2010</w:t>
      </w:r>
      <w:r w:rsidR="00510B2D">
        <w:t> </w:t>
      </w:r>
      <w:r w:rsidR="00DC164B">
        <w:t xml:space="preserve">r.). Skarżący zainicjowali postępowanie prawne, zaskarżając umieszczenie ich nazwisk przez policję i ubiegali się o usunięcie ich nazwisk z bazy danych. Sądy odrzuciły ich wnioski, opierając swoje decyzje na dowodach przedstawionych przez policję i oznaczonych jako tajne, a zatem nie było możliwe ujawnienie ich skarżącym. Trybunał uznał, że </w:t>
      </w:r>
      <w:r w:rsidR="00307B53">
        <w:t xml:space="preserve">art. </w:t>
      </w:r>
      <w:r w:rsidR="00DC164B">
        <w:t xml:space="preserve">6 miał zastosowanie </w:t>
      </w:r>
      <w:r w:rsidR="00AA3E2C">
        <w:t>na tej podstawie</w:t>
      </w:r>
      <w:r w:rsidR="00DC164B">
        <w:t>, że włączenie nazwisk skarżących do bazy danych miało wpływ na ich</w:t>
      </w:r>
      <w:r w:rsidR="00AA3E2C">
        <w:t xml:space="preserve"> dobre imię</w:t>
      </w:r>
      <w:r w:rsidR="00DC164B">
        <w:t xml:space="preserve">, życie prywatne oraz perspektywy zawodowe (zob. </w:t>
      </w:r>
      <w:r w:rsidR="00DC164B">
        <w:rPr>
          <w:i/>
          <w:iCs/>
        </w:rPr>
        <w:t>Pocius</w:t>
      </w:r>
      <w:r w:rsidR="00DC164B">
        <w:t xml:space="preserve">, §§ 38-46, i </w:t>
      </w:r>
      <w:r w:rsidR="00DC164B">
        <w:rPr>
          <w:i/>
          <w:iCs/>
        </w:rPr>
        <w:t>Užukauskas</w:t>
      </w:r>
      <w:r w:rsidR="00DC164B">
        <w:t>,</w:t>
      </w:r>
      <w:r w:rsidR="00DC164B">
        <w:rPr>
          <w:i/>
          <w:iCs/>
        </w:rPr>
        <w:t xml:space="preserve"> </w:t>
      </w:r>
      <w:r w:rsidR="00DC164B">
        <w:t>§§ 34-39, oba cyt. powyżej).</w:t>
      </w:r>
    </w:p>
    <w:p w14:paraId="553AFDEA" w14:textId="3CB1B26A" w:rsidR="00DC164B" w:rsidRPr="00D83EBC" w:rsidRDefault="00425781" w:rsidP="00D83EBC">
      <w:pPr>
        <w:pStyle w:val="ECHRPara"/>
      </w:pPr>
      <w:r>
        <w:lastRenderedPageBreak/>
        <w:t>111</w:t>
      </w:r>
      <w:r w:rsidR="00DC164B">
        <w:t>.</w:t>
      </w:r>
      <w:r>
        <w:t xml:space="preserve"> </w:t>
      </w:r>
      <w:r w:rsidR="00DC164B">
        <w:t xml:space="preserve">Trybunał uznał również, że </w:t>
      </w:r>
      <w:r w:rsidR="00307B53">
        <w:t xml:space="preserve">art. </w:t>
      </w:r>
      <w:r w:rsidR="00DC164B">
        <w:t xml:space="preserve">6 miał zastosowanie w sprawie dotyczącej </w:t>
      </w:r>
      <w:r w:rsidR="00AA3E2C">
        <w:t xml:space="preserve">sądowej </w:t>
      </w:r>
      <w:r w:rsidR="00CA4EFE">
        <w:t>kontroli</w:t>
      </w:r>
      <w:r w:rsidR="00DC164B">
        <w:t xml:space="preserve"> nominacji prezesa sądu (zob. </w:t>
      </w:r>
      <w:r w:rsidR="00DC164B">
        <w:rPr>
          <w:i/>
          <w:iCs/>
        </w:rPr>
        <w:t>Tsanova-Gecheva przeciwko Bułgarii</w:t>
      </w:r>
      <w:r w:rsidR="00DC164B">
        <w:t xml:space="preserve">, nr 43800/12, </w:t>
      </w:r>
      <w:r w:rsidR="00DC164B">
        <w:rPr>
          <w:snapToGrid w:val="0"/>
        </w:rPr>
        <w:t>§§ 84-85, 15 września 2015 r.</w:t>
      </w:r>
      <w:r w:rsidR="00DC164B">
        <w:t xml:space="preserve">). Uznając, że </w:t>
      </w:r>
      <w:r w:rsidR="00307B53">
        <w:t xml:space="preserve">art. </w:t>
      </w:r>
      <w:r w:rsidR="00DC164B">
        <w:t>6 nie gwarantuje prawa do awansu ani do zajmowania stanowiska w</w:t>
      </w:r>
      <w:r w:rsidR="00C0322D">
        <w:t> </w:t>
      </w:r>
      <w:r w:rsidR="00DC164B">
        <w:t>korpusie służby cywilnej, Trybunał odnotował jednakże, że prawo do</w:t>
      </w:r>
      <w:r w:rsidR="00C0322D">
        <w:t> </w:t>
      </w:r>
      <w:r w:rsidR="00DC164B">
        <w:t xml:space="preserve">zgodnej z prawem i </w:t>
      </w:r>
      <w:r w:rsidR="008645DC">
        <w:t xml:space="preserve">rzetelnej </w:t>
      </w:r>
      <w:r w:rsidR="00DC164B">
        <w:t>procedury rekrutacyjnej czy awansu lub</w:t>
      </w:r>
      <w:r w:rsidR="00C0322D">
        <w:t> </w:t>
      </w:r>
      <w:r w:rsidR="00DC164B">
        <w:t xml:space="preserve">równego dostępu do zatrudnienia i służby cywilnej mogłoby zostać uznane za prawo według prawa krajowego w takim zakresie, w jakim sądy krajowe uznały ich istnienie i zbadały podstawy przedstawione </w:t>
      </w:r>
      <w:r w:rsidR="008645DC">
        <w:t xml:space="preserve">w tym zakresie </w:t>
      </w:r>
      <w:r w:rsidR="00DC164B">
        <w:t xml:space="preserve">przez osoby </w:t>
      </w:r>
      <w:r w:rsidR="008645DC">
        <w:t>zainteresowane</w:t>
      </w:r>
      <w:r w:rsidR="00DC164B">
        <w:t>.</w:t>
      </w:r>
    </w:p>
    <w:p w14:paraId="532BEFDF" w14:textId="104D949C" w:rsidR="00DC164B" w:rsidRPr="00FB770D" w:rsidRDefault="00425781" w:rsidP="00D83EBC">
      <w:pPr>
        <w:pStyle w:val="ECHRPara"/>
      </w:pPr>
      <w:r>
        <w:t>112</w:t>
      </w:r>
      <w:r w:rsidR="00DC164B">
        <w:t>.</w:t>
      </w:r>
      <w:r>
        <w:t xml:space="preserve"> </w:t>
      </w:r>
      <w:r w:rsidR="00DC164B">
        <w:t xml:space="preserve">Wreszcie, </w:t>
      </w:r>
      <w:r w:rsidR="00307B53">
        <w:t xml:space="preserve">art. </w:t>
      </w:r>
      <w:r w:rsidR="00DC164B">
        <w:t>6 Konwencji został niedawno zastosowany w</w:t>
      </w:r>
      <w:r w:rsidR="00C0322D">
        <w:t> </w:t>
      </w:r>
      <w:r w:rsidR="00DC164B">
        <w:t xml:space="preserve">sprawie, w której skarżąca skarżyła się na okoliczność, że nie mogła zaskarżyć do sądu swojego odwołania z Krajowej Służby Bezpieczeństwa (zob. </w:t>
      </w:r>
      <w:r w:rsidR="00DC164B">
        <w:rPr>
          <w:i/>
          <w:iCs/>
        </w:rPr>
        <w:t>Miryana Petrova przeciwko Bułgarii</w:t>
      </w:r>
      <w:r w:rsidR="00DC164B">
        <w:t>, nr 57148/08,</w:t>
      </w:r>
      <w:r>
        <w:t xml:space="preserve"> </w:t>
      </w:r>
      <w:r w:rsidR="00DC164B">
        <w:rPr>
          <w:snapToGrid w:val="0"/>
        </w:rPr>
        <w:t>§§30-35, 21 lipca 2016 r.</w:t>
      </w:r>
      <w:r w:rsidR="00DC164B">
        <w:t>). W tej sprawie Trybunał stwierdził, że na szali leżało nie prawo dostępu do tajemnic państwowych, które nie było gwarantowane Konwencją, lecz raczej prawa skarżącej, na które miała wpływ odmowa udzielenia poświadczenia bezpieczeństwa. W opinii Trybunału odmowa miała decydujący wpływ na sytuację osobistą skarżącej, jako że nie posiadając wymaganego poświadczenia</w:t>
      </w:r>
      <w:r w:rsidR="001342C3">
        <w:t>,</w:t>
      </w:r>
      <w:r w:rsidR="00DC164B">
        <w:t xml:space="preserve"> nie mogła kontynuować pracy na</w:t>
      </w:r>
      <w:r w:rsidR="00C0322D">
        <w:t> </w:t>
      </w:r>
      <w:r w:rsidR="00DC164B">
        <w:t>stanowisku, które zajmowała od lat, co miało dla niej wyraźne konsekwencje finansowe. Powiązanie pomiędzy decyzją o nieprzyznaniu skarżącemu poświadczenia bezpieczeństwa a utratą dochodu było „</w:t>
      </w:r>
      <w:r w:rsidR="000E69A1" w:rsidRPr="000E69A1">
        <w:t>bardziej ścisłe niż luźne czy odległe</w:t>
      </w:r>
      <w:r w:rsidR="000E69A1">
        <w:t>”</w:t>
      </w:r>
      <w:r w:rsidR="00DC164B">
        <w:t xml:space="preserve"> (ibid., § 31).</w:t>
      </w:r>
    </w:p>
    <w:p w14:paraId="579E0D23" w14:textId="72EB6170" w:rsidR="00DC164B" w:rsidRPr="00D83EBC" w:rsidRDefault="00DC164B" w:rsidP="00D83EBC">
      <w:pPr>
        <w:pStyle w:val="ECHRHeading5"/>
      </w:pPr>
      <w:r>
        <w:t>(ii)</w:t>
      </w:r>
      <w:r w:rsidR="00425781">
        <w:t xml:space="preserve"> </w:t>
      </w:r>
      <w:r>
        <w:t>Zastosowanie powyższych zasad do niniejszej sprawy</w:t>
      </w:r>
    </w:p>
    <w:p w14:paraId="656ACA5C" w14:textId="4B05F87A" w:rsidR="00DC164B" w:rsidRPr="00D83EBC" w:rsidRDefault="00DC164B" w:rsidP="00D83EBC">
      <w:pPr>
        <w:pStyle w:val="ECHRHeading6"/>
      </w:pPr>
      <w:r>
        <w:rPr>
          <w:i w:val="0"/>
          <w:iCs w:val="0"/>
        </w:rPr>
        <w:t>(α)</w:t>
      </w:r>
      <w:r w:rsidR="00425781">
        <w:t xml:space="preserve"> </w:t>
      </w:r>
      <w:r>
        <w:rPr>
          <w:i w:val="0"/>
          <w:iCs w:val="0"/>
        </w:rPr>
        <w:t>Istnienie prawa</w:t>
      </w:r>
    </w:p>
    <w:p w14:paraId="4CE212AC" w14:textId="6DC87675" w:rsidR="00DC164B" w:rsidRPr="00FB770D" w:rsidRDefault="00425781" w:rsidP="00D83EBC">
      <w:pPr>
        <w:pStyle w:val="ECHRPara"/>
      </w:pPr>
      <w:r>
        <w:rPr>
          <w:rFonts w:eastAsia="Times New Roman"/>
        </w:rPr>
        <w:t>113</w:t>
      </w:r>
      <w:r w:rsidR="00DC164B">
        <w:t>.</w:t>
      </w:r>
      <w:r>
        <w:t xml:space="preserve"> </w:t>
      </w:r>
      <w:r w:rsidR="00DC164B">
        <w:t>Aby ustalić, czy skarżący miał prawo na potrzeby niniejszej sprawy, Trybunał musi w pierwszej kolejności przeanalizować rzeczywisty charakter jego skargi.</w:t>
      </w:r>
    </w:p>
    <w:p w14:paraId="17F335DD" w14:textId="79D59D8B" w:rsidR="00DC164B" w:rsidRPr="00FB770D" w:rsidRDefault="00425781" w:rsidP="00D83EBC">
      <w:pPr>
        <w:pStyle w:val="ECHRPara"/>
      </w:pPr>
      <w:r>
        <w:t>114</w:t>
      </w:r>
      <w:r w:rsidR="00DC164B">
        <w:t>.</w:t>
      </w:r>
      <w:r>
        <w:t xml:space="preserve"> </w:t>
      </w:r>
      <w:r w:rsidR="00DC164B">
        <w:t>Skarżący skarżył się na nie</w:t>
      </w:r>
      <w:r w:rsidR="00BB6F91">
        <w:t>rzetelność</w:t>
      </w:r>
      <w:r w:rsidR="00DC164B">
        <w:t xml:space="preserve"> postępowania przed sądami administracyjnymi, które zainicjował po cofnięciu przez Urząd Bezpieczeństwa Narodowego poświadczenia bezpieczeństwa, które zostało mu wydane na potrzeby wykonywania przez</w:t>
      </w:r>
      <w:r w:rsidR="00BB6F91">
        <w:t xml:space="preserve"> niego</w:t>
      </w:r>
      <w:r w:rsidR="00DC164B">
        <w:t xml:space="preserve"> obowiązków w</w:t>
      </w:r>
      <w:r w:rsidR="00C0322D">
        <w:t> </w:t>
      </w:r>
      <w:r w:rsidR="00DC164B">
        <w:t xml:space="preserve">Ministerstwie Obrony (zob. paragrafy </w:t>
      </w:r>
      <w:r w:rsidR="00307B53">
        <w:rPr>
          <w:rFonts w:eastAsia="Times New Roman"/>
        </w:rPr>
        <w:t>11</w:t>
      </w:r>
      <w:r w:rsidR="00DC164B">
        <w:t>-</w:t>
      </w:r>
      <w:r w:rsidR="00307B53">
        <w:rPr>
          <w:rFonts w:eastAsia="Times New Roman"/>
        </w:rPr>
        <w:t>14</w:t>
      </w:r>
      <w:r w:rsidR="00DC164B">
        <w:t xml:space="preserve"> powyżej).</w:t>
      </w:r>
      <w:r>
        <w:t xml:space="preserve"> </w:t>
      </w:r>
      <w:r w:rsidR="00DC164B">
        <w:t xml:space="preserve">W swoim wniosku podniósł, że stracił swoje stanowisko a w rezultacie swoje zatrudnienie, wskutek decyzji anulującej jego poświadczenie bezpieczeństwa (zob. paragrafy </w:t>
      </w:r>
      <w:r w:rsidR="00307B53">
        <w:rPr>
          <w:rFonts w:eastAsia="Times New Roman"/>
        </w:rPr>
        <w:t>93</w:t>
      </w:r>
      <w:r w:rsidR="00DC164B">
        <w:t>-</w:t>
      </w:r>
      <w:r w:rsidR="00307B53">
        <w:rPr>
          <w:rFonts w:eastAsia="Times New Roman"/>
        </w:rPr>
        <w:t>95</w:t>
      </w:r>
      <w:r w:rsidR="00DC164B">
        <w:t xml:space="preserve"> powyżej).</w:t>
      </w:r>
    </w:p>
    <w:p w14:paraId="68662FE8" w14:textId="2AD7FC92" w:rsidR="00DC164B" w:rsidRPr="00FB770D" w:rsidRDefault="00425781" w:rsidP="00D83EBC">
      <w:pPr>
        <w:pStyle w:val="ECHRPara"/>
      </w:pPr>
      <w:r>
        <w:t>115</w:t>
      </w:r>
      <w:r w:rsidR="00DC164B">
        <w:t>.</w:t>
      </w:r>
      <w:r>
        <w:t xml:space="preserve"> </w:t>
      </w:r>
      <w:r w:rsidR="00DC164B">
        <w:t xml:space="preserve">Z przepisów prawa krajowego oraz ich interpretacji przez sądy krajowe wyraźnie wynika, że posiadanie poświadczenia bezpieczeństwa jest warunkiem niezbędnym do wykonywania czynności zawodowych wymagających od osób znajomości </w:t>
      </w:r>
      <w:r w:rsidR="0081214A">
        <w:t xml:space="preserve">państwowych </w:t>
      </w:r>
      <w:r w:rsidR="00DC164B">
        <w:t xml:space="preserve">informacji </w:t>
      </w:r>
      <w:r w:rsidR="0081214A">
        <w:t xml:space="preserve">niejawnych lub zajmowania się tymi informacjami </w:t>
      </w:r>
      <w:r w:rsidR="00DC164B">
        <w:t xml:space="preserve">(zob. paragrafy </w:t>
      </w:r>
      <w:r w:rsidR="00307B53">
        <w:t>30</w:t>
      </w:r>
      <w:r w:rsidR="00DC164B">
        <w:t xml:space="preserve"> i </w:t>
      </w:r>
      <w:r w:rsidR="00307B53">
        <w:t>40</w:t>
      </w:r>
      <w:r w:rsidR="00DC164B">
        <w:t xml:space="preserve"> powyżej). </w:t>
      </w:r>
      <w:r w:rsidR="00DC164B">
        <w:lastRenderedPageBreak/>
        <w:t>Poświadczenie bezpieczeństwa nie jest niezależnym prawem</w:t>
      </w:r>
      <w:r w:rsidR="00EE0F5D">
        <w:t>,</w:t>
      </w:r>
      <w:r w:rsidR="00DC164B">
        <w:t xml:space="preserve"> lecz</w:t>
      </w:r>
      <w:r w:rsidR="00C0322D">
        <w:t> </w:t>
      </w:r>
      <w:r w:rsidR="00DC164B">
        <w:t xml:space="preserve">warunkiem </w:t>
      </w:r>
      <w:r w:rsidR="00DC164B">
        <w:rPr>
          <w:i/>
          <w:iCs/>
        </w:rPr>
        <w:t>sine qua non</w:t>
      </w:r>
      <w:r w:rsidR="00DC164B">
        <w:t xml:space="preserve"> dla wykonywania obowiązków tego rodzaju jak te wykonywane przez skarżącego. </w:t>
      </w:r>
      <w:r w:rsidR="003E46F3">
        <w:t>Stosownie do tego</w:t>
      </w:r>
      <w:r w:rsidR="00DC164B">
        <w:t xml:space="preserve">, utrata przez skarżącego poświadczenia bezpieczeństwa miała decydujący wpływ na jego sytuację osobistą i zawodową, uniemożliwiając mu wykonywanie pewnych obowiązków w Ministerstwie Obrony (zob., </w:t>
      </w:r>
      <w:r w:rsidR="00DC164B">
        <w:rPr>
          <w:i/>
          <w:iCs/>
        </w:rPr>
        <w:t>mutatis mutandis, Helmut Blum przeciwko Austrii</w:t>
      </w:r>
      <w:r w:rsidR="00DC164B">
        <w:t>, nr 33060/10</w:t>
      </w:r>
      <w:r w:rsidR="00DC164B">
        <w:rPr>
          <w:snapToGrid w:val="0"/>
        </w:rPr>
        <w:t>, § 65, 5 </w:t>
      </w:r>
      <w:r w:rsidR="00DC164B">
        <w:t>kwietnia</w:t>
      </w:r>
      <w:r w:rsidR="00DC164B">
        <w:rPr>
          <w:snapToGrid w:val="0"/>
        </w:rPr>
        <w:t> 2016 r.</w:t>
      </w:r>
      <w:r w:rsidR="00DC164B">
        <w:t>).</w:t>
      </w:r>
    </w:p>
    <w:p w14:paraId="3348C234" w14:textId="2A5B277E" w:rsidR="00DC164B" w:rsidRPr="00FB770D" w:rsidRDefault="00425781" w:rsidP="00D83EBC">
      <w:pPr>
        <w:pStyle w:val="ECHRPara"/>
      </w:pPr>
      <w:r>
        <w:t>116</w:t>
      </w:r>
      <w:r w:rsidR="00DC164B">
        <w:t>.</w:t>
      </w:r>
      <w:r>
        <w:t xml:space="preserve"> </w:t>
      </w:r>
      <w:r w:rsidR="00DC164B">
        <w:t>Trybunał musi zatem w pierwszej kolejności zbadać, czy skarżący może</w:t>
      </w:r>
      <w:r w:rsidR="00EE0F5D">
        <w:t xml:space="preserve"> powołać się na prawo</w:t>
      </w:r>
      <w:r w:rsidR="00DC164B">
        <w:t xml:space="preserve"> lub czy był w sytuacji, w której ubiegał się o</w:t>
      </w:r>
      <w:r w:rsidR="00C0322D">
        <w:t> </w:t>
      </w:r>
      <w:r w:rsidR="00DC164B">
        <w:t xml:space="preserve">uzyskanie korzyści lub przywileju, które właściwy organ miał </w:t>
      </w:r>
      <w:r w:rsidR="00EE0F5D">
        <w:t xml:space="preserve">dyskrecjonalne </w:t>
      </w:r>
      <w:r w:rsidR="00DC164B">
        <w:t>prawo mu przyznać lub którego miał prawo odmówić, bez</w:t>
      </w:r>
      <w:r w:rsidR="00C0322D">
        <w:t> </w:t>
      </w:r>
      <w:r w:rsidR="00DC164B">
        <w:t>podawania uzasadnienia swojej decyzji.</w:t>
      </w:r>
    </w:p>
    <w:p w14:paraId="094F2673" w14:textId="4D603988" w:rsidR="00DC164B" w:rsidRPr="00FB770D" w:rsidRDefault="00425781" w:rsidP="00D83EBC">
      <w:pPr>
        <w:pStyle w:val="ECHRPara"/>
      </w:pPr>
      <w:r>
        <w:t>117</w:t>
      </w:r>
      <w:r w:rsidR="00DC164B">
        <w:t>.</w:t>
      </w:r>
      <w:r>
        <w:t xml:space="preserve"> </w:t>
      </w:r>
      <w:r w:rsidR="00DC164B">
        <w:t>Dostęp do zatrudnienia, i</w:t>
      </w:r>
      <w:r w:rsidR="00EE0F5D">
        <w:t>,</w:t>
      </w:r>
      <w:r w:rsidR="00DC164B">
        <w:t xml:space="preserve"> dalej, do funkcji wykonywanych przez skarżącego w przedmiotowej sprawie, stanowi co do zasady przywilej, który może być przyznany wedle uznania danego organu i nie może być prawnie dochodzony.</w:t>
      </w:r>
    </w:p>
    <w:p w14:paraId="3C82D049" w14:textId="44DB8AEB" w:rsidR="00DC164B" w:rsidRPr="00FB770D" w:rsidRDefault="00DC164B" w:rsidP="00D83EBC">
      <w:pPr>
        <w:pStyle w:val="ECHRPara"/>
      </w:pPr>
      <w:r>
        <w:t>Nie dotyczy to przypadku kontynuowania takiego stosunku pracy lub</w:t>
      </w:r>
      <w:r w:rsidR="00C0322D">
        <w:t> </w:t>
      </w:r>
      <w:r>
        <w:t xml:space="preserve">warunków, w których </w:t>
      </w:r>
      <w:r w:rsidR="00EE0F5D">
        <w:t>jest on realizowany. W sektorze prywatnym</w:t>
      </w:r>
      <w:r>
        <w:t xml:space="preserve"> prawo pracy co do zasady nadaje pracownikom prawo do zainicjowania postępowania prawnego</w:t>
      </w:r>
      <w:r w:rsidR="00EE0F5D">
        <w:t>,</w:t>
      </w:r>
      <w:r>
        <w:t xml:space="preserve"> by zaskarżyć ich zwolnienie, jeżeli uważają, że</w:t>
      </w:r>
      <w:r w:rsidR="00C0322D">
        <w:t> </w:t>
      </w:r>
      <w:r>
        <w:t>zostali zwolnieni niezgodnie z prawem lub jeżeli poczyniono jednostronn</w:t>
      </w:r>
      <w:r w:rsidR="00EE0F5D">
        <w:t>i</w:t>
      </w:r>
      <w:r>
        <w:t xml:space="preserve">e znaczne zmiany w ich umowie o pracę. Ta sama zasada znajduje zastosowanie </w:t>
      </w:r>
      <w:r>
        <w:rPr>
          <w:i/>
          <w:iCs/>
        </w:rPr>
        <w:t>mutatis mutandis</w:t>
      </w:r>
      <w:r>
        <w:t xml:space="preserve"> do pracowników sektora publicznego, z zastrzeżeniem przypadków, do których zastosowanie znajduje wyjątek wspomniany w wyroku </w:t>
      </w:r>
      <w:r>
        <w:rPr>
          <w:i/>
          <w:iCs/>
        </w:rPr>
        <w:t xml:space="preserve">Vilho Eskelinen </w:t>
      </w:r>
      <w:r w:rsidR="00DE5B4A">
        <w:rPr>
          <w:i/>
          <w:iCs/>
        </w:rPr>
        <w:t>i Inni</w:t>
      </w:r>
      <w:r>
        <w:t>.</w:t>
      </w:r>
    </w:p>
    <w:p w14:paraId="017D5771" w14:textId="2CB0F376" w:rsidR="00DC164B" w:rsidRPr="00FB770D" w:rsidRDefault="00425781" w:rsidP="00D83EBC">
      <w:pPr>
        <w:pStyle w:val="ECHRPara"/>
      </w:pPr>
      <w:r>
        <w:t>118</w:t>
      </w:r>
      <w:r w:rsidR="00DC164B">
        <w:t>.</w:t>
      </w:r>
      <w:r>
        <w:t xml:space="preserve"> </w:t>
      </w:r>
      <w:r w:rsidR="00DC164B">
        <w:t>W niniejszej sprawie zdolność skarżącego do wy</w:t>
      </w:r>
      <w:r w:rsidR="00EE0F5D">
        <w:t>konywania swoich obowiązków była</w:t>
      </w:r>
      <w:r w:rsidR="00DC164B">
        <w:t xml:space="preserve"> uwarunkowana umocowaniem do dostępu do informacji</w:t>
      </w:r>
      <w:r w:rsidR="00EE0F5D">
        <w:t xml:space="preserve"> niejawnych</w:t>
      </w:r>
      <w:r w:rsidR="00DC164B">
        <w:t>. Cofnięcie poświadczenia sprawiło zatem, że nie był w stanie wykonywać swoich obowiązków w całości, co miało negatywny wpływ na</w:t>
      </w:r>
      <w:r w:rsidR="00C0322D">
        <w:t> </w:t>
      </w:r>
      <w:r w:rsidR="00DC164B">
        <w:t>jego zdolność do uzyskania nowego stanowiska w służbie cywilnej.</w:t>
      </w:r>
    </w:p>
    <w:p w14:paraId="40903223" w14:textId="08B0ACB8" w:rsidR="00DC164B" w:rsidRPr="008F131C" w:rsidRDefault="00425781" w:rsidP="00D83EBC">
      <w:pPr>
        <w:pStyle w:val="ECHRPara"/>
      </w:pPr>
      <w:r>
        <w:t>119</w:t>
      </w:r>
      <w:r w:rsidR="00DC164B">
        <w:t>.</w:t>
      </w:r>
      <w:r>
        <w:t xml:space="preserve"> </w:t>
      </w:r>
      <w:r w:rsidR="00DC164B">
        <w:t>W tych okolicznościach Trybunał uznał, że powiązanie pomiędzy decyzją o cofnięciu poświadczenia bezpieczeństwa skarżącego a utratą obowiązków i zatrudnienia było bardziej ścisłe niż luźne czy odległe (zob.,</w:t>
      </w:r>
      <w:r w:rsidR="00C0322D">
        <w:t> </w:t>
      </w:r>
      <w:r w:rsidR="00DC164B">
        <w:rPr>
          <w:i/>
          <w:iCs/>
        </w:rPr>
        <w:t>mutatis mutandis, Ternovskis</w:t>
      </w:r>
      <w:r w:rsidR="00DC164B">
        <w:t xml:space="preserve">, cyt. powyżej, § 44, i </w:t>
      </w:r>
      <w:r w:rsidR="00DC164B">
        <w:rPr>
          <w:i/>
          <w:iCs/>
        </w:rPr>
        <w:t>Miryana Petrova,</w:t>
      </w:r>
      <w:r w:rsidR="00DC164B">
        <w:t xml:space="preserve"> cyt. powyżej, § 31). </w:t>
      </w:r>
      <w:r w:rsidR="00DC164B" w:rsidRPr="008F131C">
        <w:t>Mógł zatem</w:t>
      </w:r>
      <w:r w:rsidR="000E69A1" w:rsidRPr="008F131C">
        <w:t xml:space="preserve"> powoływać się na prawo</w:t>
      </w:r>
      <w:r w:rsidR="00DC164B" w:rsidRPr="008F131C">
        <w:t xml:space="preserve"> do zaskarżenia zgodności z prawem tego cofnięcia przed sądami.</w:t>
      </w:r>
    </w:p>
    <w:p w14:paraId="76E0495F" w14:textId="7CDEB85A" w:rsidR="00DC164B" w:rsidRPr="00D83EBC" w:rsidRDefault="00DC164B" w:rsidP="00D83EBC">
      <w:pPr>
        <w:pStyle w:val="ECHRHeading6"/>
        <w:rPr>
          <w:i w:val="0"/>
          <w:iCs w:val="0"/>
        </w:rPr>
      </w:pPr>
      <w:r w:rsidRPr="008F131C">
        <w:rPr>
          <w:i w:val="0"/>
          <w:iCs w:val="0"/>
        </w:rPr>
        <w:t>(β)</w:t>
      </w:r>
      <w:r w:rsidR="00425781" w:rsidRPr="008F131C">
        <w:t xml:space="preserve"> </w:t>
      </w:r>
      <w:r w:rsidRPr="008F131C">
        <w:rPr>
          <w:i w:val="0"/>
          <w:iCs w:val="0"/>
        </w:rPr>
        <w:t>Cywilny charakter prawa</w:t>
      </w:r>
    </w:p>
    <w:p w14:paraId="156BB2F5" w14:textId="6D285868" w:rsidR="00DC164B" w:rsidRPr="00FB770D" w:rsidRDefault="00425781" w:rsidP="00D83EBC">
      <w:pPr>
        <w:pStyle w:val="ECHRPara"/>
      </w:pPr>
      <w:r>
        <w:t>120</w:t>
      </w:r>
      <w:r w:rsidR="00DC164B">
        <w:t>.</w:t>
      </w:r>
      <w:r>
        <w:t xml:space="preserve"> </w:t>
      </w:r>
      <w:r w:rsidR="00DC164B">
        <w:t xml:space="preserve">W odniesieniu do cywilnego charakteru prawa w rozumieniu </w:t>
      </w:r>
      <w:r w:rsidR="00307B53">
        <w:t>art.</w:t>
      </w:r>
      <w:r w:rsidR="00DC164B">
        <w:t xml:space="preserve"> 6 ust. 1, o ile jest prawdą, że przedmiotowa sprawa nie dotyczy sporu pomiędzy skarżącym a jego pracodawcą dotyczącego rzekomej bezprawności zwolnienia tego pierwszego, lecz cofnięcia poświadczenia bezpieczeństwa skarżącego, należy uwzględnić fakt, iż cofnięcie uniemożliwiło skarżącemu kontynuowanie pełnienia swojej funkcji </w:t>
      </w:r>
      <w:r w:rsidR="00DC164B">
        <w:lastRenderedPageBreak/>
        <w:t>dla</w:t>
      </w:r>
      <w:r w:rsidR="00C0322D">
        <w:t> </w:t>
      </w:r>
      <w:r w:rsidR="00DC164B">
        <w:t>wiceministra obrony. Co zatem leżało na szali dla skarżącego to</w:t>
      </w:r>
      <w:r w:rsidR="00C0322D">
        <w:t> </w:t>
      </w:r>
      <w:r w:rsidR="00DC164B">
        <w:t>nie</w:t>
      </w:r>
      <w:r w:rsidR="00C0322D">
        <w:t> </w:t>
      </w:r>
      <w:r w:rsidR="00DC164B">
        <w:t>prawo do dostępu do informacji</w:t>
      </w:r>
      <w:r w:rsidR="000E69A1">
        <w:t xml:space="preserve"> niejawnych</w:t>
      </w:r>
      <w:r w:rsidR="00DC164B">
        <w:t>, lecz jego obowiązki i</w:t>
      </w:r>
      <w:r w:rsidR="00C0322D">
        <w:t> </w:t>
      </w:r>
      <w:r w:rsidR="00DC164B">
        <w:t>zatrudnienie, na które cofnięcie poświadczenia bezpieczeństwa miało wpływ. Jako że nie miał już dłużej wymaganego poświadczenia bezpieczeństwa, nie mógł już dłużej pracować na swoim poprzednim stanowisku. Trybunał przeanalizuje</w:t>
      </w:r>
      <w:r w:rsidR="00DC164B" w:rsidRPr="006073F9">
        <w:t xml:space="preserve"> </w:t>
      </w:r>
      <w:r w:rsidR="00DC164B">
        <w:t xml:space="preserve">z kolei, czy omawiane prawo jest prawem </w:t>
      </w:r>
      <w:r w:rsidR="009F12F2">
        <w:t>o charakterze cywilnym</w:t>
      </w:r>
      <w:r w:rsidR="00DC164B">
        <w:t>.</w:t>
      </w:r>
    </w:p>
    <w:p w14:paraId="5FBD14C7" w14:textId="13C4115E" w:rsidR="00DC164B" w:rsidRPr="00D83EBC" w:rsidRDefault="00425781" w:rsidP="00D83EBC">
      <w:pPr>
        <w:pStyle w:val="ECHRPara"/>
      </w:pPr>
      <w:r>
        <w:t>121</w:t>
      </w:r>
      <w:r w:rsidR="00DC164B">
        <w:t>.</w:t>
      </w:r>
      <w:r>
        <w:t xml:space="preserve"> </w:t>
      </w:r>
      <w:r w:rsidR="00DC164B">
        <w:t xml:space="preserve">Jak już wspomniano wcześniej, stosunek pracy pomiędzy skarżącym a Ministerstwem Obrony opierał się na przepisach Kodeksu </w:t>
      </w:r>
      <w:r w:rsidR="00897F4A">
        <w:t>pracy</w:t>
      </w:r>
      <w:r w:rsidR="00DC164B">
        <w:t>, które nie zawierały żadnych szczególnych postanowień mających zastosowanie do funkcji</w:t>
      </w:r>
      <w:r w:rsidR="00DC164B">
        <w:rPr>
          <w:color w:val="FF0000"/>
        </w:rPr>
        <w:t xml:space="preserve"> </w:t>
      </w:r>
      <w:r w:rsidR="00DC164B">
        <w:t>pełnionych w ramach administracji państwowej, a</w:t>
      </w:r>
      <w:r w:rsidR="00C0322D">
        <w:t> </w:t>
      </w:r>
      <w:r w:rsidR="00DC164B">
        <w:t xml:space="preserve">zatem w przedmiotowym czasie nie istniała służba cywilna w tradycyjnym rozumieniu tego słowa, nadająca urzędnikom służby cywilnej zobowiązania i przywileje spoza zakresu prawa zwykłego. Szczególne przepisy prawa regulujące status urzędników cywilnych istnieją dopiero od wejścia w życie </w:t>
      </w:r>
      <w:r w:rsidR="00897F4A">
        <w:t xml:space="preserve">ustawy o służbie cywilnej (ustawa </w:t>
      </w:r>
      <w:r w:rsidR="00DC164B">
        <w:t>nr 234/2014) w dniu 1 stycznia 2015 r.</w:t>
      </w:r>
    </w:p>
    <w:p w14:paraId="73D303D6" w14:textId="6A3D976D" w:rsidR="00DC164B" w:rsidRPr="00D83EBC" w:rsidRDefault="00DC164B" w:rsidP="00D83EBC">
      <w:pPr>
        <w:pStyle w:val="ECHRPara"/>
      </w:pPr>
      <w:r>
        <w:t xml:space="preserve">Spory pracownicze, w szczególności te dotyczące środków z zakresu </w:t>
      </w:r>
      <w:r w:rsidR="008F131C">
        <w:t>rozwiązania stosunku</w:t>
      </w:r>
      <w:r>
        <w:t xml:space="preserve"> zatrudnienia w sektorze prywatnym, dotyczą praw </w:t>
      </w:r>
      <w:r w:rsidR="009F12F2">
        <w:t>o</w:t>
      </w:r>
      <w:r w:rsidR="00C0322D">
        <w:t> </w:t>
      </w:r>
      <w:r w:rsidR="009F12F2">
        <w:t xml:space="preserve">charakterze cywilnym </w:t>
      </w:r>
      <w:r>
        <w:t xml:space="preserve">w rozumieniu </w:t>
      </w:r>
      <w:r w:rsidR="00307B53">
        <w:t>art.</w:t>
      </w:r>
      <w:r>
        <w:t xml:space="preserve"> 6 ust. 1 Konwencji.</w:t>
      </w:r>
    </w:p>
    <w:p w14:paraId="01471804" w14:textId="2D084665" w:rsidR="00DC164B" w:rsidRPr="00FB770D" w:rsidRDefault="00425781" w:rsidP="00D83EBC">
      <w:pPr>
        <w:pStyle w:val="ECHRPara"/>
      </w:pPr>
      <w:r>
        <w:t>122</w:t>
      </w:r>
      <w:r w:rsidR="00DC164B">
        <w:t>.</w:t>
      </w:r>
      <w:r>
        <w:t xml:space="preserve"> </w:t>
      </w:r>
      <w:r w:rsidR="00DC164B">
        <w:t xml:space="preserve">Na podstawie wspomnianych powyżej </w:t>
      </w:r>
      <w:r w:rsidR="008F131C">
        <w:t xml:space="preserve">względów </w:t>
      </w:r>
      <w:r w:rsidR="00DC164B">
        <w:t>można stwierdzić, że decyzja anulująca poświadczenie bezpieczeństwa skarżącego oraz</w:t>
      </w:r>
      <w:r w:rsidR="00C0322D">
        <w:t> </w:t>
      </w:r>
      <w:r w:rsidR="00DC164B">
        <w:t xml:space="preserve">postępowanie, które miało </w:t>
      </w:r>
      <w:r w:rsidR="008F131C">
        <w:t xml:space="preserve">następnie </w:t>
      </w:r>
      <w:r w:rsidR="00DC164B">
        <w:t xml:space="preserve">miejsce, miały wpływ na jego prawa </w:t>
      </w:r>
      <w:r w:rsidR="008F131C">
        <w:t>o charakterze cywilnym</w:t>
      </w:r>
      <w:r w:rsidR="00DC164B">
        <w:t>.</w:t>
      </w:r>
    </w:p>
    <w:p w14:paraId="1F70FAE4" w14:textId="48CA1668" w:rsidR="00DC164B" w:rsidRPr="00FB770D" w:rsidRDefault="00425781" w:rsidP="00D83EBC">
      <w:pPr>
        <w:pStyle w:val="ECHRPara"/>
      </w:pPr>
      <w:r>
        <w:t>123</w:t>
      </w:r>
      <w:r w:rsidR="00DC164B">
        <w:t>.</w:t>
      </w:r>
      <w:r>
        <w:t xml:space="preserve"> </w:t>
      </w:r>
      <w:r w:rsidR="00DC164B">
        <w:t>W takiej sytuacji, nawet zakładając, ż</w:t>
      </w:r>
      <w:r w:rsidR="008F131C">
        <w:t>e skarżącego należałoby uznawać</w:t>
      </w:r>
      <w:r w:rsidR="00DC164B">
        <w:t xml:space="preserve"> za urzędnika służby cywilnej, którego status </w:t>
      </w:r>
      <w:r w:rsidR="008F131C">
        <w:t xml:space="preserve">był </w:t>
      </w:r>
      <w:r w:rsidR="00DC164B">
        <w:t xml:space="preserve">regulowany przepisami prawnymi spoza zakresu zwykłego prawa, Trybunał przypomina, iż zgodnie z </w:t>
      </w:r>
      <w:r w:rsidR="00200F80">
        <w:t xml:space="preserve">jego </w:t>
      </w:r>
      <w:r w:rsidR="00DC164B">
        <w:t>orzecznictwem spory pomiędzy Państwem a</w:t>
      </w:r>
      <w:r w:rsidR="00C0322D">
        <w:t> </w:t>
      </w:r>
      <w:r w:rsidR="00DC164B">
        <w:t xml:space="preserve">jego urzędnikami służby cywilnej mieszczą się co do zasady w zakresie </w:t>
      </w:r>
      <w:r w:rsidR="00307B53">
        <w:t>art.</w:t>
      </w:r>
      <w:r w:rsidR="00DC164B">
        <w:t xml:space="preserve"> 6, z </w:t>
      </w:r>
      <w:r w:rsidR="00200F80">
        <w:t xml:space="preserve">wyjątkiem </w:t>
      </w:r>
      <w:r w:rsidR="00DC164B">
        <w:t>sytuacji, gd</w:t>
      </w:r>
      <w:r w:rsidR="00200F80">
        <w:t>y</w:t>
      </w:r>
      <w:r w:rsidR="00DC164B">
        <w:t xml:space="preserve"> oba warunki, o których mowa w paragrafie </w:t>
      </w:r>
      <w:r w:rsidR="00307B53">
        <w:t>107</w:t>
      </w:r>
      <w:r w:rsidR="00DC164B">
        <w:t xml:space="preserve"> powyżej, są spełnione</w:t>
      </w:r>
      <w:r w:rsidR="00DC164B" w:rsidRPr="00C46728">
        <w:t xml:space="preserve"> </w:t>
      </w:r>
      <w:r w:rsidR="00DC164B">
        <w:t>łącznie.</w:t>
      </w:r>
    </w:p>
    <w:p w14:paraId="4C55C177" w14:textId="35FE860C" w:rsidR="00DC164B" w:rsidRPr="00FB770D" w:rsidRDefault="00425781" w:rsidP="00D83EBC">
      <w:pPr>
        <w:pStyle w:val="ECHRPara"/>
      </w:pPr>
      <w:r>
        <w:t>124</w:t>
      </w:r>
      <w:r w:rsidR="00DC164B">
        <w:t>.</w:t>
      </w:r>
      <w:r>
        <w:t xml:space="preserve"> </w:t>
      </w:r>
      <w:r w:rsidR="00DC164B">
        <w:t>W przedmiotowej sprawie należy stwierdzić, że pierwszy z</w:t>
      </w:r>
      <w:r w:rsidR="00C0322D">
        <w:t> </w:t>
      </w:r>
      <w:r w:rsidR="00DC164B">
        <w:t xml:space="preserve">podanych warunków nie został spełniony. </w:t>
      </w:r>
      <w:r w:rsidR="00200F80" w:rsidRPr="00200F80">
        <w:t>Prawo czeskie przewidywało, że osoby zainteresowane wszczęciem postępowania mogą wnioskować o</w:t>
      </w:r>
      <w:r w:rsidR="00C0322D">
        <w:t> </w:t>
      </w:r>
      <w:r w:rsidR="00200F80" w:rsidRPr="00200F80">
        <w:t xml:space="preserve">kontrolę sądową decyzji </w:t>
      </w:r>
      <w:r w:rsidR="00DC164B">
        <w:t>Urzędu Bezpieczeństwa Narodowego (zob.</w:t>
      </w:r>
      <w:r w:rsidR="00C0322D">
        <w:t> </w:t>
      </w:r>
      <w:r w:rsidR="00DC164B">
        <w:t xml:space="preserve">paragrafy </w:t>
      </w:r>
      <w:r w:rsidR="00307B53">
        <w:t>52</w:t>
      </w:r>
      <w:r w:rsidR="00DC164B">
        <w:t>-</w:t>
      </w:r>
      <w:r w:rsidR="00307B53">
        <w:t>56</w:t>
      </w:r>
      <w:r w:rsidR="00DC164B">
        <w:t xml:space="preserve"> powyżej). Ta możliwość była dostępna dla</w:t>
      </w:r>
      <w:r w:rsidR="003C1B1C">
        <w:t> </w:t>
      </w:r>
      <w:r w:rsidR="00DC164B">
        <w:t xml:space="preserve">skarżącego i rzeczywiście taki wniosek złożył. Wynika z tego, że </w:t>
      </w:r>
      <w:r w:rsidR="00307B53">
        <w:t xml:space="preserve">art. </w:t>
      </w:r>
      <w:r w:rsidR="00DC164B">
        <w:t>6 ma</w:t>
      </w:r>
      <w:r w:rsidR="00C0322D">
        <w:t> </w:t>
      </w:r>
      <w:r w:rsidR="00DC164B">
        <w:t xml:space="preserve">zastosowanie do niniejszej sprawy w </w:t>
      </w:r>
      <w:r w:rsidR="007E7412">
        <w:t>swym aspekcie cywilnym</w:t>
      </w:r>
      <w:r w:rsidR="00DC164B">
        <w:t>.</w:t>
      </w:r>
    </w:p>
    <w:p w14:paraId="10EBBFE6" w14:textId="59FDEFD4" w:rsidR="00DC164B" w:rsidRPr="00FB770D" w:rsidRDefault="00425781" w:rsidP="00D83EBC">
      <w:pPr>
        <w:pStyle w:val="ECHRPara"/>
      </w:pPr>
      <w:r>
        <w:t>125</w:t>
      </w:r>
      <w:r w:rsidR="00DC164B">
        <w:t>.</w:t>
      </w:r>
      <w:r>
        <w:t xml:space="preserve"> </w:t>
      </w:r>
      <w:r w:rsidR="007E7412">
        <w:t xml:space="preserve">To </w:t>
      </w:r>
      <w:r w:rsidR="00DC164B">
        <w:t>postanowienie wymagało zatem, by skarżący miał dostęp do</w:t>
      </w:r>
      <w:r w:rsidR="00C0322D">
        <w:t> </w:t>
      </w:r>
      <w:r w:rsidR="00DC164B">
        <w:t xml:space="preserve">organu sądowego właściwego do </w:t>
      </w:r>
      <w:r w:rsidR="007E7412">
        <w:t xml:space="preserve">rozstrzygania o </w:t>
      </w:r>
      <w:r w:rsidR="00DC164B">
        <w:t>jego praw</w:t>
      </w:r>
      <w:r w:rsidR="007E7412">
        <w:t>ach i</w:t>
      </w:r>
      <w:r w:rsidR="00C0322D">
        <w:t> </w:t>
      </w:r>
      <w:r w:rsidR="007E7412">
        <w:t>obowiązkach</w:t>
      </w:r>
      <w:r w:rsidR="00DC164B">
        <w:t xml:space="preserve"> </w:t>
      </w:r>
      <w:r w:rsidR="008A4B1D">
        <w:t>o charakterze cywilnym</w:t>
      </w:r>
      <w:r w:rsidR="00DC164B">
        <w:t xml:space="preserve"> zgodnie z gwarancjami z </w:t>
      </w:r>
      <w:r w:rsidR="00307B53">
        <w:t>art.</w:t>
      </w:r>
      <w:r w:rsidR="00DC164B">
        <w:t xml:space="preserve"> 6 ust. 1 (zob. sprawa </w:t>
      </w:r>
      <w:r w:rsidR="00DC164B">
        <w:rPr>
          <w:i/>
          <w:iCs/>
        </w:rPr>
        <w:t>Veeber przeciwko Estonii (nr 1)</w:t>
      </w:r>
      <w:r w:rsidR="00DC164B">
        <w:t>, nr 37571/97. § 70, 7 listopada 2002 r.).</w:t>
      </w:r>
    </w:p>
    <w:p w14:paraId="3F2D8544" w14:textId="1F81E4D6" w:rsidR="00DC164B" w:rsidRPr="00FB770D" w:rsidRDefault="00425781" w:rsidP="00D83EBC">
      <w:pPr>
        <w:pStyle w:val="ECHRPara"/>
      </w:pPr>
      <w:r>
        <w:t>126</w:t>
      </w:r>
      <w:r w:rsidR="00DC164B">
        <w:t>.</w:t>
      </w:r>
      <w:r>
        <w:t xml:space="preserve"> </w:t>
      </w:r>
      <w:r w:rsidR="00DC164B">
        <w:t>Co więcej, mając na uwadze wniosek, że skarżący może po</w:t>
      </w:r>
      <w:r w:rsidR="000E69A1">
        <w:t>woływać się na prawo</w:t>
      </w:r>
      <w:r w:rsidR="00DC164B">
        <w:t xml:space="preserve"> </w:t>
      </w:r>
      <w:r w:rsidR="008A4B1D">
        <w:t xml:space="preserve">o charakterze cywilnym </w:t>
      </w:r>
      <w:r w:rsidR="00DC164B">
        <w:t xml:space="preserve">w rozumieniu </w:t>
      </w:r>
      <w:r w:rsidR="00307B53">
        <w:t>art.</w:t>
      </w:r>
      <w:r w:rsidR="00DC164B">
        <w:t xml:space="preserve"> 6 ust. 1 Konwencji, </w:t>
      </w:r>
      <w:r w:rsidR="00DC164B">
        <w:lastRenderedPageBreak/>
        <w:t xml:space="preserve">Trybunał uznaje, że może </w:t>
      </w:r>
      <w:r w:rsidR="000E69A1">
        <w:t xml:space="preserve">się on </w:t>
      </w:r>
      <w:r w:rsidR="00DC164B">
        <w:t xml:space="preserve">powoływać na status ofiary na potrzeby </w:t>
      </w:r>
      <w:r w:rsidR="00307B53">
        <w:t>art.</w:t>
      </w:r>
      <w:r w:rsidR="00C0322D">
        <w:t> </w:t>
      </w:r>
      <w:r w:rsidR="00DC164B">
        <w:t>34 Konwencji.</w:t>
      </w:r>
    </w:p>
    <w:p w14:paraId="505E49B5" w14:textId="5FF7B338" w:rsidR="00DC164B" w:rsidRPr="00B8608B" w:rsidRDefault="00425781" w:rsidP="00D83EBC">
      <w:pPr>
        <w:pStyle w:val="ECHRPara"/>
      </w:pPr>
      <w:r w:rsidRPr="00B8608B">
        <w:t>127</w:t>
      </w:r>
      <w:r w:rsidR="00DC164B" w:rsidRPr="00B8608B">
        <w:t>.</w:t>
      </w:r>
      <w:r w:rsidRPr="00B8608B">
        <w:t xml:space="preserve"> </w:t>
      </w:r>
      <w:r w:rsidR="007E7412" w:rsidRPr="00B8608B">
        <w:t>W związku z powyższym</w:t>
      </w:r>
      <w:r w:rsidR="00DC164B" w:rsidRPr="00B8608B">
        <w:t xml:space="preserve"> zastrzeżenia </w:t>
      </w:r>
      <w:r w:rsidR="007E7412" w:rsidRPr="00B8608B">
        <w:t xml:space="preserve">wstępne </w:t>
      </w:r>
      <w:r w:rsidR="00DC164B" w:rsidRPr="00B8608B">
        <w:t>podniesione przez Rząd muszą zostać odrzucone.</w:t>
      </w:r>
    </w:p>
    <w:p w14:paraId="4C3E93F2" w14:textId="3CA34DBA" w:rsidR="00DC164B" w:rsidRPr="00037E60" w:rsidRDefault="00DC164B" w:rsidP="00D83EBC">
      <w:pPr>
        <w:pStyle w:val="ECHRHeading2"/>
        <w:rPr>
          <w:sz w:val="24"/>
        </w:rPr>
      </w:pPr>
      <w:r w:rsidRPr="00B8608B">
        <w:rPr>
          <w:sz w:val="24"/>
        </w:rPr>
        <w:t xml:space="preserve">C. </w:t>
      </w:r>
      <w:r w:rsidR="00425781" w:rsidRPr="00B8608B">
        <w:rPr>
          <w:sz w:val="24"/>
        </w:rPr>
        <w:t xml:space="preserve">Przedmiot </w:t>
      </w:r>
      <w:r w:rsidRPr="00B8608B">
        <w:rPr>
          <w:sz w:val="24"/>
        </w:rPr>
        <w:t>sprawy</w:t>
      </w:r>
    </w:p>
    <w:p w14:paraId="17BE9A09" w14:textId="5FE99F00" w:rsidR="00DC164B" w:rsidRPr="00D83EBC" w:rsidRDefault="00DC164B" w:rsidP="00D83EBC">
      <w:pPr>
        <w:pStyle w:val="ECHRHeading3"/>
      </w:pPr>
      <w:r>
        <w:t>1.</w:t>
      </w:r>
      <w:r w:rsidR="00425781">
        <w:t xml:space="preserve"> </w:t>
      </w:r>
      <w:r w:rsidR="00D307D5">
        <w:t xml:space="preserve">Twierdzenia </w:t>
      </w:r>
      <w:r>
        <w:t>stron</w:t>
      </w:r>
    </w:p>
    <w:p w14:paraId="06280D0F" w14:textId="77777777" w:rsidR="00DC164B" w:rsidRPr="00D83EBC" w:rsidRDefault="00DC164B" w:rsidP="00D83EBC">
      <w:pPr>
        <w:pStyle w:val="ECHRHeading4"/>
      </w:pPr>
      <w:r>
        <w:t>(a) Skarżący</w:t>
      </w:r>
    </w:p>
    <w:p w14:paraId="4989BE5B" w14:textId="00693FE6" w:rsidR="00DC164B" w:rsidRPr="00D83EBC" w:rsidRDefault="00425781" w:rsidP="00D83EBC">
      <w:pPr>
        <w:pStyle w:val="ECHRPara"/>
      </w:pPr>
      <w:r>
        <w:t>128</w:t>
      </w:r>
      <w:r w:rsidR="00DC164B">
        <w:t>.</w:t>
      </w:r>
      <w:r>
        <w:t xml:space="preserve"> </w:t>
      </w:r>
      <w:r w:rsidR="00DC164B">
        <w:t>Skarżący argumentował, że nie było możliwe, by sądy właściwie zbadały uzasadnienie lub brak uzasadnienia decyzji Urzędu o odmowie udzielenia lub o cofnięciu poświadczenia bezpieczeństwa na podstawie dowodów pośrednich lub nieautentycznych, a mianowicie, na podstawie raportu przedłożonego przez służby wywiadowcze. Zauważył, że raport, na</w:t>
      </w:r>
      <w:r w:rsidR="00C0322D">
        <w:t> </w:t>
      </w:r>
      <w:r w:rsidR="00DC164B">
        <w:t>podstawie którego sądy wydały swoje decyzje w przedmiotowej sprawie, obejmował jedynie pośrednie i niekompletne informacje pochodzące od</w:t>
      </w:r>
      <w:r w:rsidR="00C0322D">
        <w:t> </w:t>
      </w:r>
      <w:r w:rsidR="00DC164B">
        <w:t>s</w:t>
      </w:r>
      <w:r w:rsidR="00037E60">
        <w:t>trony trzeciej, których nie były</w:t>
      </w:r>
      <w:r w:rsidR="00DC164B">
        <w:t xml:space="preserve"> w stanie zweryfikować ani porównać z</w:t>
      </w:r>
      <w:r w:rsidR="00C0322D">
        <w:t> </w:t>
      </w:r>
      <w:r w:rsidR="00DC164B">
        <w:t xml:space="preserve">jego własnymi zeznaniami, jako że raport nie został ujawniony skarżącemu na żadnym etapie postępowania. W swoim wystąpieniu skarżący podniósł, że jedynym sposobem zweryfikowania informacji była ocena </w:t>
      </w:r>
      <w:r w:rsidR="00037E60">
        <w:t xml:space="preserve">powoływanych w nich </w:t>
      </w:r>
      <w:r w:rsidR="00DC164B">
        <w:t>faktów, a sąd nie był w stanie tego uczynić, skoro strona, o której była mowa w raporcie, była nieobecna. Wynikające z</w:t>
      </w:r>
      <w:r w:rsidR="00C0322D">
        <w:t> </w:t>
      </w:r>
      <w:r w:rsidR="00DC164B">
        <w:t xml:space="preserve">orzecznictwa krajowego uprawnienie, zgodnie z którym kontrola sądowa, aby </w:t>
      </w:r>
      <w:r w:rsidR="00037E60">
        <w:t xml:space="preserve">była zgodna </w:t>
      </w:r>
      <w:r w:rsidR="00DC164B">
        <w:t xml:space="preserve">z przepisami art. 133 </w:t>
      </w:r>
      <w:r w:rsidR="00897F4A">
        <w:t xml:space="preserve">ustawy </w:t>
      </w:r>
      <w:r w:rsidR="00DC164B">
        <w:t xml:space="preserve">nr 412/2005, musi wychodzić </w:t>
      </w:r>
      <w:r w:rsidR="00037E60">
        <w:t xml:space="preserve">również </w:t>
      </w:r>
      <w:r w:rsidR="00DC164B">
        <w:t>poza podstawy powołane przez jedną ze</w:t>
      </w:r>
      <w:r w:rsidR="00037E60">
        <w:t xml:space="preserve"> stron postępowania, nie zmienia</w:t>
      </w:r>
      <w:r w:rsidR="00DC164B">
        <w:t xml:space="preserve"> nic w tej kwestii, jako że sądy nie mogły zweryfikować prawdziwości i poprawności treści dowodów. [Skarżący] odwołał się w tym kontekście do wyroku o sygn. 4 As 1/2015 z dnia 1 marca 2016 r. Najwyższego Sądu Administracyjnego, orzekaj</w:t>
      </w:r>
      <w:r w:rsidR="00037E60">
        <w:t>ą</w:t>
      </w:r>
      <w:r w:rsidR="00DC164B">
        <w:t>cego w poszerzonym składzie.</w:t>
      </w:r>
    </w:p>
    <w:p w14:paraId="445894F5" w14:textId="6E43E008" w:rsidR="00DC164B" w:rsidRPr="00D83EBC" w:rsidRDefault="00425781" w:rsidP="00D83EBC">
      <w:pPr>
        <w:pStyle w:val="ECHRPara"/>
      </w:pPr>
      <w:r>
        <w:t>129</w:t>
      </w:r>
      <w:r w:rsidR="00DC164B">
        <w:t>.</w:t>
      </w:r>
      <w:r>
        <w:t xml:space="preserve"> </w:t>
      </w:r>
      <w:r w:rsidR="00DC164B">
        <w:t>Skarżący podniósł, że zasada równości zosta</w:t>
      </w:r>
      <w:r w:rsidR="00037E60">
        <w:t>je</w:t>
      </w:r>
      <w:r w:rsidR="00DC164B">
        <w:t xml:space="preserve"> naruszona, gdy jedna ze stron postępowania administracyjnego nie miała możliwości w pełni zapoznać się ze wszystkimi dowodami, które posłużyły za podstawę niekorzystnej decyzji.</w:t>
      </w:r>
      <w:r w:rsidR="00037E60">
        <w:t xml:space="preserve"> Przyznał</w:t>
      </w:r>
      <w:r w:rsidR="00DC164B">
        <w:t>, że w pewnych okolicznościach względy bezpieczeństwa państwa zdefiniowane prawnie mają pierwszeństwo przed</w:t>
      </w:r>
      <w:r w:rsidR="00C0322D">
        <w:t> </w:t>
      </w:r>
      <w:r w:rsidR="00DC164B">
        <w:t>interesami osoby ubiegającej się o ochronę przed sądami w</w:t>
      </w:r>
      <w:r w:rsidR="00C0322D">
        <w:t> </w:t>
      </w:r>
      <w:r w:rsidR="00037E60">
        <w:t xml:space="preserve">odpowiednim </w:t>
      </w:r>
      <w:r w:rsidR="00DC164B">
        <w:t>postępowaniu kontradyktoryjnym. Odnotował, że</w:t>
      </w:r>
      <w:r w:rsidR="003C1B1C">
        <w:t> </w:t>
      </w:r>
      <w:r w:rsidR="00037E60">
        <w:t>w</w:t>
      </w:r>
      <w:r w:rsidR="00C0322D">
        <w:t> </w:t>
      </w:r>
      <w:r w:rsidR="00037E60">
        <w:t>przedmiotowej sprawie jednak</w:t>
      </w:r>
      <w:r w:rsidR="00DC164B">
        <w:t xml:space="preserve"> jego prawo do </w:t>
      </w:r>
      <w:r w:rsidR="00037E60">
        <w:t xml:space="preserve">rzetelnego </w:t>
      </w:r>
      <w:r w:rsidR="00DC164B">
        <w:t xml:space="preserve">procesu lub też do pozycji równej wobec prawa nie </w:t>
      </w:r>
      <w:r w:rsidR="00037E60">
        <w:t>powinno było być</w:t>
      </w:r>
      <w:r w:rsidR="00DC164B">
        <w:t xml:space="preserve"> ograniczone, ponieważ warunki ustawowe określone przepisami prawa czeskiego dla</w:t>
      </w:r>
      <w:r w:rsidR="00C0322D">
        <w:t> </w:t>
      </w:r>
      <w:r w:rsidR="00037E60">
        <w:t>zastosowania</w:t>
      </w:r>
      <w:r w:rsidR="00DC164B">
        <w:t xml:space="preserve"> takiej procedury nie zostały spełnione. Autor dokumentu nr 77, z którym skarżącemu nie pozwolono się zapoznać, </w:t>
      </w:r>
      <w:r w:rsidR="00037E60">
        <w:t xml:space="preserve">opatrzył </w:t>
      </w:r>
      <w:r w:rsidR="00DC164B">
        <w:t xml:space="preserve">raport oraz informacje w nim zawarte </w:t>
      </w:r>
      <w:r w:rsidR="00037E60">
        <w:t xml:space="preserve">najniższą klauzulą </w:t>
      </w:r>
      <w:r w:rsidR="00DC164B">
        <w:t xml:space="preserve">tajności, a mianowicie </w:t>
      </w:r>
      <w:r w:rsidR="00037E60">
        <w:lastRenderedPageBreak/>
        <w:t xml:space="preserve">klauzulą </w:t>
      </w:r>
      <w:r w:rsidR="00DC164B">
        <w:t xml:space="preserve">„zastrzeżone”. W świetle </w:t>
      </w:r>
      <w:r w:rsidR="00037E60">
        <w:t xml:space="preserve">art. </w:t>
      </w:r>
      <w:r w:rsidR="00DC164B">
        <w:t xml:space="preserve">3 ust. 5 lit. e </w:t>
      </w:r>
      <w:r w:rsidR="00307B53">
        <w:t>u</w:t>
      </w:r>
      <w:r w:rsidR="00DC164B">
        <w:t xml:space="preserve">stawy nr 412/2005 autor raportu uznał, że informacje sklasyfikowane w ten sposób dotyczyły pewnej trwającej operacji </w:t>
      </w:r>
      <w:r w:rsidR="00037E60">
        <w:t>wywiadowczej. Jednakże</w:t>
      </w:r>
      <w:r w:rsidR="00DC164B">
        <w:t xml:space="preserve"> zgodnie z art. 133 ust. 3 tej </w:t>
      </w:r>
      <w:r w:rsidR="00897F4A">
        <w:t>ustawy</w:t>
      </w:r>
      <w:r w:rsidR="00DC164B">
        <w:t>, aby sądy były w stanie wyłączyć część dokumentu z prawa do</w:t>
      </w:r>
      <w:r w:rsidR="00C0322D">
        <w:t> </w:t>
      </w:r>
      <w:r w:rsidR="00DC164B">
        <w:t>wglądu przez drugą stronę, musiało istnieć ryzyko zakłó</w:t>
      </w:r>
      <w:r w:rsidR="00125772">
        <w:t>cenia</w:t>
      </w:r>
      <w:r w:rsidR="00DC164B">
        <w:t xml:space="preserve"> działań służb wywiadowczych</w:t>
      </w:r>
      <w:r w:rsidR="00037E60">
        <w:t>,</w:t>
      </w:r>
      <w:r w:rsidR="00DC164B">
        <w:t xml:space="preserve"> a </w:t>
      </w:r>
      <w:r w:rsidR="00C2098A">
        <w:t xml:space="preserve">zakłócenie </w:t>
      </w:r>
      <w:r w:rsidR="00DC164B">
        <w:t>to musiało stanowić istotne ryzyko, wskazane użytymi terminami „zagrozić lub poważnie zakłócić”, które, zgodnie z prawem, wymagają sklasyfikowania przynajmniej na poziomie „tajne”. Według skarżącego władza ustawodawcza starała się ograniczyć stosowanie procedury szczególnej wyłącznie do sytuacji, w której mowa była o faktach, które należało utrzymać w tajemnicy. Jego zdaniem ustawowe warunki ograniczające jego prawa proceduralne omówione w</w:t>
      </w:r>
      <w:r w:rsidR="00C0322D">
        <w:t> </w:t>
      </w:r>
      <w:r w:rsidR="00DC164B">
        <w:t>art.</w:t>
      </w:r>
      <w:r w:rsidR="00C0322D">
        <w:t> </w:t>
      </w:r>
      <w:r w:rsidR="00DC164B">
        <w:t xml:space="preserve">133 ust. 3 </w:t>
      </w:r>
      <w:r w:rsidR="00897F4A">
        <w:t xml:space="preserve">ustawy </w:t>
      </w:r>
      <w:r w:rsidR="00DC164B">
        <w:t>nr 412/2005 nie zostały spełnione, ponieważ informacje ujęte w raporcie nie mogły mieć takiego charakteru, który</w:t>
      </w:r>
      <w:r w:rsidR="00C0322D">
        <w:t> </w:t>
      </w:r>
      <w:r w:rsidR="00DC164B">
        <w:t>uzasadniałby zastosowanie tej procedury szczególnej.</w:t>
      </w:r>
    </w:p>
    <w:p w14:paraId="15574410" w14:textId="56ED01F7" w:rsidR="00DC164B" w:rsidRPr="00D83EBC" w:rsidRDefault="00425781" w:rsidP="00D83EBC">
      <w:pPr>
        <w:pStyle w:val="ECHRPara"/>
      </w:pPr>
      <w:r>
        <w:t>130</w:t>
      </w:r>
      <w:r w:rsidR="00DC164B">
        <w:t>.</w:t>
      </w:r>
      <w:r>
        <w:t xml:space="preserve"> </w:t>
      </w:r>
      <w:r w:rsidR="00DC164B">
        <w:t xml:space="preserve">Stwierdził w tym kontekście, że sądy nie miały </w:t>
      </w:r>
      <w:r w:rsidR="00554750">
        <w:t xml:space="preserve">w swoim posiadaniu dokumentów </w:t>
      </w:r>
      <w:r w:rsidR="00125772">
        <w:t xml:space="preserve">znajdujących się </w:t>
      </w:r>
      <w:r w:rsidR="00DC164B">
        <w:t xml:space="preserve">w aktach służb wywiadowczych ani </w:t>
      </w:r>
      <w:r w:rsidR="00554750">
        <w:t xml:space="preserve">nawet </w:t>
      </w:r>
      <w:r w:rsidR="00DC164B">
        <w:t xml:space="preserve">części tych dokumentów, jako że nie zostały one udostępnione Urzędowi ani sądom administracyjnym. Stwierdził, że jedyną podstawą dla decyzji sądów był zatem raport, w którym streszczono treść akt. Według niego sądy i ich decyzje nie mogą zostać uznane za niezależne i bezstronne, skoro nie były w stanie zweryfikować autentyczności i poprawności dowodów przedstawionych przez strony. Nawet jeżeli sądy zbadały fakty w sprawie, </w:t>
      </w:r>
      <w:r w:rsidR="00897F4A">
        <w:t>realizując</w:t>
      </w:r>
      <w:r w:rsidR="00DC164B">
        <w:t xml:space="preserve"> swoją „pełną właściwość”, nie gwarantowało to w pełni sprawiedliwego</w:t>
      </w:r>
      <w:r w:rsidR="00554750">
        <w:t xml:space="preserve"> rozpatrzenia</w:t>
      </w:r>
      <w:r w:rsidR="00DC164B">
        <w:t xml:space="preserve">, ponieważ nawet najbardziej bezstronny sędzia może zostać zmanipulowany w sytuacji, w której nie może obiektywnie ocenić właściwych dowodów. W rezultacie, jego zdaniem, równowaga pomiędzy jego prawem do </w:t>
      </w:r>
      <w:r w:rsidR="00554750">
        <w:t>rzetelnego</w:t>
      </w:r>
      <w:r w:rsidR="00DC164B">
        <w:t xml:space="preserve"> procesu a interesem państwa w</w:t>
      </w:r>
      <w:r w:rsidR="00C0322D">
        <w:t> </w:t>
      </w:r>
      <w:r w:rsidR="00125772">
        <w:t>zachowaniu</w:t>
      </w:r>
      <w:r w:rsidR="00DC164B">
        <w:t xml:space="preserve"> pewnych informacji w tajemnicy nie została utrzymana wbrew art. 133 ust. 3 </w:t>
      </w:r>
      <w:r w:rsidR="00897F4A">
        <w:t xml:space="preserve">ustawy </w:t>
      </w:r>
      <w:r w:rsidR="00DC164B">
        <w:t>nr 412/2005, w zakresie takim, że raport, który</w:t>
      </w:r>
      <w:r w:rsidR="00C0322D">
        <w:t> </w:t>
      </w:r>
      <w:r w:rsidR="00DC164B">
        <w:t xml:space="preserve">posłużył jako podstawa niekorzystnej decyzji, był </w:t>
      </w:r>
      <w:r w:rsidR="00554750">
        <w:t>opatrzony najniższą klauzulą tajności</w:t>
      </w:r>
      <w:r w:rsidR="00DC164B">
        <w:t>.</w:t>
      </w:r>
    </w:p>
    <w:p w14:paraId="4FDAD11C" w14:textId="77777777" w:rsidR="00DC164B" w:rsidRPr="00D83EBC" w:rsidRDefault="00DC164B" w:rsidP="00D83EBC">
      <w:pPr>
        <w:pStyle w:val="ECHRHeading4"/>
      </w:pPr>
      <w:r>
        <w:t>(b) Rząd</w:t>
      </w:r>
    </w:p>
    <w:p w14:paraId="1894FAF6" w14:textId="7CDD096E" w:rsidR="00DC164B" w:rsidRPr="00D83EBC" w:rsidRDefault="00425781" w:rsidP="00D83EBC">
      <w:pPr>
        <w:pStyle w:val="ECHRPara"/>
      </w:pPr>
      <w:r>
        <w:t>131</w:t>
      </w:r>
      <w:r w:rsidR="00DC164B">
        <w:t>.</w:t>
      </w:r>
      <w:r>
        <w:t xml:space="preserve"> </w:t>
      </w:r>
      <w:r w:rsidR="00DC164B">
        <w:t xml:space="preserve">Rząd podniósł, że przeważająca większość przepisów krajowych umożliwia stronom dostęp do dokumentów </w:t>
      </w:r>
      <w:r w:rsidR="002A6129">
        <w:t>niejawnych</w:t>
      </w:r>
      <w:r w:rsidR="00DC164B">
        <w:t>, niezależnie od</w:t>
      </w:r>
      <w:r w:rsidR="00C0322D">
        <w:t> </w:t>
      </w:r>
      <w:r w:rsidR="002A6129">
        <w:t xml:space="preserve">klauzuli </w:t>
      </w:r>
      <w:r w:rsidR="00DC164B">
        <w:t>ich tajności i bez potrzeby ich odtajnienia, jeżeli m</w:t>
      </w:r>
      <w:r w:rsidR="00B460AB">
        <w:t>ają</w:t>
      </w:r>
      <w:r w:rsidR="00DC164B">
        <w:t xml:space="preserve"> być użyte jako dowody. </w:t>
      </w:r>
      <w:r w:rsidR="002A6129">
        <w:t xml:space="preserve">Odmienne </w:t>
      </w:r>
      <w:r w:rsidR="00DC164B">
        <w:t>podejście zostało przyjęte dla</w:t>
      </w:r>
      <w:r w:rsidR="002A6129">
        <w:t xml:space="preserve"> pewnych</w:t>
      </w:r>
      <w:r w:rsidR="00DC164B">
        <w:t xml:space="preserve"> bardzo konkretnych postępowań, których istotną cechą </w:t>
      </w:r>
      <w:r w:rsidR="00B460AB">
        <w:t xml:space="preserve">jest </w:t>
      </w:r>
      <w:r w:rsidR="00DC164B">
        <w:t>ścisłe powiązanie z</w:t>
      </w:r>
      <w:r w:rsidR="003C1B1C">
        <w:t> </w:t>
      </w:r>
      <w:r w:rsidR="00DC164B">
        <w:t>krytycznymi względami bezpieczeństwa narodowego. To</w:t>
      </w:r>
      <w:r w:rsidR="00C0322D">
        <w:t> </w:t>
      </w:r>
      <w:r w:rsidR="00DC164B">
        <w:t xml:space="preserve">podejście </w:t>
      </w:r>
      <w:r w:rsidR="002A6129">
        <w:t>ma zastosowanie</w:t>
      </w:r>
      <w:r w:rsidR="00DC164B">
        <w:t xml:space="preserve"> do kontroli sądowej w takich obszarach jak</w:t>
      </w:r>
      <w:r w:rsidR="00C0322D">
        <w:t> </w:t>
      </w:r>
      <w:r w:rsidR="00DC164B">
        <w:t>transgraniczny handel sprzętem wojskowym, wejście na tereny lotnisk podlegających podwyższonej ochronie oraz postępowań w sprawie przyznawania i cofania poświadczeń bezpieczeństwa. D</w:t>
      </w:r>
      <w:r w:rsidR="002A6129">
        <w:t>o</w:t>
      </w:r>
      <w:r w:rsidR="00DC164B">
        <w:t xml:space="preserve"> tych postępowań zasada dotycząca </w:t>
      </w:r>
      <w:r w:rsidR="00DC164B">
        <w:lastRenderedPageBreak/>
        <w:t xml:space="preserve">dostępu strony do dokumentów poufnych stosuje się </w:t>
      </w:r>
      <w:r w:rsidR="00DC164B">
        <w:rPr>
          <w:i/>
          <w:iCs/>
        </w:rPr>
        <w:t>mutatis mutandis</w:t>
      </w:r>
      <w:r w:rsidR="00DC164B">
        <w:t>. Jedynie wyjątkowo, w ostateczności, jeżeli działania służb wywiadowczych lub policji mogą być zagrożone lub poważnie zakłócone, prawo zezwala na</w:t>
      </w:r>
      <w:r w:rsidR="003C1B1C">
        <w:t> </w:t>
      </w:r>
      <w:r w:rsidR="00DC164B">
        <w:t>stosowanie bardziej restrykcyjnych zasad</w:t>
      </w:r>
      <w:r w:rsidR="002A6129">
        <w:t xml:space="preserve"> przewidujących</w:t>
      </w:r>
      <w:r w:rsidR="00DC164B">
        <w:t>, że</w:t>
      </w:r>
      <w:r w:rsidR="003C1B1C">
        <w:t> </w:t>
      </w:r>
      <w:r w:rsidR="00DC164B">
        <w:t>w</w:t>
      </w:r>
      <w:r w:rsidR="003C1B1C">
        <w:t> </w:t>
      </w:r>
      <w:r w:rsidR="00DC164B">
        <w:t>ekstremalnych przypadkach stronę można pozbawić dostępu do takich dowodów.</w:t>
      </w:r>
      <w:r w:rsidR="002A6129">
        <w:t xml:space="preserve"> Ponadto</w:t>
      </w:r>
      <w:r w:rsidR="00DC164B">
        <w:t xml:space="preserve"> w takich wyjątkowych przypadkach organy sądowe mają obowiązek zachować szczególną ostrożność i</w:t>
      </w:r>
      <w:r w:rsidR="00C0322D">
        <w:t> </w:t>
      </w:r>
      <w:r w:rsidR="00DC164B">
        <w:t xml:space="preserve">zrekompensować skutecznie wszelką niedogodność spowodowaną drugiej stronie poprzez </w:t>
      </w:r>
      <w:r w:rsidR="008C7BF8">
        <w:t xml:space="preserve">ich </w:t>
      </w:r>
      <w:r w:rsidR="00DC164B">
        <w:t>własne działani</w:t>
      </w:r>
      <w:r w:rsidR="002A6129">
        <w:t>a</w:t>
      </w:r>
      <w:r w:rsidR="008C7BF8">
        <w:t xml:space="preserve">, tak aby </w:t>
      </w:r>
      <w:r w:rsidR="002A6129" w:rsidRPr="002A6129">
        <w:t>zapobie</w:t>
      </w:r>
      <w:r w:rsidR="008C7BF8">
        <w:t>c</w:t>
      </w:r>
      <w:r w:rsidR="002A6129" w:rsidRPr="002A6129">
        <w:t xml:space="preserve"> wszelkim arbitralnościom lub</w:t>
      </w:r>
      <w:r w:rsidR="003C1B1C">
        <w:t> </w:t>
      </w:r>
      <w:r w:rsidR="002A6129" w:rsidRPr="002A6129">
        <w:t xml:space="preserve">nadużyciom </w:t>
      </w:r>
      <w:r w:rsidR="002A6129">
        <w:t xml:space="preserve">władz </w:t>
      </w:r>
      <w:r w:rsidR="002A6129" w:rsidRPr="002A6129">
        <w:t>w procesie decyzyjnym</w:t>
      </w:r>
      <w:r w:rsidR="00DC164B">
        <w:t>.</w:t>
      </w:r>
    </w:p>
    <w:p w14:paraId="266C7667" w14:textId="1DFCCEAA" w:rsidR="00DC164B" w:rsidRPr="00D83EBC" w:rsidRDefault="00425781" w:rsidP="00D83EBC">
      <w:pPr>
        <w:pStyle w:val="ECHRPara"/>
      </w:pPr>
      <w:r>
        <w:t>132</w:t>
      </w:r>
      <w:r w:rsidR="00DC164B">
        <w:t>.</w:t>
      </w:r>
      <w:r>
        <w:t xml:space="preserve"> </w:t>
      </w:r>
      <w:r w:rsidR="00DC164B">
        <w:t xml:space="preserve">Rząd podniósł, że </w:t>
      </w:r>
      <w:r w:rsidR="00897F4A">
        <w:t xml:space="preserve">Państwa </w:t>
      </w:r>
      <w:r w:rsidR="00DC164B">
        <w:t>ciesz</w:t>
      </w:r>
      <w:r w:rsidR="00FE35E2">
        <w:t>ą</w:t>
      </w:r>
      <w:r w:rsidR="00DC164B">
        <w:t xml:space="preserve"> się większą swobodą w zakresie ograniczeń dotyczących praw proceduralnych stron w postępowaniach dotyczących praw i obowiązków </w:t>
      </w:r>
      <w:r w:rsidR="008A4B1D">
        <w:t>o charakterze cywilnym</w:t>
      </w:r>
      <w:r w:rsidR="00DC164B">
        <w:t xml:space="preserve"> niż tych dotyczących postępowań karnych (odwołał się tu do sprawy </w:t>
      </w:r>
      <w:r w:rsidR="00DC164B">
        <w:rPr>
          <w:i/>
          <w:iCs/>
        </w:rPr>
        <w:t>Gillissen przeciwko Holandii</w:t>
      </w:r>
      <w:r w:rsidR="00DC164B">
        <w:t>, nr 39966/09</w:t>
      </w:r>
      <w:r w:rsidR="00DC164B">
        <w:rPr>
          <w:snapToGrid w:val="0"/>
        </w:rPr>
        <w:t xml:space="preserve">, § </w:t>
      </w:r>
      <w:r w:rsidR="00DC164B">
        <w:t>50(d)</w:t>
      </w:r>
      <w:r w:rsidR="00DC164B">
        <w:rPr>
          <w:snapToGrid w:val="0"/>
        </w:rPr>
        <w:t>, 15 marca 2016 r.</w:t>
      </w:r>
      <w:r w:rsidR="00DC164B">
        <w:t xml:space="preserve">). O ile było jasne, że niniejszą sprawę należy oceniać według innych standardów ochrony niż te mające zastosowanie w sprawach karnych, omawiane postępowanie również nie mogło być traktowane jak standardowe postępowanie administracyjne. </w:t>
      </w:r>
      <w:r w:rsidR="00FE35E2">
        <w:t>S</w:t>
      </w:r>
      <w:r w:rsidR="00DC164B">
        <w:t xml:space="preserve">tanowiło ono </w:t>
      </w:r>
      <w:r w:rsidR="00FE35E2">
        <w:t xml:space="preserve">raczej </w:t>
      </w:r>
      <w:r w:rsidR="00DC164B">
        <w:t xml:space="preserve">postępowanie </w:t>
      </w:r>
      <w:r w:rsidR="00DC164B">
        <w:rPr>
          <w:i/>
          <w:iCs/>
        </w:rPr>
        <w:t>sui</w:t>
      </w:r>
      <w:r w:rsidR="00C0322D">
        <w:rPr>
          <w:i/>
          <w:iCs/>
        </w:rPr>
        <w:t> </w:t>
      </w:r>
      <w:r w:rsidR="00DC164B">
        <w:rPr>
          <w:i/>
          <w:iCs/>
        </w:rPr>
        <w:t>generis</w:t>
      </w:r>
      <w:r w:rsidR="00DC164B">
        <w:t xml:space="preserve">, </w:t>
      </w:r>
      <w:r w:rsidR="00FE35E2">
        <w:t>którego</w:t>
      </w:r>
      <w:r w:rsidR="00DC164B">
        <w:t xml:space="preserve"> ramy prawne, charakterystyka, przedmiot i cel były czynnikami uniemożliwiającymi takie porównanie.</w:t>
      </w:r>
    </w:p>
    <w:p w14:paraId="2A070863" w14:textId="3C8A79BA" w:rsidR="00DC164B" w:rsidRPr="00D83EBC" w:rsidRDefault="00425781" w:rsidP="00D83EBC">
      <w:pPr>
        <w:pStyle w:val="ECHRPara"/>
      </w:pPr>
      <w:r>
        <w:t>133</w:t>
      </w:r>
      <w:r w:rsidR="00DC164B">
        <w:t>.</w:t>
      </w:r>
      <w:r>
        <w:t xml:space="preserve"> </w:t>
      </w:r>
      <w:r w:rsidR="00DC164B">
        <w:t>Okoliczność, że istniały podstawy prawne w niniejszej</w:t>
      </w:r>
      <w:r w:rsidR="008C7BF8">
        <w:t xml:space="preserve"> sprawie</w:t>
      </w:r>
      <w:r w:rsidR="00DC164B">
        <w:t>, uzasadniające decyzję Urzędu, by nie ujawniać treści raportu służb wywiadowczych skarżącemu, został</w:t>
      </w:r>
      <w:r w:rsidR="00FE35E2">
        <w:t>a potwierdzona</w:t>
      </w:r>
      <w:r w:rsidR="00DC164B">
        <w:t xml:space="preserve"> przez wszystkie sądy krajowe zajmujące się sprawą. </w:t>
      </w:r>
      <w:r w:rsidR="003E46F3">
        <w:t xml:space="preserve">W związku z powyższym </w:t>
      </w:r>
      <w:r w:rsidR="00DC164B">
        <w:t>Rząd był pewien, że nieujawnienie dowodów w szczególnych okolicznościach przedmiotowej sprawy nie było decyzją arbitralną.</w:t>
      </w:r>
    </w:p>
    <w:p w14:paraId="6AD995EE" w14:textId="0005CB69" w:rsidR="00DC164B" w:rsidRPr="00D83EBC" w:rsidRDefault="00425781" w:rsidP="00D83EBC">
      <w:pPr>
        <w:pStyle w:val="ECHRPara"/>
      </w:pPr>
      <w:r>
        <w:t>134</w:t>
      </w:r>
      <w:r w:rsidR="00DC164B">
        <w:t>.</w:t>
      </w:r>
      <w:r>
        <w:t xml:space="preserve"> </w:t>
      </w:r>
      <w:r w:rsidR="00DC164B">
        <w:t xml:space="preserve">Rząd był również przekonany, że postępowanie sądowe zapewniło tyle zabezpieczeń, ile było praktycznie możliwych, by chronić interesy skarżącego. Po pierwsze, akta bezpieczeństwa skarżącego, w tym dokumenty tajne, zostały przekazane sądom administracyjnym </w:t>
      </w:r>
      <w:r w:rsidR="00FE35E2">
        <w:t>dwóch instancji</w:t>
      </w:r>
      <w:r w:rsidR="00DC164B">
        <w:t xml:space="preserve"> i Trybunałowi Konstytucyjnemu. Mając na uwadze fakt, że</w:t>
      </w:r>
      <w:r w:rsidR="00C0322D">
        <w:t> </w:t>
      </w:r>
      <w:r w:rsidR="00DC164B">
        <w:t xml:space="preserve">sędziowie mieli </w:t>
      </w:r>
      <w:r w:rsidR="00FE35E2">
        <w:rPr>
          <w:i/>
          <w:iCs/>
        </w:rPr>
        <w:t>ex lege</w:t>
      </w:r>
      <w:r w:rsidR="00FE35E2">
        <w:t xml:space="preserve"> </w:t>
      </w:r>
      <w:r w:rsidR="00DC164B">
        <w:t>dostęp do informacji tajnych niezależnie od</w:t>
      </w:r>
      <w:r w:rsidR="00C0322D">
        <w:t> </w:t>
      </w:r>
      <w:r w:rsidR="00DC164B">
        <w:t>poziomu tajności, dziewięciu sędziów, którzy zostali wezwani na</w:t>
      </w:r>
      <w:r w:rsidR="00C0322D">
        <w:t> </w:t>
      </w:r>
      <w:r w:rsidR="00DC164B">
        <w:t>różnych etapach postępowania do chronienia interesów skarżącego</w:t>
      </w:r>
      <w:r w:rsidR="00FE35E2">
        <w:t>, zostało odpowiednio poinformowanych</w:t>
      </w:r>
      <w:r w:rsidR="00DC164B">
        <w:t xml:space="preserve"> o treści raportu służb wywiadowczych. Rząd dodał, że skarżący nie zakwestionował niezależności i bezstronności sędziów.</w:t>
      </w:r>
    </w:p>
    <w:p w14:paraId="3859AEBE" w14:textId="30A5B310" w:rsidR="00DC164B" w:rsidRPr="00D83EBC" w:rsidRDefault="00425781" w:rsidP="00D83EBC">
      <w:pPr>
        <w:pStyle w:val="ECHRPara"/>
      </w:pPr>
      <w:r>
        <w:t>135</w:t>
      </w:r>
      <w:r w:rsidR="00DC164B">
        <w:t>.</w:t>
      </w:r>
      <w:r>
        <w:t xml:space="preserve"> </w:t>
      </w:r>
      <w:r w:rsidR="00DC164B">
        <w:t>Rząd również odnotował, że ograniczenie uprawnień sądów do</w:t>
      </w:r>
      <w:r w:rsidR="00C0322D">
        <w:t> </w:t>
      </w:r>
      <w:r w:rsidR="00DC164B">
        <w:t>zajęcia się tylko zarzutami podniesionymi przez powoda nie miały zastosowania w takich sprawach, ponieważ strona postępowania nie mogła skutecznie podnosić, że ustalenia były niezgodne z prawem, skoro nie znała ich treści. Jako że w takiej sytuacji pozycja strony postępowania i</w:t>
      </w:r>
      <w:r w:rsidR="00C0322D">
        <w:t> </w:t>
      </w:r>
      <w:r w:rsidR="00DC164B">
        <w:t>jej</w:t>
      </w:r>
      <w:r w:rsidR="00C0322D">
        <w:t> </w:t>
      </w:r>
      <w:r w:rsidR="00DC164B">
        <w:t xml:space="preserve">zdolność do skutecznego podnoszenia argumentów przeciwko </w:t>
      </w:r>
      <w:r w:rsidR="00DC164B">
        <w:lastRenderedPageBreak/>
        <w:t>tej</w:t>
      </w:r>
      <w:r w:rsidR="00C0322D">
        <w:t> </w:t>
      </w:r>
      <w:r w:rsidR="00DC164B">
        <w:t>decyzji została osłabiona, sądy były zobowiązane</w:t>
      </w:r>
      <w:r w:rsidR="00FE35E2">
        <w:t>,</w:t>
      </w:r>
      <w:r w:rsidR="00DC164B">
        <w:t xml:space="preserve"> by </w:t>
      </w:r>
      <w:r w:rsidR="00FE35E2">
        <w:rPr>
          <w:i/>
          <w:iCs/>
        </w:rPr>
        <w:t>proprio motu</w:t>
      </w:r>
      <w:r w:rsidR="00FE35E2">
        <w:t xml:space="preserve"> </w:t>
      </w:r>
      <w:r w:rsidR="00DC164B">
        <w:t>„wejść” w działania proceduralne tej strony i właściwie zbadać procedurę, jak</w:t>
      </w:r>
      <w:r w:rsidR="00FE35E2">
        <w:t xml:space="preserve">ą stosowano, </w:t>
      </w:r>
      <w:r w:rsidR="00DC164B">
        <w:t xml:space="preserve">oraz </w:t>
      </w:r>
      <w:r w:rsidR="00FE35E2">
        <w:t>wszelkie podstawy</w:t>
      </w:r>
      <w:r w:rsidR="00DC164B">
        <w:t xml:space="preserve"> </w:t>
      </w:r>
      <w:r w:rsidR="00FE35E2">
        <w:t>do zakwestionowania</w:t>
      </w:r>
      <w:r w:rsidR="00DC164B">
        <w:t xml:space="preserve"> decyzji, tj.</w:t>
      </w:r>
      <w:r w:rsidR="00C0322D">
        <w:t> </w:t>
      </w:r>
      <w:r w:rsidR="00FE35E2">
        <w:t xml:space="preserve">wykraczając </w:t>
      </w:r>
      <w:r w:rsidR="00DC164B">
        <w:t>ponad i poza zarzuty podniesione przez powoda.</w:t>
      </w:r>
    </w:p>
    <w:p w14:paraId="63917C6C" w14:textId="7ED60219" w:rsidR="00DC164B" w:rsidRPr="00D83EBC" w:rsidRDefault="00425781" w:rsidP="00D83EBC">
      <w:pPr>
        <w:pStyle w:val="ECHRPara"/>
      </w:pPr>
      <w:r>
        <w:t>136</w:t>
      </w:r>
      <w:r w:rsidR="00DC164B">
        <w:t>.</w:t>
      </w:r>
      <w:r>
        <w:t xml:space="preserve"> </w:t>
      </w:r>
      <w:r w:rsidR="00DC164B">
        <w:t>Realizując swoją funkcję nadzorczą wobec decyzji Urzędu, sądy administracyjne zostały wezwane do oceny, czy podstawy prawne, na</w:t>
      </w:r>
      <w:r w:rsidR="00C0322D">
        <w:t> </w:t>
      </w:r>
      <w:r w:rsidR="00DC164B">
        <w:t>których się opierano przy realizacji wyjątkowej procedury umożliwiającej odmówienie dostępu do dokumentów pozwanemu</w:t>
      </w:r>
      <w:r w:rsidR="00FE35E2">
        <w:t>,</w:t>
      </w:r>
      <w:r w:rsidR="00DC164B">
        <w:t xml:space="preserve"> były uzasadnione. Rząd podniósł, że w przedmiotowej sprawie dwa sądy administracyjne, które miały pełną jurysdykcję, postępowały zgodnie z</w:t>
      </w:r>
      <w:r w:rsidR="00C0322D">
        <w:t> </w:t>
      </w:r>
      <w:r w:rsidR="00DC164B">
        <w:t>powyższymi regułami, kiedy stwierdz</w:t>
      </w:r>
      <w:r w:rsidR="00FE35E2">
        <w:t>iły</w:t>
      </w:r>
      <w:r w:rsidR="00DC164B">
        <w:t>, że ujawnienie tajnej części akt bezpieczeństwa skarżącego zagroziłoby lub znacząco zakłóciło działalność służb wywiadowczych lub policji</w:t>
      </w:r>
      <w:r w:rsidR="00AF08BC">
        <w:t>,</w:t>
      </w:r>
      <w:r w:rsidR="00FE35E2">
        <w:t xml:space="preserve"> oraz stosownie do tego rozstrzygnęły</w:t>
      </w:r>
      <w:r w:rsidR="00DC164B">
        <w:t>, że</w:t>
      </w:r>
      <w:r w:rsidR="00C0322D">
        <w:t> </w:t>
      </w:r>
      <w:r w:rsidR="00DC164B">
        <w:t xml:space="preserve">decyzja </w:t>
      </w:r>
      <w:r w:rsidR="00FE35E2">
        <w:t>o wykluczeniu tej części</w:t>
      </w:r>
      <w:r w:rsidR="00DC164B">
        <w:t xml:space="preserve"> z konsultacji była uzasadniona.</w:t>
      </w:r>
    </w:p>
    <w:p w14:paraId="5F5F2D6C" w14:textId="37DC1CF2" w:rsidR="00DC164B" w:rsidRPr="00D83EBC" w:rsidRDefault="00425781" w:rsidP="00D83EBC">
      <w:pPr>
        <w:pStyle w:val="ECHRPara"/>
      </w:pPr>
      <w:r>
        <w:t>137</w:t>
      </w:r>
      <w:r w:rsidR="00DC164B">
        <w:t>.</w:t>
      </w:r>
      <w:r>
        <w:t xml:space="preserve"> </w:t>
      </w:r>
      <w:r w:rsidR="00DC164B">
        <w:t>Rząd dodał, że akta przechowywane przez służby wywiadowcze lub</w:t>
      </w:r>
      <w:r w:rsidR="00C0322D">
        <w:t> </w:t>
      </w:r>
      <w:r w:rsidR="00DC164B">
        <w:t>dokumenty</w:t>
      </w:r>
      <w:r w:rsidR="00AF08BC">
        <w:t xml:space="preserve"> od</w:t>
      </w:r>
      <w:r w:rsidR="00DC164B">
        <w:t xml:space="preserve"> nich pochodzące nie zostały przesłane bezpośrednio do</w:t>
      </w:r>
      <w:r w:rsidR="00C0322D">
        <w:t> </w:t>
      </w:r>
      <w:r w:rsidR="00DC164B">
        <w:t>Urzędu i następnie do sądów; odnośna treść akt została streszczona w</w:t>
      </w:r>
      <w:r w:rsidR="00C0322D">
        <w:t> </w:t>
      </w:r>
      <w:r w:rsidR="00DC164B">
        <w:t>raporcie. Jednakże utrwalone orzecznictwo sądów krajowych określa szereg wymogów, jakie muszą być spełnione przez tajne dokumenty będące podstawą decyzji Urzędu, w szczególności raport</w:t>
      </w:r>
      <w:r w:rsidR="008C7BF8">
        <w:t>y</w:t>
      </w:r>
      <w:r w:rsidR="00DC164B">
        <w:t xml:space="preserve"> </w:t>
      </w:r>
      <w:r w:rsidR="008C7BF8">
        <w:t>na temat</w:t>
      </w:r>
      <w:r w:rsidR="00DC164B">
        <w:t xml:space="preserve"> wyników </w:t>
      </w:r>
      <w:r w:rsidR="00AF08BC">
        <w:t xml:space="preserve">dochodzeń </w:t>
      </w:r>
      <w:r w:rsidR="00DC164B">
        <w:t xml:space="preserve">przeprowadzanych przez służby wywiadowcze, aby </w:t>
      </w:r>
      <w:r w:rsidR="00AF08BC">
        <w:t>mogły zostać</w:t>
      </w:r>
      <w:r w:rsidR="00DC164B">
        <w:t xml:space="preserve"> </w:t>
      </w:r>
      <w:r w:rsidR="008C7BF8">
        <w:t xml:space="preserve">następnie </w:t>
      </w:r>
      <w:r w:rsidR="00DC164B">
        <w:t>wykorzystane w procesie kontroli sądowej. Musiały one zawierać bardzo konkretne informacje lub ich streszczenie, umożli</w:t>
      </w:r>
      <w:r w:rsidR="00AF08BC">
        <w:t>wiając</w:t>
      </w:r>
      <w:r w:rsidR="00DC164B">
        <w:t>e sądom skuteczne zweryfikowanie istotności oraz wartości informacyjnej wniosków służb wywiadowczych, a w szczególności, że</w:t>
      </w:r>
      <w:r w:rsidR="00AF08BC">
        <w:t xml:space="preserve"> informacje pozyskane przez nie</w:t>
      </w:r>
      <w:r w:rsidR="00C0322D">
        <w:t> </w:t>
      </w:r>
      <w:r w:rsidR="00DC164B">
        <w:t>były wiarygodne, zrównoważone i dotyczyły spraw, które były istotne z</w:t>
      </w:r>
      <w:r w:rsidR="00C0322D">
        <w:t> </w:t>
      </w:r>
      <w:r w:rsidR="00DC164B">
        <w:t>punktu widzenia procedury poświadc</w:t>
      </w:r>
      <w:r w:rsidR="00AF08BC">
        <w:t>zania bezpieczeństwa. Dodatkowo</w:t>
      </w:r>
      <w:r w:rsidR="00DC164B">
        <w:t xml:space="preserve"> służby wywiadowcze musiały wskazać, w</w:t>
      </w:r>
      <w:r w:rsidR="003C1B1C">
        <w:t> </w:t>
      </w:r>
      <w:r w:rsidR="00DC164B">
        <w:t>sposób abstrakcyjny, z jakiego źródła uzyskano te informacje, w tym opis okoliczności oraz przyczyn, dla</w:t>
      </w:r>
      <w:r w:rsidR="00C0322D">
        <w:t> </w:t>
      </w:r>
      <w:r w:rsidR="00DC164B">
        <w:t>których służby wywiadowcze uznały te</w:t>
      </w:r>
      <w:r w:rsidR="003C1B1C">
        <w:t> </w:t>
      </w:r>
      <w:r w:rsidR="00DC164B">
        <w:t>informacje za wiarygodne. Funkcją sądów w postępowaniu bezpieczeństwa nie było ponowne badanie autentyczności i prawdziwości dokumentów referencyjnych posiadanych przez służby wywiadowcze, lecz zweryfikowanie</w:t>
      </w:r>
      <w:r w:rsidR="00AF08BC">
        <w:t>,</w:t>
      </w:r>
      <w:r w:rsidR="00DC164B">
        <w:t xml:space="preserve"> czy istniało </w:t>
      </w:r>
      <w:r w:rsidR="00AF08BC">
        <w:t>uzasadnione</w:t>
      </w:r>
      <w:r w:rsidR="00DC164B">
        <w:t xml:space="preserve"> podejrzenie potencjalnego zagrożenia bezpieczeństwa. W tym celu ocena wiarygodności i istotności </w:t>
      </w:r>
      <w:r w:rsidR="00AF08BC">
        <w:t xml:space="preserve">zebranych </w:t>
      </w:r>
      <w:r w:rsidR="00DC164B">
        <w:t xml:space="preserve">informacji była, wedle </w:t>
      </w:r>
      <w:r w:rsidR="00D307D5">
        <w:t xml:space="preserve">twierdzenia </w:t>
      </w:r>
      <w:r w:rsidR="00DC164B">
        <w:t>Rządu, właściwym kryterium.</w:t>
      </w:r>
    </w:p>
    <w:p w14:paraId="615E818B" w14:textId="5237AAB3" w:rsidR="00DC164B" w:rsidRPr="00D83EBC" w:rsidRDefault="00425781" w:rsidP="00D83EBC">
      <w:pPr>
        <w:pStyle w:val="ECHRPara"/>
      </w:pPr>
      <w:r>
        <w:t>138</w:t>
      </w:r>
      <w:r w:rsidR="00DC164B">
        <w:t>.</w:t>
      </w:r>
      <w:r>
        <w:t xml:space="preserve"> </w:t>
      </w:r>
      <w:r w:rsidR="00DC164B">
        <w:t xml:space="preserve">W odniesieniu do </w:t>
      </w:r>
      <w:r w:rsidR="00D307D5">
        <w:t>twierdzenia</w:t>
      </w:r>
      <w:r w:rsidR="00DC164B">
        <w:t xml:space="preserve"> skarżącego dotyczącego tego, czy</w:t>
      </w:r>
      <w:r w:rsidR="00C0322D">
        <w:t> </w:t>
      </w:r>
      <w:r w:rsidR="00DC164B">
        <w:t xml:space="preserve">warunki zastosowania art. 133 ust. 3 </w:t>
      </w:r>
      <w:r w:rsidR="00897F4A">
        <w:t xml:space="preserve">ustawy </w:t>
      </w:r>
      <w:r w:rsidR="00DC164B">
        <w:t xml:space="preserve">nr 412/2005 zostały spełnione, Rząd uznał, że to postanowienie nie daje możliwości uwarunkowania odmowy dostępu do tajnych dowodów od wysokiego poziomu tajności. Prawo również nie </w:t>
      </w:r>
      <w:r w:rsidR="00AF08BC">
        <w:t>ograniczyło</w:t>
      </w:r>
      <w:r w:rsidR="00DC164B">
        <w:t xml:space="preserve"> tej procedury do sytuacji, w których istniało większe ryzyko zagrożenia lub zakłócenia działalności służb wywiadowczych lub policji.</w:t>
      </w:r>
    </w:p>
    <w:p w14:paraId="019C8E43" w14:textId="5730D983" w:rsidR="00DC164B" w:rsidRPr="00D83EBC" w:rsidRDefault="00425781" w:rsidP="00D83EBC">
      <w:pPr>
        <w:pStyle w:val="ECHRPara"/>
      </w:pPr>
      <w:r>
        <w:lastRenderedPageBreak/>
        <w:t>139</w:t>
      </w:r>
      <w:r w:rsidR="00DC164B">
        <w:t>.</w:t>
      </w:r>
      <w:r>
        <w:t xml:space="preserve"> </w:t>
      </w:r>
      <w:r w:rsidR="00DC164B">
        <w:t>Rząd podniósł również, że w przedmiotowej sprawie nie było powodu</w:t>
      </w:r>
      <w:r w:rsidR="003C4737">
        <w:t>,</w:t>
      </w:r>
      <w:r w:rsidR="00DC164B">
        <w:t xml:space="preserve"> by wątpić, że gdyby sądy uznały informacje </w:t>
      </w:r>
      <w:r w:rsidR="003C4737">
        <w:t xml:space="preserve">zawarte </w:t>
      </w:r>
      <w:r w:rsidR="00DC164B">
        <w:t>w raporcie dotyczącym wyników dochodzenia za niekompletne, nieistotne, niewystarczająco szczegółowe lub niewiarygodne, uchyliłyby przedmiotową decyzję i nakazałyby Urzędowi uzupełnić swoje ustalenia faktyczne dalszymi dowodami.</w:t>
      </w:r>
    </w:p>
    <w:p w14:paraId="6E0A4EDE" w14:textId="11E83584" w:rsidR="00DC164B" w:rsidRPr="00D83EBC" w:rsidRDefault="00425781" w:rsidP="00D83EBC">
      <w:pPr>
        <w:pStyle w:val="ECHRPara"/>
      </w:pPr>
      <w:r>
        <w:t>140</w:t>
      </w:r>
      <w:r w:rsidR="00DC164B">
        <w:t>.</w:t>
      </w:r>
      <w:r>
        <w:t xml:space="preserve"> </w:t>
      </w:r>
      <w:r w:rsidR="00DC164B">
        <w:t>W świetle orzecznictwa Trybunału Rząd podniósł, że istniały znaczące subsydiarne gwarancje ochrony interesów skarżącego, tj. że miał</w:t>
      </w:r>
      <w:r w:rsidR="003C4737">
        <w:t xml:space="preserve"> on</w:t>
      </w:r>
      <w:r w:rsidR="00DC164B">
        <w:t xml:space="preserve"> możliwość przedstawić sądowi szczegółowy opis zdarzeń poprzedzających raport z wyników dochodzenia służb wywiadowczych, jego przewidywaną treść, a także potencjalne motywacje jego autora, by</w:t>
      </w:r>
      <w:r w:rsidR="00C0322D">
        <w:t> </w:t>
      </w:r>
      <w:r w:rsidR="00DC164B">
        <w:t xml:space="preserve">ubiegać się o cofnięcie poświadczenia bezpieczeństwa skarżącego. </w:t>
      </w:r>
      <w:r w:rsidR="003C4737">
        <w:t>Rząd p</w:t>
      </w:r>
      <w:r w:rsidR="00DC164B">
        <w:t>odniósł, że skarżący mia</w:t>
      </w:r>
      <w:r w:rsidR="003C4737">
        <w:t>ł zatem możliwość zakwestionowania wiarygodności</w:t>
      </w:r>
      <w:r w:rsidR="00DC164B">
        <w:t xml:space="preserve"> raportu w oczach sędziów, którzy chronili jego interesy w</w:t>
      </w:r>
      <w:r w:rsidR="00C0322D">
        <w:t> </w:t>
      </w:r>
      <w:r w:rsidR="00DC164B">
        <w:t>postępowaniu. Zapewnił</w:t>
      </w:r>
      <w:r w:rsidR="003C4737">
        <w:t>o to</w:t>
      </w:r>
      <w:r w:rsidR="00DC164B">
        <w:t xml:space="preserve"> również, że sędziowie podjęli decyzję</w:t>
      </w:r>
      <w:r w:rsidR="003C4737">
        <w:t>,</w:t>
      </w:r>
      <w:r w:rsidR="00DC164B">
        <w:t xml:space="preserve"> mając pełną wiedzę w sprawie, mając na uwadze obawy i </w:t>
      </w:r>
      <w:r w:rsidR="003C4737">
        <w:t xml:space="preserve">zastrzeżenia </w:t>
      </w:r>
      <w:r w:rsidR="00DC164B">
        <w:t>skarżącego. Rząd dodał, że fakt iż Trybunał Konstytucyjny również zbadał sprawę skarżącego stanowił dodatkową gwarancję, iż jego interesy były chronione.</w:t>
      </w:r>
    </w:p>
    <w:p w14:paraId="1C809323" w14:textId="3375FB9D" w:rsidR="00DC164B" w:rsidRPr="00D83EBC" w:rsidRDefault="00425781" w:rsidP="00D83EBC">
      <w:pPr>
        <w:pStyle w:val="ECHRPara"/>
      </w:pPr>
      <w:r>
        <w:t>141</w:t>
      </w:r>
      <w:r w:rsidR="00DC164B">
        <w:t>.</w:t>
      </w:r>
      <w:r>
        <w:t xml:space="preserve"> </w:t>
      </w:r>
      <w:r w:rsidR="00DC164B">
        <w:t>Rząd był przekonany, że w przedmiotowej sprawie prawo do</w:t>
      </w:r>
      <w:r w:rsidR="00C0322D">
        <w:t> </w:t>
      </w:r>
      <w:r w:rsidR="003C4737">
        <w:t xml:space="preserve">sprawiedliwego rozpatrzenia </w:t>
      </w:r>
      <w:r w:rsidR="00DC164B">
        <w:t xml:space="preserve">i, w szczególności, zasady postępowania kontradyktoryjnego i równości stron, na potrzeby </w:t>
      </w:r>
      <w:r w:rsidR="00307B53">
        <w:t>art.</w:t>
      </w:r>
      <w:r w:rsidR="00DC164B">
        <w:t xml:space="preserve"> 6 ust. 1 Konwencji, nie zostały naruszone, jako że </w:t>
      </w:r>
      <w:r w:rsidR="003C4737">
        <w:t>w ogranicz</w:t>
      </w:r>
      <w:r w:rsidR="00A45C34">
        <w:t>e</w:t>
      </w:r>
      <w:r w:rsidR="003C4737">
        <w:t xml:space="preserve">niu praw procesowych skarżącego </w:t>
      </w:r>
      <w:r w:rsidR="00DC164B">
        <w:t>nie było arbitralności ani nadużycia postępowania oraz</w:t>
      </w:r>
      <w:r w:rsidR="00C0322D">
        <w:t> </w:t>
      </w:r>
      <w:r w:rsidR="00DC164B">
        <w:t>że</w:t>
      </w:r>
      <w:r w:rsidR="00C0322D">
        <w:t> </w:t>
      </w:r>
      <w:r w:rsidR="00DC164B">
        <w:t>ograniczenie</w:t>
      </w:r>
      <w:r w:rsidR="00065B3D">
        <w:t xml:space="preserve"> to</w:t>
      </w:r>
      <w:r w:rsidR="00DC164B">
        <w:t xml:space="preserve"> było odpowiednio zrównoważone przez procedury </w:t>
      </w:r>
      <w:r w:rsidR="00065B3D">
        <w:t>stosowane</w:t>
      </w:r>
      <w:r w:rsidR="00DC164B">
        <w:t xml:space="preserve"> przez niezależne i bezstronne władze sądowe, które odegrały aktywną rolę w postępowaniu, a zatem zapewniły nie tylko odpowiednie zabezpieczenia, by chronić interesy skarżącego, lecz również by </w:t>
      </w:r>
      <w:r w:rsidR="00065B3D">
        <w:t>zachować</w:t>
      </w:r>
      <w:r w:rsidR="00DC164B">
        <w:t xml:space="preserve"> sprawiedliwą równowagę pomiędzy interesami państwa a interesami skarżącego.</w:t>
      </w:r>
    </w:p>
    <w:p w14:paraId="0B9967BB" w14:textId="10B72F0C" w:rsidR="00DC164B" w:rsidRPr="00D83EBC" w:rsidRDefault="00DC164B" w:rsidP="00D83EBC">
      <w:pPr>
        <w:pStyle w:val="ECHRHeading4"/>
      </w:pPr>
      <w:r w:rsidRPr="00B8608B">
        <w:t>(c)</w:t>
      </w:r>
      <w:r w:rsidR="00425781" w:rsidRPr="00B8608B">
        <w:t xml:space="preserve"> </w:t>
      </w:r>
      <w:r w:rsidR="00D307D5" w:rsidRPr="00B8608B">
        <w:t>Twierdzenia</w:t>
      </w:r>
      <w:r w:rsidRPr="00B8608B">
        <w:t xml:space="preserve"> </w:t>
      </w:r>
      <w:r w:rsidR="00065B3D" w:rsidRPr="00B8608B">
        <w:t>strony trzeciej występującej z interwencją</w:t>
      </w:r>
    </w:p>
    <w:p w14:paraId="172D2563" w14:textId="50428F46" w:rsidR="00DC164B" w:rsidRPr="00D83EBC" w:rsidRDefault="00425781" w:rsidP="00D83EBC">
      <w:pPr>
        <w:pStyle w:val="ECHRPara"/>
      </w:pPr>
      <w:r>
        <w:t>142</w:t>
      </w:r>
      <w:r w:rsidR="00DC164B">
        <w:t>.</w:t>
      </w:r>
      <w:r>
        <w:t xml:space="preserve"> </w:t>
      </w:r>
      <w:r w:rsidR="00DC164B">
        <w:t xml:space="preserve">Rząd słowacki argumentował, że tam, gdzie chodzi o tajność </w:t>
      </w:r>
      <w:r w:rsidR="00DC164B" w:rsidRPr="00012B34">
        <w:t>ze</w:t>
      </w:r>
      <w:r w:rsidR="00C0322D" w:rsidRPr="00012B34">
        <w:t> </w:t>
      </w:r>
      <w:r w:rsidR="00DC164B" w:rsidRPr="00012B34">
        <w:t>względów bezpieczeństwa narodowego, Państwo korzysta z</w:t>
      </w:r>
      <w:r w:rsidR="00DC164B">
        <w:t xml:space="preserve"> szerokiego marginesu </w:t>
      </w:r>
      <w:r w:rsidR="009B5A5E">
        <w:t>oceny</w:t>
      </w:r>
      <w:r w:rsidR="00DC164B">
        <w:t xml:space="preserve"> w ustalaniu, które informacje są tak wrażliwe, że ich ujawnienie zagroziłoby podstawowym prawom osób lub ochronie istotnego interesu publicznego. Ujawnienie informacji </w:t>
      </w:r>
      <w:r w:rsidR="00B8608B">
        <w:t>niejawnych</w:t>
      </w:r>
      <w:r w:rsidR="00DC164B">
        <w:t xml:space="preserve"> dotyczących wewnętrznej organizacji pracy i metod służb bezpieczeństwa lub organów ścigania mo</w:t>
      </w:r>
      <w:r w:rsidR="00B8608B">
        <w:t>że</w:t>
      </w:r>
      <w:r w:rsidR="00DC164B">
        <w:t xml:space="preserve"> w poważny sposób zakłócić działalność tych służb. Organy m</w:t>
      </w:r>
      <w:r w:rsidR="00B8608B">
        <w:t>ają</w:t>
      </w:r>
      <w:r w:rsidR="00DC164B">
        <w:t xml:space="preserve"> zatem u</w:t>
      </w:r>
      <w:r w:rsidR="009570AE">
        <w:t>prawniony</w:t>
      </w:r>
      <w:r w:rsidR="00DC164B">
        <w:t xml:space="preserve"> interes w utrzymywaniu tych informacji w sekrecie.</w:t>
      </w:r>
    </w:p>
    <w:p w14:paraId="3A000023" w14:textId="4C606AE2" w:rsidR="00DC164B" w:rsidRPr="00D83EBC" w:rsidRDefault="00425781" w:rsidP="00D83EBC">
      <w:pPr>
        <w:pStyle w:val="ECHRPara"/>
      </w:pPr>
      <w:r>
        <w:t>143</w:t>
      </w:r>
      <w:r w:rsidR="00DC164B">
        <w:t>.</w:t>
      </w:r>
      <w:r>
        <w:t xml:space="preserve"> </w:t>
      </w:r>
      <w:r w:rsidR="00DC164B">
        <w:t xml:space="preserve">Rząd słowacki wskazał również, że prawo do ujawnienia wszystkich istotnych dowodów nie </w:t>
      </w:r>
      <w:r w:rsidR="00B8608B">
        <w:t>jest</w:t>
      </w:r>
      <w:r w:rsidR="00DC164B">
        <w:t xml:space="preserve"> absolutne </w:t>
      </w:r>
      <w:r w:rsidR="00B8608B">
        <w:t xml:space="preserve">i </w:t>
      </w:r>
      <w:r w:rsidR="00DC164B">
        <w:t>mo</w:t>
      </w:r>
      <w:r w:rsidR="00B8608B">
        <w:t>że</w:t>
      </w:r>
      <w:r w:rsidR="00DC164B">
        <w:t xml:space="preserve"> podlegać ograniczeniom opracowanym do ochrony praw stron trzecich lub istotnych interesów publicznych, takich jak bezpieczeństwo narodowe. Odnotował, że</w:t>
      </w:r>
      <w:r w:rsidR="00C0322D">
        <w:t> </w:t>
      </w:r>
      <w:r w:rsidR="00DC164B">
        <w:t xml:space="preserve">słowackie przepisy prawa </w:t>
      </w:r>
      <w:r w:rsidR="00B8608B">
        <w:t>są</w:t>
      </w:r>
      <w:r w:rsidR="00DC164B">
        <w:t xml:space="preserve">, co do zasady, podobne do przepisów </w:t>
      </w:r>
      <w:r w:rsidR="00DC164B">
        <w:lastRenderedPageBreak/>
        <w:t>czeskich: poświadczenia bezpieczeństwa wydawane przez Urząd Bezpieczeństwa Narodowego lub przez inny departament bezpieczeństwa – słowackie służby wywiadowcze lub wojskowe służby wywiadowcze –</w:t>
      </w:r>
      <w:r w:rsidR="00B8608B">
        <w:t xml:space="preserve"> są</w:t>
      </w:r>
      <w:r w:rsidR="00C0322D">
        <w:t> </w:t>
      </w:r>
      <w:r w:rsidR="00DC164B">
        <w:t xml:space="preserve">wymogiem dla otrzymania dostępu do informacji </w:t>
      </w:r>
      <w:r w:rsidR="00B8608B">
        <w:t>niejawnych</w:t>
      </w:r>
      <w:r w:rsidR="00DC164B">
        <w:t xml:space="preserve">. Informacje </w:t>
      </w:r>
      <w:r w:rsidR="00B8608B">
        <w:t>niejawne</w:t>
      </w:r>
      <w:r w:rsidR="00DC164B">
        <w:t xml:space="preserve"> </w:t>
      </w:r>
      <w:r w:rsidR="00B8608B">
        <w:t>są</w:t>
      </w:r>
      <w:r w:rsidR="00DC164B">
        <w:t xml:space="preserve"> również wyłączone z akt sądowych i ani strony postępowania</w:t>
      </w:r>
      <w:r w:rsidR="002750E0">
        <w:t>,</w:t>
      </w:r>
      <w:r w:rsidR="00DC164B">
        <w:t xml:space="preserve"> ani ich pełnomocnicy nie mog</w:t>
      </w:r>
      <w:r w:rsidR="00B8608B">
        <w:t>ą</w:t>
      </w:r>
      <w:r w:rsidR="00DC164B">
        <w:t xml:space="preserve"> żądać dos</w:t>
      </w:r>
      <w:r w:rsidR="00B8608B">
        <w:t>tępu do nich, chyba że posiadają</w:t>
      </w:r>
      <w:r w:rsidR="00DC164B">
        <w:t xml:space="preserve"> odpowiednie umocowanie.</w:t>
      </w:r>
    </w:p>
    <w:p w14:paraId="2D1208E5" w14:textId="443C94A0" w:rsidR="00DC164B" w:rsidRPr="00D83EBC" w:rsidRDefault="00425781" w:rsidP="00D83EBC">
      <w:pPr>
        <w:pStyle w:val="ECHRPara"/>
      </w:pPr>
      <w:r>
        <w:t>144</w:t>
      </w:r>
      <w:r w:rsidR="00DC164B">
        <w:t>.</w:t>
      </w:r>
      <w:r>
        <w:t xml:space="preserve"> </w:t>
      </w:r>
      <w:r w:rsidR="00DC164B">
        <w:t>Urząd Bezpieczeństwa Narodowego lub też każdy inny departament bezpieczeństwa ma prawo cofnąć poświadczenie bezpieczeństwa osoby, która nie spełnia wymaganych ustawowych warunków. Taka decyzja mo</w:t>
      </w:r>
      <w:r w:rsidR="00B8608B">
        <w:t>że</w:t>
      </w:r>
      <w:r w:rsidR="00DC164B">
        <w:t xml:space="preserve"> być zaskarżona do komitetu Rady Narodowej Republiki Słowackiej, ustanowionej ustawą szczególną. </w:t>
      </w:r>
      <w:r w:rsidR="00B8608B">
        <w:t>Następnie od</w:t>
      </w:r>
      <w:r w:rsidR="00C0322D">
        <w:t> </w:t>
      </w:r>
      <w:r w:rsidR="00B8608B">
        <w:t>ostatecznej decyzji</w:t>
      </w:r>
      <w:r w:rsidR="00DC164B">
        <w:t xml:space="preserve"> tego organu odwoławczego </w:t>
      </w:r>
      <w:r w:rsidR="002750E0">
        <w:t xml:space="preserve">przysługuje odwołanie </w:t>
      </w:r>
      <w:r w:rsidR="00DC164B">
        <w:t>do sądów administracyjnych. W postępowaniu sądowym Urząd m</w:t>
      </w:r>
      <w:r w:rsidR="00B8608B">
        <w:t>a</w:t>
      </w:r>
      <w:r w:rsidR="00DC164B">
        <w:t xml:space="preserve"> obowiązek przekazać sądowi wszystkie akta administracyjne dotyczące przedmiotowej sprawy, w tym wszystkie informacje </w:t>
      </w:r>
      <w:r w:rsidR="00B8608B">
        <w:t>niejawne</w:t>
      </w:r>
      <w:r w:rsidR="00DC164B">
        <w:t xml:space="preserve">. Sędziowie zatem mieli nieograniczony dostęp do informacji </w:t>
      </w:r>
      <w:r w:rsidR="00B8608B">
        <w:t xml:space="preserve">niejawnych </w:t>
      </w:r>
      <w:r w:rsidR="00DC164B">
        <w:t>zawartych w tych aktach.</w:t>
      </w:r>
    </w:p>
    <w:p w14:paraId="27EC0C4A" w14:textId="5813F4C3" w:rsidR="00DC164B" w:rsidRPr="00D83EBC" w:rsidRDefault="00425781" w:rsidP="00D83EBC">
      <w:pPr>
        <w:pStyle w:val="ECHRPara"/>
      </w:pPr>
      <w:r>
        <w:t>145</w:t>
      </w:r>
      <w:r w:rsidR="00DC164B">
        <w:t>.</w:t>
      </w:r>
      <w:r>
        <w:t xml:space="preserve"> </w:t>
      </w:r>
      <w:r w:rsidR="00DC164B">
        <w:t>Zarówno Republika Słowacka jak i Republika Czeska wprowadziły przepisy, według których przedmiotowa decyzja ma</w:t>
      </w:r>
      <w:r w:rsidR="00B8608B">
        <w:t xml:space="preserve"> być badan</w:t>
      </w:r>
      <w:r w:rsidR="00DC164B">
        <w:t>a przez sądy posiadające pełną jurysdykcję. Sądy</w:t>
      </w:r>
      <w:r w:rsidR="00B8608B">
        <w:t xml:space="preserve"> są zatem</w:t>
      </w:r>
      <w:r w:rsidR="00DC164B">
        <w:t xml:space="preserve"> zobowiązane zbadać z urzędu nie tylko zgodn</w:t>
      </w:r>
      <w:r w:rsidR="00B8608B">
        <w:t>ość z prawem decyzji i działania</w:t>
      </w:r>
      <w:r w:rsidR="00DC164B">
        <w:t xml:space="preserve"> departamentu bezpieczeństwa, ale także ocenę faktyczną i prawną sprawy </w:t>
      </w:r>
      <w:r w:rsidR="002750E0">
        <w:t xml:space="preserve">dokonaną </w:t>
      </w:r>
      <w:r w:rsidR="00DC164B">
        <w:t xml:space="preserve">przez departament bezpieczeństwa, w zakresie wykraczającym poza zarzuty podniesione podczas postępowania. Rząd słowacki podniósł, że te regulacje prawne </w:t>
      </w:r>
      <w:r w:rsidR="00B8608B">
        <w:t>są</w:t>
      </w:r>
      <w:r w:rsidR="00DC164B">
        <w:t xml:space="preserve"> uzas</w:t>
      </w:r>
      <w:r w:rsidR="00B8608B">
        <w:t>adnione i odpowiednio wypełniają</w:t>
      </w:r>
      <w:r w:rsidR="00DC164B">
        <w:t xml:space="preserve"> wymogi postępowania kontradyktoryjnego i równości stron.</w:t>
      </w:r>
    </w:p>
    <w:p w14:paraId="25A03738" w14:textId="10A1CBBD" w:rsidR="00DC164B" w:rsidRPr="00D83EBC" w:rsidRDefault="00DC164B" w:rsidP="00D83EBC">
      <w:pPr>
        <w:pStyle w:val="ECHRHeading3"/>
      </w:pPr>
      <w:r>
        <w:t>2.</w:t>
      </w:r>
      <w:r w:rsidR="00425781">
        <w:t xml:space="preserve"> </w:t>
      </w:r>
      <w:r>
        <w:t>Ocena Trybunału</w:t>
      </w:r>
    </w:p>
    <w:p w14:paraId="0E732C00" w14:textId="583BC5FA" w:rsidR="00DC164B" w:rsidRPr="00D83EBC" w:rsidRDefault="00DC164B" w:rsidP="00D83EBC">
      <w:pPr>
        <w:pStyle w:val="ECHRHeading4"/>
      </w:pPr>
      <w:r>
        <w:t>(a)</w:t>
      </w:r>
      <w:r w:rsidR="00425781">
        <w:t xml:space="preserve"> </w:t>
      </w:r>
      <w:r>
        <w:t>Zasady usta</w:t>
      </w:r>
      <w:r w:rsidR="00B8608B">
        <w:t>lone</w:t>
      </w:r>
      <w:r>
        <w:t xml:space="preserve"> w orzecznictwie Trybunału</w:t>
      </w:r>
    </w:p>
    <w:p w14:paraId="736BA881" w14:textId="47C9493A" w:rsidR="00DC164B" w:rsidRPr="00D83EBC" w:rsidRDefault="00425781" w:rsidP="00D83EBC">
      <w:pPr>
        <w:pStyle w:val="ECHRPara"/>
      </w:pPr>
      <w:r w:rsidRPr="00A43829">
        <w:t>146</w:t>
      </w:r>
      <w:r w:rsidR="00DC164B" w:rsidRPr="00A43829">
        <w:t>.</w:t>
      </w:r>
      <w:r w:rsidRPr="00A43829">
        <w:t xml:space="preserve"> </w:t>
      </w:r>
      <w:r w:rsidR="00DC164B" w:rsidRPr="00A43829">
        <w:t>Trybunał przypomina, że zasada kontradyktoryjności i zasada</w:t>
      </w:r>
      <w:r w:rsidR="00DC164B">
        <w:t xml:space="preserve"> równości</w:t>
      </w:r>
      <w:r w:rsidR="00B8608B">
        <w:t xml:space="preserve"> stron</w:t>
      </w:r>
      <w:r w:rsidR="00DC164B">
        <w:t xml:space="preserve">, które są ściśle ze sobą powiązane, są podstawowymi komponentami „sprawiedliwego </w:t>
      </w:r>
      <w:r w:rsidR="00670D4A">
        <w:t>rozpatrzenia</w:t>
      </w:r>
      <w:r w:rsidR="00DC164B">
        <w:t xml:space="preserve">” w rozumieniu </w:t>
      </w:r>
      <w:r w:rsidR="00307B53">
        <w:t>art.</w:t>
      </w:r>
      <w:r w:rsidR="00DC164B">
        <w:t xml:space="preserve"> 6 ust. 1 Konwencji. Wymagają „sprawiedliwej równowagi” pomiędzy stronami: każda strona musi otrzymać odpowiednią możliwość przedstawienia swojej sprawy w warunkach, które nie sprawiają, że strona znajduje się w</w:t>
      </w:r>
      <w:r w:rsidR="00C0322D">
        <w:t> </w:t>
      </w:r>
      <w:r w:rsidR="00DC164B">
        <w:t>niekorzystnej sytuacji wobec swojego oponenta lub oponentów (zob.</w:t>
      </w:r>
      <w:r w:rsidR="00C0322D">
        <w:t> </w:t>
      </w:r>
      <w:r w:rsidR="00DC164B">
        <w:rPr>
          <w:i/>
          <w:iCs/>
        </w:rPr>
        <w:t>Avotiņš przeciwko Łotwie</w:t>
      </w:r>
      <w:r w:rsidR="00DC164B">
        <w:t xml:space="preserve"> [WI], nr 17502/07, § 119 i inne odwołania</w:t>
      </w:r>
      <w:r w:rsidR="00DC164B">
        <w:rPr>
          <w:snapToGrid w:val="0"/>
        </w:rPr>
        <w:t>, ECHR 2016</w:t>
      </w:r>
      <w:r w:rsidR="00DC164B">
        <w:t>).</w:t>
      </w:r>
    </w:p>
    <w:p w14:paraId="042C5906" w14:textId="124F4C27" w:rsidR="00DC164B" w:rsidRPr="00FB770D" w:rsidRDefault="00425781" w:rsidP="00D83EBC">
      <w:pPr>
        <w:pStyle w:val="ECHRPara"/>
      </w:pPr>
      <w:r>
        <w:t>147</w:t>
      </w:r>
      <w:r w:rsidR="00DC164B">
        <w:t>.</w:t>
      </w:r>
      <w:r>
        <w:t xml:space="preserve"> </w:t>
      </w:r>
      <w:r w:rsidR="002750E0">
        <w:t>Jednakże</w:t>
      </w:r>
      <w:r w:rsidR="00DC164B">
        <w:t xml:space="preserve"> prawa wywodzące się z tych zasad nie są bezwzględne. Trybunał już orzek</w:t>
      </w:r>
      <w:r w:rsidR="00670D4A">
        <w:t>a</w:t>
      </w:r>
      <w:r w:rsidR="00DC164B">
        <w:t>ł</w:t>
      </w:r>
      <w:r w:rsidR="00670D4A">
        <w:t xml:space="preserve"> w szeregu wyroków na temat </w:t>
      </w:r>
      <w:r w:rsidR="00DC164B">
        <w:t>szcze</w:t>
      </w:r>
      <w:r w:rsidR="00670D4A">
        <w:t>gólnego przypadku, w którym priorytet</w:t>
      </w:r>
      <w:r w:rsidR="00DC164B">
        <w:t xml:space="preserve"> nada</w:t>
      </w:r>
      <w:r w:rsidR="00670D4A">
        <w:t xml:space="preserve">je się </w:t>
      </w:r>
      <w:r w:rsidR="00DC164B">
        <w:t>najwyższym interesom krajowym, odmawiając stronie pełnego postępowania kontradyktoryjnego (</w:t>
      </w:r>
      <w:r w:rsidR="00DC164B">
        <w:rPr>
          <w:i/>
          <w:iCs/>
        </w:rPr>
        <w:t>Miryana Petrova</w:t>
      </w:r>
      <w:r w:rsidR="00DC164B">
        <w:t>,</w:t>
      </w:r>
      <w:r w:rsidR="00DC164B">
        <w:rPr>
          <w:i/>
          <w:iCs/>
        </w:rPr>
        <w:t xml:space="preserve"> </w:t>
      </w:r>
      <w:r w:rsidR="00DC164B">
        <w:t>cyt. powyżej, §§ 39-40,</w:t>
      </w:r>
      <w:r w:rsidR="00DC164B">
        <w:rPr>
          <w:i/>
          <w:iCs/>
        </w:rPr>
        <w:t xml:space="preserve"> </w:t>
      </w:r>
      <w:r w:rsidR="00DC164B">
        <w:t xml:space="preserve">oraz </w:t>
      </w:r>
      <w:r w:rsidR="00DC164B">
        <w:rPr>
          <w:i/>
          <w:iCs/>
        </w:rPr>
        <w:t>Ternovskis</w:t>
      </w:r>
      <w:r w:rsidR="00DC164B">
        <w:t>,</w:t>
      </w:r>
      <w:r w:rsidR="00DC164B">
        <w:rPr>
          <w:i/>
          <w:iCs/>
        </w:rPr>
        <w:t xml:space="preserve"> </w:t>
      </w:r>
      <w:r w:rsidR="00DC164B">
        <w:t xml:space="preserve">cyt. powyżej, §§ 65-68) </w:t>
      </w:r>
      <w:r w:rsidR="00DC164B">
        <w:lastRenderedPageBreak/>
        <w:t xml:space="preserve">Układające się Państwa cieszą się pewnym marginesem </w:t>
      </w:r>
      <w:r w:rsidR="009B5A5E">
        <w:t>oceny</w:t>
      </w:r>
      <w:r w:rsidR="00DC164B">
        <w:t xml:space="preserve"> w tym obszarze. Jednakże to Trybunał ma ustalić w ostatniej instancji, czy wymogi Konwencji zostały spełnione (zob. np., </w:t>
      </w:r>
      <w:r w:rsidR="00DC164B">
        <w:rPr>
          <w:i/>
          <w:iCs/>
        </w:rPr>
        <w:t xml:space="preserve">Tinnelly &amp; Sons Ltd </w:t>
      </w:r>
      <w:r w:rsidR="00DE5B4A">
        <w:rPr>
          <w:i/>
          <w:iCs/>
        </w:rPr>
        <w:t>i Inni</w:t>
      </w:r>
      <w:r w:rsidR="00670D4A">
        <w:rPr>
          <w:i/>
          <w:iCs/>
        </w:rPr>
        <w:t xml:space="preserve"> </w:t>
      </w:r>
      <w:r w:rsidR="00DC164B">
        <w:rPr>
          <w:i/>
          <w:iCs/>
        </w:rPr>
        <w:t xml:space="preserve">oraz McElduff </w:t>
      </w:r>
      <w:r w:rsidR="00DE5B4A">
        <w:rPr>
          <w:i/>
          <w:iCs/>
        </w:rPr>
        <w:t>i Inni</w:t>
      </w:r>
      <w:r w:rsidR="00670D4A">
        <w:rPr>
          <w:i/>
          <w:iCs/>
        </w:rPr>
        <w:t xml:space="preserve"> </w:t>
      </w:r>
      <w:r w:rsidR="00DC164B">
        <w:rPr>
          <w:i/>
          <w:iCs/>
        </w:rPr>
        <w:t>przeciwko Wielkiej Brytanii</w:t>
      </w:r>
      <w:r w:rsidR="00DC164B">
        <w:t xml:space="preserve">, 10 lipca 1998 r., § 72, </w:t>
      </w:r>
      <w:r w:rsidR="00DC164B">
        <w:rPr>
          <w:i/>
          <w:iCs/>
        </w:rPr>
        <w:t>Reports of Judgments and Decisions</w:t>
      </w:r>
      <w:r>
        <w:t xml:space="preserve"> </w:t>
      </w:r>
      <w:r w:rsidR="00DC164B">
        <w:t>1998</w:t>
      </w:r>
      <w:r w:rsidR="00DC164B">
        <w:noBreakHyphen/>
        <w:t xml:space="preserve">IV; </w:t>
      </w:r>
      <w:r w:rsidR="00DC164B">
        <w:rPr>
          <w:i/>
          <w:iCs/>
        </w:rPr>
        <w:t>Prince Hans-Adam II of Liechtenstein przeciwko Niemcom</w:t>
      </w:r>
      <w:r w:rsidR="00DC164B">
        <w:t xml:space="preserve"> [WI], nr 42527/98, § 44, ECHR 2001</w:t>
      </w:r>
      <w:r w:rsidR="00DC164B">
        <w:noBreakHyphen/>
        <w:t>VIII; oraz</w:t>
      </w:r>
      <w:r w:rsidR="00C0322D">
        <w:t> </w:t>
      </w:r>
      <w:r w:rsidR="00DC164B">
        <w:rPr>
          <w:i/>
          <w:iCs/>
        </w:rPr>
        <w:t>Devenney przeciwko Wielkiej Brytanii</w:t>
      </w:r>
      <w:r w:rsidR="00DC164B">
        <w:t>, nr 24265/94, § 23, 19 marca 2002 r.).</w:t>
      </w:r>
    </w:p>
    <w:p w14:paraId="345FEDE8" w14:textId="38C5DFB3" w:rsidR="00DC164B" w:rsidRPr="00D83EBC" w:rsidRDefault="00425781" w:rsidP="00D83EBC">
      <w:pPr>
        <w:pStyle w:val="ECHRPara"/>
      </w:pPr>
      <w:r>
        <w:t>148</w:t>
      </w:r>
      <w:r w:rsidR="00DC164B">
        <w:t>.</w:t>
      </w:r>
      <w:r>
        <w:t xml:space="preserve"> </w:t>
      </w:r>
      <w:r w:rsidR="00DC164B">
        <w:t>Trybunał przypomina ponadto, że uprawnienie do ujawnienia istotnych dowodów nie jest również prawem bezwzględnym. W sprawach karnych [Trybunał] stwierdził, że mogą istnieć konkurujące ze sobą interesy, takie jak bezpieczeństwo narodowe lub potrzeba chronienia świadków przed ryzykiem zemsty</w:t>
      </w:r>
      <w:r w:rsidR="00670D4A">
        <w:t>,</w:t>
      </w:r>
      <w:r w:rsidR="00DC164B">
        <w:t xml:space="preserve"> lub utrzymania w tajemnicy </w:t>
      </w:r>
      <w:r w:rsidR="00670D4A">
        <w:t xml:space="preserve">policyjnych </w:t>
      </w:r>
      <w:r w:rsidR="00DC164B">
        <w:t xml:space="preserve">metod </w:t>
      </w:r>
      <w:r w:rsidR="00670D4A">
        <w:t xml:space="preserve">dochodzenia w sprawach </w:t>
      </w:r>
      <w:r w:rsidR="00DC164B">
        <w:t>przestęp</w:t>
      </w:r>
      <w:r w:rsidR="00670D4A">
        <w:t>stw</w:t>
      </w:r>
      <w:r w:rsidR="00DC164B">
        <w:t>, co należy rozważyć w</w:t>
      </w:r>
      <w:r w:rsidR="00C0322D">
        <w:t> </w:t>
      </w:r>
      <w:r w:rsidR="00DC164B">
        <w:t xml:space="preserve">odniesieniu do praw strony postępowania. Jednakże </w:t>
      </w:r>
      <w:r w:rsidR="00670D4A">
        <w:t xml:space="preserve">na podstawie art. 6 ust. 1 dozwolone są </w:t>
      </w:r>
      <w:r w:rsidR="00DC164B">
        <w:t xml:space="preserve">tylko środki ograniczające prawa strony postępowania, które nie </w:t>
      </w:r>
      <w:r w:rsidR="00670D4A">
        <w:t xml:space="preserve">wpływają na samą istotę </w:t>
      </w:r>
      <w:r w:rsidR="00DC164B">
        <w:t xml:space="preserve">tych praw. Aby tak było, wszelkie trudności spowodowane stronie skarżącej poprzez ograniczenie jej praw należy stosownie zrównoważyć poprzez procedury </w:t>
      </w:r>
      <w:r w:rsidR="005407D9">
        <w:t>stosow</w:t>
      </w:r>
      <w:r w:rsidR="00DC164B">
        <w:t xml:space="preserve">ane przez władze sądowe (zob. </w:t>
      </w:r>
      <w:r w:rsidR="00DC164B">
        <w:rPr>
          <w:i/>
          <w:iCs/>
        </w:rPr>
        <w:t>odpowiednio</w:t>
      </w:r>
      <w:r w:rsidR="00DC164B">
        <w:t xml:space="preserve">, </w:t>
      </w:r>
      <w:r w:rsidR="00DC164B">
        <w:rPr>
          <w:i/>
          <w:iCs/>
        </w:rPr>
        <w:t>Fitt przeciwko Wielkiej Brytanii</w:t>
      </w:r>
      <w:r w:rsidR="00DC164B">
        <w:t xml:space="preserve"> [WI], nr 29777/96, § 45 wraz z innymi odwołaniami, ECHR 2000</w:t>
      </w:r>
      <w:r w:rsidR="00DC164B">
        <w:noBreakHyphen/>
        <w:t>II, oraz</w:t>
      </w:r>
      <w:r w:rsidR="00C0322D">
        <w:t> </w:t>
      </w:r>
      <w:r w:rsidR="00DC164B">
        <w:rPr>
          <w:i/>
          <w:iCs/>
        </w:rPr>
        <w:t xml:space="preserve">Schatschaschwili przeciwko Niemcom </w:t>
      </w:r>
      <w:r w:rsidR="00DC164B">
        <w:t>[WI], nr 9154/10, § 107, ECHR</w:t>
      </w:r>
      <w:r w:rsidR="00C0322D">
        <w:t> </w:t>
      </w:r>
      <w:r w:rsidR="00DC164B">
        <w:t>2015).</w:t>
      </w:r>
    </w:p>
    <w:p w14:paraId="5F36B5FF" w14:textId="1256E679" w:rsidR="00DC164B" w:rsidRPr="00D83EBC" w:rsidRDefault="00425781" w:rsidP="00D83EBC">
      <w:pPr>
        <w:pStyle w:val="ECHRPara"/>
      </w:pPr>
      <w:r>
        <w:t>149</w:t>
      </w:r>
      <w:r w:rsidR="00DC164B">
        <w:t>.</w:t>
      </w:r>
      <w:r>
        <w:t xml:space="preserve"> </w:t>
      </w:r>
      <w:r w:rsidR="00DC164B">
        <w:t xml:space="preserve">W sprawach, </w:t>
      </w:r>
      <w:r w:rsidR="00501B1A">
        <w:t xml:space="preserve">w których </w:t>
      </w:r>
      <w:r w:rsidR="00DC164B">
        <w:t>dowody zostały ukryte przed stroną skarżącą ze względów interesu publicznego, Trybunał musi przeanalizować procedurę decyzyjną</w:t>
      </w:r>
      <w:r w:rsidR="008A4F52">
        <w:t>,</w:t>
      </w:r>
      <w:r w:rsidR="00DC164B">
        <w:t xml:space="preserve"> tak aby upewnić się, że w najszerszym możliwym zakresie przestrzegane były wymogi zapewnienia postępowania kontradyktoryjnego oraz równości stron oraz że zapewniono stosowne zabezpieczenia celem ochrony interesów zainteresowanych osób (zob. </w:t>
      </w:r>
      <w:r w:rsidR="00DC164B">
        <w:rPr>
          <w:i/>
          <w:iCs/>
        </w:rPr>
        <w:t>Fitt</w:t>
      </w:r>
      <w:r w:rsidR="00DC164B">
        <w:t xml:space="preserve">, cyt. powyżej, § 46). </w:t>
      </w:r>
    </w:p>
    <w:p w14:paraId="50F0D3DF" w14:textId="2AD46CBA" w:rsidR="00DC164B" w:rsidRPr="00D83EBC" w:rsidRDefault="00DC164B" w:rsidP="00D83EBC">
      <w:pPr>
        <w:pStyle w:val="ECHRHeading4"/>
      </w:pPr>
      <w:r>
        <w:t>(b)</w:t>
      </w:r>
      <w:r w:rsidR="00425781">
        <w:t xml:space="preserve"> </w:t>
      </w:r>
      <w:r>
        <w:t>Zastosowanie powyższych zasad do niniejszej sprawy</w:t>
      </w:r>
    </w:p>
    <w:p w14:paraId="41FD02DB" w14:textId="6C42C2E1" w:rsidR="00DC164B" w:rsidRPr="00D83EBC" w:rsidRDefault="00425781" w:rsidP="00D83EBC">
      <w:pPr>
        <w:pStyle w:val="ECHRPara"/>
      </w:pPr>
      <w:r>
        <w:t>150</w:t>
      </w:r>
      <w:r w:rsidR="00DC164B">
        <w:t>.</w:t>
      </w:r>
      <w:r>
        <w:t xml:space="preserve"> </w:t>
      </w:r>
      <w:r w:rsidR="00DC164B">
        <w:t>W niniejszej sprawie Trybunał</w:t>
      </w:r>
      <w:r w:rsidR="008A4F52">
        <w:t xml:space="preserve"> zauważa</w:t>
      </w:r>
      <w:r w:rsidR="00DC164B">
        <w:t xml:space="preserve">, że zgodnie z wymogami prawa </w:t>
      </w:r>
      <w:r w:rsidR="008A4F52">
        <w:t xml:space="preserve">czeskiego dotyczącymi </w:t>
      </w:r>
      <w:r w:rsidR="00DC164B">
        <w:t xml:space="preserve">postępowania prawnego zaskarżającego decyzję odmawiającą przyznania lub anulującą poświadczenie bezpieczeństwa, postępowanie zainicjowane przez skarżącego podlegało ograniczeniu na dwa sposoby w odniesieniu do </w:t>
      </w:r>
      <w:r w:rsidR="008A4F52" w:rsidRPr="00625317">
        <w:t>zwykłych uregulowań</w:t>
      </w:r>
      <w:r w:rsidR="008A4F52">
        <w:t xml:space="preserve"> </w:t>
      </w:r>
      <w:r w:rsidR="00DC164B">
        <w:t>prawa gwarantując</w:t>
      </w:r>
      <w:r w:rsidR="008A4F52">
        <w:t>ych</w:t>
      </w:r>
      <w:r w:rsidR="00DC164B">
        <w:t xml:space="preserve"> </w:t>
      </w:r>
      <w:r w:rsidR="008A4F52">
        <w:t xml:space="preserve">rzetelny </w:t>
      </w:r>
      <w:r w:rsidR="00DC164B">
        <w:t xml:space="preserve">proces: po pierwsze, </w:t>
      </w:r>
      <w:r w:rsidR="008A4F52">
        <w:t xml:space="preserve">niejawne </w:t>
      </w:r>
      <w:r w:rsidR="00DC164B">
        <w:t>dokumenty i</w:t>
      </w:r>
      <w:r w:rsidR="00C0322D">
        <w:t> </w:t>
      </w:r>
      <w:r w:rsidR="00DC164B">
        <w:t>informacje nie były dostępne ani dla skarżącego</w:t>
      </w:r>
      <w:r w:rsidR="008A4F52">
        <w:t>,</w:t>
      </w:r>
      <w:r w:rsidR="00DC164B">
        <w:t xml:space="preserve"> ani dla jego pełnomocnika, a po drugie</w:t>
      </w:r>
      <w:r w:rsidR="008A4F52">
        <w:t xml:space="preserve">, w zakresie, w jakim </w:t>
      </w:r>
      <w:r w:rsidR="00DC164B">
        <w:t xml:space="preserve">decyzja anulująca poświadczenie bezpieczeństwa oparta była na tych dokumentach, uzasadnienie decyzji nie zostało mu ujawnione. Trybunał ma </w:t>
      </w:r>
      <w:r w:rsidR="008A4F52">
        <w:t>zatem za</w:t>
      </w:r>
      <w:r w:rsidR="00C0322D">
        <w:t> </w:t>
      </w:r>
      <w:r w:rsidR="008A4F52">
        <w:t>zadanie zbadać,</w:t>
      </w:r>
      <w:r w:rsidR="00DC164B">
        <w:t xml:space="preserve"> czy ograniczenia te naruszyły istotę prawa skarżącego do</w:t>
      </w:r>
      <w:r w:rsidR="00C0322D">
        <w:t> </w:t>
      </w:r>
      <w:r w:rsidR="008A4F52">
        <w:t xml:space="preserve">rzetelnego </w:t>
      </w:r>
      <w:r w:rsidR="00DC164B">
        <w:t>procesu.</w:t>
      </w:r>
    </w:p>
    <w:p w14:paraId="2263542B" w14:textId="2588299F" w:rsidR="00DC164B" w:rsidRPr="00D83EBC" w:rsidRDefault="00425781" w:rsidP="00D83EBC">
      <w:pPr>
        <w:pStyle w:val="ECHRPara"/>
      </w:pPr>
      <w:r>
        <w:lastRenderedPageBreak/>
        <w:t>151</w:t>
      </w:r>
      <w:r w:rsidR="00DC164B">
        <w:t>.</w:t>
      </w:r>
      <w:r>
        <w:t xml:space="preserve"> </w:t>
      </w:r>
      <w:r w:rsidR="00DC164B">
        <w:t xml:space="preserve">Przeprowadzając </w:t>
      </w:r>
      <w:r w:rsidR="008A4F52">
        <w:t xml:space="preserve">to </w:t>
      </w:r>
      <w:r w:rsidR="00DC164B">
        <w:t>badanie</w:t>
      </w:r>
      <w:r w:rsidR="008A4F52">
        <w:t>,</w:t>
      </w:r>
      <w:r w:rsidR="00DC164B">
        <w:t xml:space="preserve"> Trybunał </w:t>
      </w:r>
      <w:r w:rsidR="008A4F52">
        <w:t xml:space="preserve">weźmie pod uwagę </w:t>
      </w:r>
      <w:r w:rsidR="00DC164B">
        <w:t xml:space="preserve">postępowanie </w:t>
      </w:r>
      <w:r w:rsidR="008A4F52">
        <w:t>rozpatrywane jako całość</w:t>
      </w:r>
      <w:r w:rsidR="00DC164B">
        <w:t xml:space="preserve"> i ustali, czy ograniczenia zasad kontradyktoryjności i równości</w:t>
      </w:r>
      <w:r w:rsidR="008A4F52">
        <w:t xml:space="preserve"> stron, mając</w:t>
      </w:r>
      <w:r w:rsidR="00477006">
        <w:t>ych</w:t>
      </w:r>
      <w:r w:rsidR="00DC164B">
        <w:t xml:space="preserve"> zastosowanie do</w:t>
      </w:r>
      <w:r w:rsidR="00C0322D">
        <w:t> </w:t>
      </w:r>
      <w:r w:rsidR="00DC164B">
        <w:t>postępowania cywilnego</w:t>
      </w:r>
      <w:r w:rsidR="008A4F52">
        <w:t>,</w:t>
      </w:r>
      <w:r w:rsidR="00DC164B">
        <w:t xml:space="preserve"> były odpowiednio zrównoważone innymi zabezpieczeniami proceduralnymi.</w:t>
      </w:r>
    </w:p>
    <w:p w14:paraId="57A0A978" w14:textId="3237DE84" w:rsidR="00DC164B" w:rsidRPr="00D83EBC" w:rsidRDefault="00425781" w:rsidP="00D83EBC">
      <w:pPr>
        <w:pStyle w:val="ECHRPara"/>
      </w:pPr>
      <w:r>
        <w:t>152</w:t>
      </w:r>
      <w:r w:rsidR="00DC164B">
        <w:t>.</w:t>
      </w:r>
      <w:r>
        <w:t xml:space="preserve"> </w:t>
      </w:r>
      <w:r w:rsidR="00DC164B">
        <w:t xml:space="preserve">W związku z tym Trybunał odnotowuje uprawnienia nadane sądom krajowym, które mają niezbędną niezależność i bezstronność; ten fakt jako taki nie jest </w:t>
      </w:r>
      <w:r w:rsidR="008A4F52">
        <w:t>kwestionowany</w:t>
      </w:r>
      <w:r w:rsidR="00DC164B">
        <w:t xml:space="preserve"> przez skarżącego, który raczej ogranicza się do</w:t>
      </w:r>
      <w:r w:rsidR="00C0322D">
        <w:t> </w:t>
      </w:r>
      <w:r w:rsidR="00DC164B">
        <w:t>kwestionowania zdolności sędziów do właściwego ocenienia faktów w</w:t>
      </w:r>
      <w:r w:rsidR="00C0322D">
        <w:t> </w:t>
      </w:r>
      <w:r w:rsidR="00DC164B">
        <w:t>sprawie, zważywszy na fakt</w:t>
      </w:r>
      <w:r w:rsidR="00392EB8">
        <w:t>,</w:t>
      </w:r>
      <w:r w:rsidR="00DC164B">
        <w:t xml:space="preserve"> iż nie mieli pełnego dostępu do istotnych dokumentów (zob. paragraf </w:t>
      </w:r>
      <w:r w:rsidR="00307B53">
        <w:t>130</w:t>
      </w:r>
      <w:r w:rsidR="00DC164B">
        <w:t xml:space="preserve"> powyżej).</w:t>
      </w:r>
    </w:p>
    <w:p w14:paraId="4992551B" w14:textId="0B4AE0C5" w:rsidR="00DC164B" w:rsidRPr="00D83EBC" w:rsidRDefault="00DC164B" w:rsidP="00D83EBC">
      <w:pPr>
        <w:pStyle w:val="ECHRPara"/>
      </w:pPr>
      <w:r>
        <w:t xml:space="preserve">Po pierwsze, sądy mają nieograniczony dostęp do wszystkich dokumentów </w:t>
      </w:r>
      <w:r w:rsidR="005676B8">
        <w:t>niejawnych</w:t>
      </w:r>
      <w:r>
        <w:t>, na których Urząd oparł swoją decyzję wraz z</w:t>
      </w:r>
      <w:r w:rsidR="00C0322D">
        <w:t> </w:t>
      </w:r>
      <w:r>
        <w:t>uzasadnieniem. Mają prawo przeprowadzić szczegółowe badanie powodów, jakie posłużyły Urzędowi do uzasadnienie nieujawnienia dokumentów</w:t>
      </w:r>
      <w:r w:rsidR="005676B8">
        <w:t xml:space="preserve"> niejawnych</w:t>
      </w:r>
      <w:r>
        <w:t>. Mogą ocenić powody podane na uzasadnienie nieujawniania dokumentów zastrzeżonych oraz nakazać ujawnienie tych, które ich zdaniem nie wymagają</w:t>
      </w:r>
      <w:r w:rsidR="005676B8">
        <w:t xml:space="preserve"> utajnienia</w:t>
      </w:r>
      <w:r>
        <w:t xml:space="preserve">. Dodatkowo </w:t>
      </w:r>
      <w:r w:rsidR="005676B8">
        <w:t>są one uprawnione do oceny zasadności</w:t>
      </w:r>
      <w:r>
        <w:t xml:space="preserve"> decyzji Urzędu co do cofnięcia poświadczenia bezpieczeństwa oraz uchyl</w:t>
      </w:r>
      <w:r w:rsidR="00477006">
        <w:t>enia</w:t>
      </w:r>
      <w:r>
        <w:t>, jeżeli ma to miejsce, arbitraln</w:t>
      </w:r>
      <w:r w:rsidR="00392EB8">
        <w:t>ej decyzji</w:t>
      </w:r>
      <w:r>
        <w:t xml:space="preserve"> Urzędu.</w:t>
      </w:r>
    </w:p>
    <w:p w14:paraId="0DD7D7F6" w14:textId="7347F1DC" w:rsidR="00DC164B" w:rsidRPr="00D83EBC" w:rsidRDefault="00425781" w:rsidP="00D83EBC">
      <w:pPr>
        <w:pStyle w:val="ECHRPara"/>
      </w:pPr>
      <w:r>
        <w:t>153</w:t>
      </w:r>
      <w:r w:rsidR="00DC164B">
        <w:t>.</w:t>
      </w:r>
      <w:r>
        <w:t xml:space="preserve"> </w:t>
      </w:r>
      <w:r w:rsidR="005676B8">
        <w:t>Ponadto</w:t>
      </w:r>
      <w:r w:rsidR="00DC164B">
        <w:t xml:space="preserve"> właściwość sądów do badania sporu obejmuje wszystkie fakty sprawy </w:t>
      </w:r>
      <w:r w:rsidR="005676B8">
        <w:t xml:space="preserve">i </w:t>
      </w:r>
      <w:r w:rsidR="00DC164B">
        <w:t>nie jest ograniczona do badania zarzutów podniesionych przez skarżącego, który został</w:t>
      </w:r>
      <w:r w:rsidR="00DC164B">
        <w:rPr>
          <w:color w:val="FF0000"/>
        </w:rPr>
        <w:t xml:space="preserve"> </w:t>
      </w:r>
      <w:r w:rsidR="00DC164B">
        <w:t xml:space="preserve">wysłuchany przez sędziów oraz mógł złożyć wnioski </w:t>
      </w:r>
      <w:r w:rsidR="005676B8">
        <w:t xml:space="preserve">również </w:t>
      </w:r>
      <w:r w:rsidR="00DC164B">
        <w:t xml:space="preserve">na piśmie. Prawdą jest w tym zakresie, że </w:t>
      </w:r>
      <w:r w:rsidR="005676B8">
        <w:t xml:space="preserve">prawo </w:t>
      </w:r>
      <w:r w:rsidR="00DC164B">
        <w:t xml:space="preserve">czeskie mogło </w:t>
      </w:r>
      <w:r w:rsidR="005676B8">
        <w:t>przewid</w:t>
      </w:r>
      <w:r w:rsidR="00477006">
        <w:t>ywać</w:t>
      </w:r>
      <w:r w:rsidR="00DC164B">
        <w:t xml:space="preserve">, w zakresie </w:t>
      </w:r>
      <w:r w:rsidR="005676B8">
        <w:t xml:space="preserve">zgodnym </w:t>
      </w:r>
      <w:r w:rsidR="00DC164B">
        <w:t>z utrzymaniem tajności i</w:t>
      </w:r>
      <w:r w:rsidR="00C0322D">
        <w:t> </w:t>
      </w:r>
      <w:r w:rsidR="00E20325">
        <w:t>właściwym</w:t>
      </w:r>
      <w:r w:rsidR="00DC164B">
        <w:t xml:space="preserve"> prowadzeniem śledztw dotyczących jednostki, </w:t>
      </w:r>
      <w:r w:rsidR="005676B8">
        <w:t>poinformowanie jej w ramach postępowania,</w:t>
      </w:r>
      <w:r w:rsidR="00DC164B">
        <w:t xml:space="preserve"> przynajmniej w sposób skrócony, o treści zarzutów przeciwko niej. W </w:t>
      </w:r>
      <w:r w:rsidR="005676B8">
        <w:t xml:space="preserve">ten sposób w </w:t>
      </w:r>
      <w:r w:rsidR="00DC164B">
        <w:t>przedmiotowej sprawie</w:t>
      </w:r>
      <w:r w:rsidR="00DC164B">
        <w:rPr>
          <w:color w:val="FF0000"/>
        </w:rPr>
        <w:t xml:space="preserve"> </w:t>
      </w:r>
      <w:r w:rsidR="00DC164B">
        <w:t>skarżący byłby w stanie sformułować jasną i skoncentrowaną obronę</w:t>
      </w:r>
      <w:r w:rsidR="005676B8">
        <w:t>,</w:t>
      </w:r>
      <w:r w:rsidR="00DC164B">
        <w:t xml:space="preserve"> a sądy rozpatrujące sprawę nie musiałyby kompensować luk w</w:t>
      </w:r>
      <w:r w:rsidR="00C0322D">
        <w:t> </w:t>
      </w:r>
      <w:r w:rsidR="00DC164B">
        <w:t>obronie.</w:t>
      </w:r>
    </w:p>
    <w:p w14:paraId="2C84A21B" w14:textId="19D87078" w:rsidR="00DC164B" w:rsidRPr="00D83EBC" w:rsidRDefault="00425781" w:rsidP="00D83EBC">
      <w:pPr>
        <w:pStyle w:val="ECHRPara"/>
      </w:pPr>
      <w:r>
        <w:t>154</w:t>
      </w:r>
      <w:r w:rsidR="00DC164B">
        <w:t>.</w:t>
      </w:r>
      <w:r>
        <w:t xml:space="preserve"> </w:t>
      </w:r>
      <w:r w:rsidR="00DC164B">
        <w:t>Jednakże Trybunał zauważa, że sądy właściwie wykonywały uprawnienia nadzorcze dostępne im w toku tego rodzaju postępowań, zarówno co do potrzeby zachowania tajności dokumentów</w:t>
      </w:r>
      <w:r w:rsidR="005676B8">
        <w:t xml:space="preserve"> niejawnych,</w:t>
      </w:r>
      <w:r w:rsidR="00DC164B">
        <w:t xml:space="preserve"> </w:t>
      </w:r>
      <w:r w:rsidR="005676B8">
        <w:t>jak</w:t>
      </w:r>
      <w:r w:rsidR="00C0322D">
        <w:t> </w:t>
      </w:r>
      <w:r w:rsidR="005676B8">
        <w:t>i</w:t>
      </w:r>
      <w:r w:rsidR="00C0322D">
        <w:t> </w:t>
      </w:r>
      <w:r w:rsidR="005676B8">
        <w:t xml:space="preserve">co do </w:t>
      </w:r>
      <w:r w:rsidR="00DC164B">
        <w:t>uzasadniania decyzji anulującej poświadczenie bezpie</w:t>
      </w:r>
      <w:r w:rsidR="005676B8">
        <w:t>czeństwa skarżącego, podając uzasadnienia ich orzeczeń z uwzględnieniem konkretnych okoliczności przedmiotowej sprawy</w:t>
      </w:r>
      <w:r w:rsidR="00DC164B">
        <w:t>.</w:t>
      </w:r>
    </w:p>
    <w:p w14:paraId="774B9FF3" w14:textId="3BD32585" w:rsidR="00DC164B" w:rsidRPr="00D83EBC" w:rsidRDefault="00425781" w:rsidP="00D83EBC">
      <w:pPr>
        <w:pStyle w:val="ECHRPara"/>
      </w:pPr>
      <w:r>
        <w:t>155</w:t>
      </w:r>
      <w:r w:rsidR="00DC164B">
        <w:t>.</w:t>
      </w:r>
      <w:r>
        <w:t xml:space="preserve"> </w:t>
      </w:r>
      <w:r w:rsidR="003E46F3">
        <w:t xml:space="preserve">Stosownie do powyższego </w:t>
      </w:r>
      <w:r w:rsidR="00DC164B">
        <w:t>Najwyższy Sąd Administracyjny uznał, mając na uwadze potrzebę zachowania tajności dokumentów</w:t>
      </w:r>
      <w:r w:rsidR="005676B8">
        <w:t xml:space="preserve"> niejawnych</w:t>
      </w:r>
      <w:r w:rsidR="00DC164B">
        <w:t>, że</w:t>
      </w:r>
      <w:r w:rsidR="00C0322D">
        <w:t> </w:t>
      </w:r>
      <w:r w:rsidR="00DC164B">
        <w:t xml:space="preserve">ich ujawnienie mogłoby skutkować ujawnieniem metod pracy służb wywiadowczych, ujawnieniem </w:t>
      </w:r>
      <w:r w:rsidR="000E5F38">
        <w:t>ich</w:t>
      </w:r>
      <w:r w:rsidR="00DC164B">
        <w:t xml:space="preserve"> źródeł informacji lub doprowadzeniem do prób wywarcia wpływu na potencjalnych świadków. Wyjaśnił, że</w:t>
      </w:r>
      <w:r w:rsidR="003C1B1C">
        <w:t> </w:t>
      </w:r>
      <w:r w:rsidR="00DC164B">
        <w:t>nie</w:t>
      </w:r>
      <w:r w:rsidR="003C1B1C">
        <w:t> </w:t>
      </w:r>
      <w:r w:rsidR="00DC164B">
        <w:t xml:space="preserve">było </w:t>
      </w:r>
      <w:r w:rsidR="000E5F38">
        <w:t xml:space="preserve">prawnie </w:t>
      </w:r>
      <w:r w:rsidR="00DC164B">
        <w:t xml:space="preserve">możliwe </w:t>
      </w:r>
      <w:r w:rsidR="000E5F38">
        <w:t>wskazanie,</w:t>
      </w:r>
      <w:r w:rsidR="00DC164B">
        <w:t xml:space="preserve"> gdzie dokładnie </w:t>
      </w:r>
      <w:r w:rsidR="000E5F38">
        <w:t xml:space="preserve">leżą </w:t>
      </w:r>
      <w:r w:rsidR="00DC164B">
        <w:t xml:space="preserve">zagrożenia </w:t>
      </w:r>
      <w:r w:rsidR="00DC164B">
        <w:lastRenderedPageBreak/>
        <w:t>dla bezpieczeństwa</w:t>
      </w:r>
      <w:r w:rsidR="000E5F38">
        <w:t>,</w:t>
      </w:r>
      <w:r w:rsidR="00DC164B">
        <w:t xml:space="preserve"> </w:t>
      </w:r>
      <w:r w:rsidR="000E5F38">
        <w:t>ani dokładne wskazanie,</w:t>
      </w:r>
      <w:r w:rsidR="00DC164B">
        <w:t xml:space="preserve"> które względy </w:t>
      </w:r>
      <w:r w:rsidR="000E5F38">
        <w:t xml:space="preserve">są </w:t>
      </w:r>
      <w:r w:rsidR="00DC164B">
        <w:t>podstawą wniosku, iż istni</w:t>
      </w:r>
      <w:r w:rsidR="000E5F38">
        <w:t>eje</w:t>
      </w:r>
      <w:r w:rsidR="00DC164B">
        <w:t xml:space="preserve"> zagrożenie dla bezpieczeństwa, </w:t>
      </w:r>
      <w:r w:rsidR="000E5F38">
        <w:t xml:space="preserve">ponieważ </w:t>
      </w:r>
      <w:r w:rsidR="00DC164B">
        <w:t>powody i</w:t>
      </w:r>
      <w:r w:rsidR="00C0322D">
        <w:t> </w:t>
      </w:r>
      <w:r w:rsidR="00DC164B">
        <w:t xml:space="preserve">względy będące podstawą decyzji Urzędu </w:t>
      </w:r>
      <w:r w:rsidR="000E5F38">
        <w:t xml:space="preserve">wywodziły się </w:t>
      </w:r>
      <w:r w:rsidR="00DC164B">
        <w:t>wyłącznie z</w:t>
      </w:r>
      <w:r w:rsidR="00C0322D">
        <w:t> </w:t>
      </w:r>
      <w:r w:rsidR="00DC164B">
        <w:t>informacji</w:t>
      </w:r>
      <w:r w:rsidR="000E5F38">
        <w:t xml:space="preserve"> niejawnych</w:t>
      </w:r>
      <w:r w:rsidR="00DC164B">
        <w:t>.</w:t>
      </w:r>
      <w:r w:rsidR="00D307D5">
        <w:t xml:space="preserve"> A zatem</w:t>
      </w:r>
      <w:r w:rsidR="00DC164B">
        <w:t xml:space="preserve"> nic</w:t>
      </w:r>
      <w:r w:rsidR="000E5F38">
        <w:t xml:space="preserve"> nie sugeruje</w:t>
      </w:r>
      <w:r w:rsidR="00DC164B">
        <w:t xml:space="preserve">, że </w:t>
      </w:r>
      <w:r w:rsidR="000E5F38">
        <w:t xml:space="preserve">utajnienie </w:t>
      </w:r>
      <w:r w:rsidR="00DC164B">
        <w:t>p</w:t>
      </w:r>
      <w:r w:rsidR="000E5F38">
        <w:t>rzedmiotowych dokumentów zostało</w:t>
      </w:r>
      <w:r w:rsidR="00DC164B">
        <w:t xml:space="preserve"> przeprowadzon</w:t>
      </w:r>
      <w:r w:rsidR="00477006">
        <w:t>e</w:t>
      </w:r>
      <w:r w:rsidR="00DC164B">
        <w:t xml:space="preserve"> arbitralnie lub</w:t>
      </w:r>
      <w:r w:rsidR="00C0322D">
        <w:t> </w:t>
      </w:r>
      <w:r w:rsidR="00DC164B">
        <w:t>w</w:t>
      </w:r>
      <w:r w:rsidR="00C0322D">
        <w:t> </w:t>
      </w:r>
      <w:r w:rsidR="00DC164B">
        <w:t>celu innym niż u</w:t>
      </w:r>
      <w:r w:rsidR="009570AE">
        <w:t>prawniony</w:t>
      </w:r>
      <w:r w:rsidR="00DC164B">
        <w:t xml:space="preserve"> interes wskazany jako ten, który jest realizowany.</w:t>
      </w:r>
    </w:p>
    <w:p w14:paraId="2B442BAF" w14:textId="2E5343F2" w:rsidR="00DC164B" w:rsidRPr="00D83EBC" w:rsidRDefault="00425781" w:rsidP="00D83EBC">
      <w:pPr>
        <w:pStyle w:val="ECHRPara"/>
      </w:pPr>
      <w:r>
        <w:t>156</w:t>
      </w:r>
      <w:r w:rsidR="00DC164B">
        <w:t>.</w:t>
      </w:r>
      <w:r>
        <w:t xml:space="preserve"> </w:t>
      </w:r>
      <w:r w:rsidR="00DC164B">
        <w:t>W zakresie uzasadnienia decyzji cofającej poświadczenie bezpieczeństwa skarżącego Najwyższy Sąd Administracyjny</w:t>
      </w:r>
      <w:r w:rsidR="000E5F38">
        <w:t xml:space="preserve"> orzekł</w:t>
      </w:r>
      <w:r w:rsidR="00DC164B">
        <w:t>, że</w:t>
      </w:r>
      <w:r w:rsidR="00C0322D">
        <w:t> </w:t>
      </w:r>
      <w:r w:rsidR="00DC164B">
        <w:t>z</w:t>
      </w:r>
      <w:r w:rsidR="00C0322D">
        <w:t> </w:t>
      </w:r>
      <w:r w:rsidR="00DC164B">
        <w:t>dokumentów</w:t>
      </w:r>
      <w:r w:rsidR="000E5F38">
        <w:t xml:space="preserve"> niejawnych jednoznacznie jasn</w:t>
      </w:r>
      <w:r w:rsidR="00477006">
        <w:t>o wynikało</w:t>
      </w:r>
      <w:r w:rsidR="00DC164B">
        <w:t>, że skarżący nie spełniał już dłużej warunków ustawowych do otrzymania dostępu do</w:t>
      </w:r>
      <w:r w:rsidR="00C0322D">
        <w:t> </w:t>
      </w:r>
      <w:r w:rsidR="00DC164B">
        <w:t>tajemnic. Odnotował, że ryzyko w tym zakresie dotyczyło jego zachowania, które miało wpływ na jego wiarygodność i jego zdolność do</w:t>
      </w:r>
      <w:r w:rsidR="00C0322D">
        <w:t> </w:t>
      </w:r>
      <w:r w:rsidR="000E5F38">
        <w:t xml:space="preserve">zachowywania </w:t>
      </w:r>
      <w:r w:rsidR="00DC164B">
        <w:t xml:space="preserve">informacji w tajemnicy. Dalej odnotował, że </w:t>
      </w:r>
      <w:r w:rsidR="000E5F38">
        <w:t xml:space="preserve">poufny </w:t>
      </w:r>
      <w:r w:rsidR="00DC164B">
        <w:t xml:space="preserve">dokument pochodzący od służb wywiadowczych zawierał konkretne, wszechstronne i </w:t>
      </w:r>
      <w:r w:rsidR="000E5F38">
        <w:t xml:space="preserve">szczegółowe </w:t>
      </w:r>
      <w:r w:rsidR="00DC164B">
        <w:t xml:space="preserve">informacje dotyczące zachowania i stylu życia skarżącego, na podstawie których sąd uzyskał pewność w przedmiotowej sprawie co do </w:t>
      </w:r>
      <w:r w:rsidR="000E5F38">
        <w:t xml:space="preserve">jego </w:t>
      </w:r>
      <w:r w:rsidR="00DC164B">
        <w:t xml:space="preserve">istotności dla ustalenia, czy skarżący stanowił zagrożenie dla bezpieczeństwa narodowego (zob. paragraf </w:t>
      </w:r>
      <w:r w:rsidR="00307B53">
        <w:t>20</w:t>
      </w:r>
      <w:r w:rsidR="00DC164B">
        <w:t xml:space="preserve"> powyżej).</w:t>
      </w:r>
    </w:p>
    <w:p w14:paraId="714C9C88" w14:textId="2500136F" w:rsidR="00DC164B" w:rsidRPr="00D83EBC" w:rsidRDefault="00425781" w:rsidP="00D83EBC">
      <w:pPr>
        <w:pStyle w:val="ECHRPara"/>
      </w:pPr>
      <w:r>
        <w:t>157</w:t>
      </w:r>
      <w:r w:rsidR="00DC164B">
        <w:t>.</w:t>
      </w:r>
      <w:r>
        <w:t xml:space="preserve"> </w:t>
      </w:r>
      <w:r w:rsidR="00DC164B">
        <w:t xml:space="preserve">W związku z powyższym Trybunał odnotowuje, że w marcu 2011 r. skarżący był ścigany za uczestnictwo w przestępczości zorganizowanej; pomocnictwo w nadużywaniu uprawnień publicznych; współuczestnictwo w nielegalnym wywieraniu wpływu na przetargi publiczne oraz procedury zamówień publicznych; oraz pomocnictwo w naruszaniu wiążących zasad regulujących stosunki gospodarcze (zob. paragraf </w:t>
      </w:r>
      <w:r w:rsidR="00307B53">
        <w:t xml:space="preserve">22 </w:t>
      </w:r>
      <w:r w:rsidR="00DC164B">
        <w:t>powyżej). Stwierdza, że zrozumiałe</w:t>
      </w:r>
      <w:r w:rsidR="00137705" w:rsidRPr="00137705">
        <w:t xml:space="preserve"> </w:t>
      </w:r>
      <w:r w:rsidR="00137705">
        <w:t>jest</w:t>
      </w:r>
      <w:r w:rsidR="00DC164B">
        <w:t>, że jeśli istnieją takie podejrzenia, władze uznają za</w:t>
      </w:r>
      <w:r w:rsidR="00C0322D">
        <w:t> </w:t>
      </w:r>
      <w:r w:rsidR="00DC164B">
        <w:t xml:space="preserve">konieczne podjąć pilne działania bez oczekiwania na wynik śledztwa karnego, </w:t>
      </w:r>
      <w:r w:rsidR="00137705">
        <w:t>zapobiegając ujawnieniu</w:t>
      </w:r>
      <w:r w:rsidR="00DC164B">
        <w:t>, na wczesnym etapie, podejrzeń dotyczących danej osoby, co mogłoby spowodować ryzyko matactwa w</w:t>
      </w:r>
      <w:r w:rsidR="00C0322D">
        <w:t> </w:t>
      </w:r>
      <w:r w:rsidR="00DC164B">
        <w:t>śledztwie karnym.</w:t>
      </w:r>
    </w:p>
    <w:p w14:paraId="231E03F2" w14:textId="529D8C9A" w:rsidR="00DC164B" w:rsidRPr="00D83EBC" w:rsidRDefault="00425781" w:rsidP="00D83EBC">
      <w:pPr>
        <w:pStyle w:val="ECHRPara"/>
      </w:pPr>
      <w:r>
        <w:t>158</w:t>
      </w:r>
      <w:r w:rsidR="00DC164B">
        <w:t>.</w:t>
      </w:r>
      <w:r>
        <w:t xml:space="preserve"> </w:t>
      </w:r>
      <w:r w:rsidR="00DC164B">
        <w:t>Wydaje się ponadto, w świetle informacji znajdujących się w</w:t>
      </w:r>
      <w:r w:rsidR="00C0322D">
        <w:t> </w:t>
      </w:r>
      <w:r w:rsidR="00DC164B">
        <w:t>posiadaniu Trybunału, że sądy krajowe nie wykorzystały swojego uprawnienia do odtajnienia pewnych dokumentów. Wprawdzie zbadały dokumenty</w:t>
      </w:r>
      <w:r w:rsidR="00137705">
        <w:t xml:space="preserve"> niejawne</w:t>
      </w:r>
      <w:r w:rsidR="00DC164B">
        <w:t>, ale wyraźnie stwierdziły, że nie mogą one być ujawnione skarżącemu. Nie jest zatem możliwe, by Trybunał orzekł w</w:t>
      </w:r>
      <w:r w:rsidR="00C0322D">
        <w:t> </w:t>
      </w:r>
      <w:r w:rsidR="00DC164B">
        <w:t xml:space="preserve">sprawie dogłębności kontroli przeprowadzonej przez sądy krajowe. </w:t>
      </w:r>
      <w:r w:rsidR="00137705">
        <w:t>W</w:t>
      </w:r>
      <w:r w:rsidR="00C0322D">
        <w:t> </w:t>
      </w:r>
      <w:r w:rsidR="00137705">
        <w:t>tym aspekcie n</w:t>
      </w:r>
      <w:r w:rsidR="00DC164B">
        <w:t xml:space="preserve">ie przeprowadziły </w:t>
      </w:r>
      <w:r w:rsidR="00477006">
        <w:t xml:space="preserve">one </w:t>
      </w:r>
      <w:r w:rsidR="00DC164B">
        <w:t xml:space="preserve">rozróżnienia </w:t>
      </w:r>
      <w:r w:rsidR="00137705">
        <w:t>dotyczącego</w:t>
      </w:r>
      <w:r w:rsidR="00DC164B">
        <w:t xml:space="preserve"> poziomu </w:t>
      </w:r>
      <w:r w:rsidR="00137705">
        <w:t>tajności</w:t>
      </w:r>
      <w:r w:rsidR="00DC164B">
        <w:t xml:space="preserve"> – </w:t>
      </w:r>
      <w:r w:rsidR="00137705">
        <w:t>poufne</w:t>
      </w:r>
      <w:r w:rsidR="00DC164B">
        <w:t xml:space="preserve">, tajne, ściśle tajne – </w:t>
      </w:r>
      <w:r w:rsidR="00137705">
        <w:t xml:space="preserve">przedstawionych </w:t>
      </w:r>
      <w:r w:rsidR="00DC164B">
        <w:t xml:space="preserve">dokumentów, jako że Najwyższy Sąd Administracyjny wyraźnie stwierdził (odrzucając zatem zarzut podniesiony przez skarżącego), że poziom </w:t>
      </w:r>
      <w:r w:rsidR="00137705">
        <w:t xml:space="preserve">tajności </w:t>
      </w:r>
      <w:r w:rsidR="00DC164B">
        <w:t xml:space="preserve">był nieistotny, </w:t>
      </w:r>
      <w:r w:rsidR="00392EB8">
        <w:t>ponieważ</w:t>
      </w:r>
      <w:r w:rsidR="00DC164B">
        <w:t xml:space="preserve"> dotyczył zakresu i dogłębności kontroli przeprowadzanej przez sąd. </w:t>
      </w:r>
      <w:r w:rsidR="00E20325">
        <w:t>M</w:t>
      </w:r>
      <w:r w:rsidR="00DC164B">
        <w:t xml:space="preserve">ając </w:t>
      </w:r>
      <w:r w:rsidR="00E20325">
        <w:t xml:space="preserve">jednak </w:t>
      </w:r>
      <w:r w:rsidR="00DC164B">
        <w:t>na uwadze tajność dokumentów</w:t>
      </w:r>
      <w:r w:rsidR="00E20325">
        <w:t>, uznanych za takie</w:t>
      </w:r>
      <w:r w:rsidR="00137705">
        <w:t xml:space="preserve"> przez </w:t>
      </w:r>
      <w:r w:rsidR="00DC164B">
        <w:t xml:space="preserve">różne organy sądowe badające sprawę, </w:t>
      </w:r>
      <w:r w:rsidR="00E20325">
        <w:t xml:space="preserve">nie </w:t>
      </w:r>
      <w:r w:rsidR="00DC164B">
        <w:t>mogły one w swoich</w:t>
      </w:r>
      <w:r w:rsidR="00E20325">
        <w:t xml:space="preserve"> </w:t>
      </w:r>
      <w:r w:rsidR="00E20325">
        <w:lastRenderedPageBreak/>
        <w:t>orzeczeniach</w:t>
      </w:r>
      <w:r w:rsidR="00DC164B">
        <w:t xml:space="preserve"> szczegółowo wyjaśnić zakres</w:t>
      </w:r>
      <w:r w:rsidR="00E20325">
        <w:t>u</w:t>
      </w:r>
      <w:r w:rsidR="00137705">
        <w:t xml:space="preserve"> przeprowadzonej przez nie</w:t>
      </w:r>
      <w:r w:rsidR="003C1B1C">
        <w:t> </w:t>
      </w:r>
      <w:r w:rsidR="00137705">
        <w:t xml:space="preserve">kontroli </w:t>
      </w:r>
      <w:r w:rsidR="00DC164B">
        <w:t xml:space="preserve">bez naruszania tajności informacji </w:t>
      </w:r>
      <w:r w:rsidR="00E20325">
        <w:t xml:space="preserve">będących </w:t>
      </w:r>
      <w:r w:rsidR="00DC164B">
        <w:t>w ich posiadaniu.</w:t>
      </w:r>
    </w:p>
    <w:p w14:paraId="518A1C2D" w14:textId="1916E191" w:rsidR="00DC164B" w:rsidRPr="00D83EBC" w:rsidRDefault="00425781" w:rsidP="00D83EBC">
      <w:pPr>
        <w:pStyle w:val="ECHRPara"/>
        <w:rPr>
          <w:rFonts w:eastAsia="Times New Roman"/>
        </w:rPr>
      </w:pPr>
      <w:r>
        <w:t>159</w:t>
      </w:r>
      <w:r w:rsidR="00DC164B">
        <w:t>.</w:t>
      </w:r>
      <w:r>
        <w:t xml:space="preserve"> </w:t>
      </w:r>
      <w:r w:rsidR="00DC164B">
        <w:t>Trybunał uznaje, że raport służb wywiadowczych, który posłużył za</w:t>
      </w:r>
      <w:r w:rsidR="00C0322D">
        <w:t> </w:t>
      </w:r>
      <w:r w:rsidR="00DC164B">
        <w:t xml:space="preserve">podstawę dla decyzji o cofnięciu poświadczenia bezpieczeństwa skarżącego, został </w:t>
      </w:r>
      <w:r w:rsidR="00137705">
        <w:t>opatrzony najniższą klauzulą</w:t>
      </w:r>
      <w:r w:rsidR="00DC164B">
        <w:t xml:space="preserve"> tajności, tj.</w:t>
      </w:r>
      <w:r w:rsidR="00137705">
        <w:t xml:space="preserve"> klauzulą</w:t>
      </w:r>
      <w:r w:rsidR="00DC164B">
        <w:t xml:space="preserve"> „zastrzeżone” (zob.</w:t>
      </w:r>
      <w:r w:rsidR="00C0322D">
        <w:t> </w:t>
      </w:r>
      <w:r w:rsidR="00DC164B">
        <w:t xml:space="preserve">paragrafy </w:t>
      </w:r>
      <w:r w:rsidR="00307B53">
        <w:t>15</w:t>
      </w:r>
      <w:r w:rsidR="00DC164B">
        <w:t xml:space="preserve"> i </w:t>
      </w:r>
      <w:r w:rsidR="00307B53">
        <w:t>38</w:t>
      </w:r>
      <w:r w:rsidR="00DC164B">
        <w:t xml:space="preserve"> powyżej). Jednakże uważa, że fakt ten nie pozbawił władz </w:t>
      </w:r>
      <w:r w:rsidR="00137705">
        <w:t xml:space="preserve">czeskich </w:t>
      </w:r>
      <w:r w:rsidR="00DC164B">
        <w:t>prawa</w:t>
      </w:r>
      <w:r w:rsidR="00137705">
        <w:t xml:space="preserve"> do nieujawniania </w:t>
      </w:r>
      <w:r w:rsidR="00DC164B">
        <w:t>treści skarżącemu. Z</w:t>
      </w:r>
      <w:r w:rsidR="003C1B1C">
        <w:t> </w:t>
      </w:r>
      <w:r w:rsidR="00DC164B">
        <w:t>orzecznictwa Najwyższego Sądu Administracyjnego wynika, choć pochodzi ono z</w:t>
      </w:r>
      <w:r w:rsidR="00C0322D">
        <w:t> </w:t>
      </w:r>
      <w:r w:rsidR="00DC164B">
        <w:t xml:space="preserve">czasów późniejszych niż wyrok w przedmiotowej sprawie (zob. paragraf </w:t>
      </w:r>
      <w:r w:rsidR="00307B53">
        <w:t>65</w:t>
      </w:r>
      <w:r w:rsidR="00DC164B">
        <w:t xml:space="preserve"> powyżej), że wbrew </w:t>
      </w:r>
      <w:r w:rsidR="00D307D5">
        <w:t>twierdzeniu</w:t>
      </w:r>
      <w:r w:rsidR="00DC164B">
        <w:t xml:space="preserve"> skarżącego </w:t>
      </w:r>
      <w:r w:rsidR="00897F4A">
        <w:t xml:space="preserve">ustawa </w:t>
      </w:r>
      <w:r w:rsidR="00DC164B">
        <w:t>nr</w:t>
      </w:r>
      <w:r w:rsidR="003C1B1C">
        <w:t> </w:t>
      </w:r>
      <w:r w:rsidR="00DC164B">
        <w:t>412/2005, a</w:t>
      </w:r>
      <w:r w:rsidR="00C0322D">
        <w:t> </w:t>
      </w:r>
      <w:r w:rsidR="00DC164B">
        <w:t>w</w:t>
      </w:r>
      <w:r w:rsidR="00C0322D">
        <w:t> </w:t>
      </w:r>
      <w:r w:rsidR="00DC164B">
        <w:t xml:space="preserve">szczególności art. 133 ust. 3 </w:t>
      </w:r>
      <w:r w:rsidR="00897F4A">
        <w:t>ustawy</w:t>
      </w:r>
      <w:r w:rsidR="00DC164B">
        <w:t>, ma zastosowanie do</w:t>
      </w:r>
      <w:r w:rsidR="003C1B1C">
        <w:t> </w:t>
      </w:r>
      <w:r w:rsidR="00DC164B">
        <w:t>wszelkich informacji sklasyfikowanych jako poufne i nie jest ograniczona do danych o</w:t>
      </w:r>
      <w:r w:rsidR="00C0322D">
        <w:t> </w:t>
      </w:r>
      <w:r w:rsidR="00DC164B">
        <w:t xml:space="preserve">wyższym poziomie tajności. </w:t>
      </w:r>
      <w:r w:rsidR="00D307D5">
        <w:t>W związku z</w:t>
      </w:r>
      <w:r w:rsidR="003C1B1C">
        <w:t> </w:t>
      </w:r>
      <w:r w:rsidR="00D307D5">
        <w:t>powyższym</w:t>
      </w:r>
      <w:r w:rsidR="00DC164B">
        <w:t xml:space="preserve"> zastosowanie art.</w:t>
      </w:r>
      <w:r w:rsidR="00C0322D">
        <w:t> </w:t>
      </w:r>
      <w:r w:rsidR="00DC164B">
        <w:t xml:space="preserve">133 ust. 3 </w:t>
      </w:r>
      <w:r w:rsidR="00897F4A">
        <w:t xml:space="preserve">ustawy </w:t>
      </w:r>
      <w:r w:rsidR="00DC164B">
        <w:t>nr 412/2005 przez sądy krajowe nie wydaje się arbitralne lub wyraźnie nieuzasadnione.</w:t>
      </w:r>
    </w:p>
    <w:p w14:paraId="3A67CC34" w14:textId="23F1E4F8" w:rsidR="00DC164B" w:rsidRPr="00D83EBC" w:rsidRDefault="00425781" w:rsidP="00D83EBC">
      <w:pPr>
        <w:pStyle w:val="ECHRPara"/>
      </w:pPr>
      <w:r>
        <w:t>160</w:t>
      </w:r>
      <w:r w:rsidR="00DC164B">
        <w:t>.</w:t>
      </w:r>
      <w:r>
        <w:t xml:space="preserve"> </w:t>
      </w:r>
      <w:r w:rsidR="00DC164B">
        <w:t>Niezależnie od powyższego byłoby pożądane – w zakresie zgodnym z zachowaniem tajności i właściwym prowadzeniem śledztw dotyczących skarżącego – by władze krajowe, a przynajmniej Najwyższy Sąd Administracyjny, wyjaśniły, nawet jeśli tylko skrótowo, zakres kontroli, jaką przeprowadziły</w:t>
      </w:r>
      <w:r w:rsidR="00E20325">
        <w:t>,</w:t>
      </w:r>
      <w:r w:rsidR="00DC164B">
        <w:t xml:space="preserve"> oraz zarzuty przeciwko skarżącemu. W tym względzie Trybunał odnotowuje z zadowoleniem pozytywny kierunek zmian w</w:t>
      </w:r>
      <w:r w:rsidR="00C0322D">
        <w:t> </w:t>
      </w:r>
      <w:r w:rsidR="00DC164B">
        <w:t xml:space="preserve">orzecznictwie Najwyższego Sądu Administracyjnego (zob. paragrafy </w:t>
      </w:r>
      <w:r w:rsidR="00307B53">
        <w:t>63</w:t>
      </w:r>
      <w:r w:rsidR="00DC164B">
        <w:t>-</w:t>
      </w:r>
      <w:r w:rsidR="00307B53">
        <w:t>64</w:t>
      </w:r>
      <w:r w:rsidR="00DC164B">
        <w:t xml:space="preserve"> powyżej).</w:t>
      </w:r>
    </w:p>
    <w:p w14:paraId="3B11C946" w14:textId="4A3E6FB3" w:rsidR="00DC164B" w:rsidRPr="00D83EBC" w:rsidRDefault="00425781" w:rsidP="00D83EBC">
      <w:pPr>
        <w:pStyle w:val="ECHRPara"/>
      </w:pPr>
      <w:r>
        <w:t>161</w:t>
      </w:r>
      <w:r w:rsidR="00DC164B">
        <w:t>.</w:t>
      </w:r>
      <w:r>
        <w:t xml:space="preserve"> </w:t>
      </w:r>
      <w:r w:rsidR="00DC164B">
        <w:t>Mając na uwadze postępowanie jako całość, charakter sporu i</w:t>
      </w:r>
      <w:r w:rsidR="00C0322D">
        <w:t> </w:t>
      </w:r>
      <w:r w:rsidR="00DC164B">
        <w:t xml:space="preserve">margines </w:t>
      </w:r>
      <w:r w:rsidR="009B5A5E">
        <w:t>oceny</w:t>
      </w:r>
      <w:r w:rsidR="00DC164B">
        <w:t xml:space="preserve">, z </w:t>
      </w:r>
      <w:r w:rsidR="00E20325">
        <w:t>jakiego</w:t>
      </w:r>
      <w:r w:rsidR="00DC164B">
        <w:t xml:space="preserve"> korzystają władze krajowe, Trybunał uznaje, że</w:t>
      </w:r>
      <w:r w:rsidR="00C0322D">
        <w:t> </w:t>
      </w:r>
      <w:r w:rsidR="00DC164B">
        <w:t xml:space="preserve">obostrzenia ograniczające </w:t>
      </w:r>
      <w:r w:rsidR="00E20325">
        <w:t xml:space="preserve">korzystanie przez </w:t>
      </w:r>
      <w:r w:rsidR="00DC164B">
        <w:t xml:space="preserve">skarżącego z praw przysługujących mu </w:t>
      </w:r>
      <w:r w:rsidR="00E20325">
        <w:t>zgodnie z zasadą</w:t>
      </w:r>
      <w:r w:rsidR="00DC164B">
        <w:t xml:space="preserve"> postępowania kontradyktoryjnego oraz równości stron </w:t>
      </w:r>
      <w:r w:rsidR="00E20325">
        <w:t xml:space="preserve">zostały </w:t>
      </w:r>
      <w:r w:rsidR="00DC164B">
        <w:t xml:space="preserve">zrównoważone w taki sposób, iż </w:t>
      </w:r>
      <w:r w:rsidR="00E20325">
        <w:t xml:space="preserve">nie została zachwiana </w:t>
      </w:r>
      <w:r w:rsidR="00DC164B">
        <w:t xml:space="preserve">sprawiedliwa równowaga pomiędzy stronami w takim zakresie, by zakłócić istotę prawa skarżącego do </w:t>
      </w:r>
      <w:r w:rsidR="00E20325">
        <w:t xml:space="preserve">rzetelnego </w:t>
      </w:r>
      <w:r w:rsidR="00DC164B">
        <w:t>procesu.</w:t>
      </w:r>
    </w:p>
    <w:p w14:paraId="346348DD" w14:textId="4644D13C" w:rsidR="00DC164B" w:rsidRPr="00FB770D" w:rsidRDefault="00425781" w:rsidP="00D83EBC">
      <w:pPr>
        <w:pStyle w:val="ECHRPara"/>
      </w:pPr>
      <w:r>
        <w:t>162</w:t>
      </w:r>
      <w:r w:rsidR="00DC164B">
        <w:t>.</w:t>
      </w:r>
      <w:r>
        <w:t xml:space="preserve"> </w:t>
      </w:r>
      <w:r w:rsidR="00DC164B">
        <w:t>A zatem nie doszło do naruszenia art. 6 ust. 1 Konwencji.</w:t>
      </w:r>
    </w:p>
    <w:p w14:paraId="5FEF163B" w14:textId="77777777" w:rsidR="00DC164B" w:rsidRPr="00D83EBC" w:rsidRDefault="00DC164B" w:rsidP="00D83EBC">
      <w:pPr>
        <w:pStyle w:val="ECHRTitle1"/>
        <w:spacing w:before="480"/>
      </w:pPr>
      <w:r>
        <w:t>Z TYCH PRZYCZYN TRYBUNAŁ</w:t>
      </w:r>
    </w:p>
    <w:p w14:paraId="7234CE5D" w14:textId="1A534761" w:rsidR="00DC164B" w:rsidRPr="00D83EBC" w:rsidRDefault="00DC164B" w:rsidP="00D83EBC">
      <w:pPr>
        <w:pStyle w:val="JuList"/>
      </w:pPr>
      <w:r>
        <w:t>1.</w:t>
      </w:r>
      <w:r w:rsidR="00425781">
        <w:t xml:space="preserve"> </w:t>
      </w:r>
      <w:r>
        <w:rPr>
          <w:i/>
          <w:iCs/>
        </w:rPr>
        <w:t>Oddala</w:t>
      </w:r>
      <w:r>
        <w:t>, stosunkiem głosów piętnastu do dwóch,</w:t>
      </w:r>
      <w:r w:rsidR="00425781">
        <w:t xml:space="preserve"> </w:t>
      </w:r>
      <w:r>
        <w:t>wstępne zastrzeżenia podniesione przez Rząd;</w:t>
      </w:r>
    </w:p>
    <w:p w14:paraId="6EDDCC6E" w14:textId="77777777" w:rsidR="00DC164B" w:rsidRPr="00A031E9" w:rsidRDefault="00DC164B" w:rsidP="00D83EBC">
      <w:pPr>
        <w:pStyle w:val="JuList"/>
        <w:rPr>
          <w:i/>
          <w:iCs/>
        </w:rPr>
      </w:pPr>
    </w:p>
    <w:p w14:paraId="4DF88189" w14:textId="07E84C9E" w:rsidR="00DC164B" w:rsidRPr="00D83EBC" w:rsidRDefault="00DC164B" w:rsidP="00D83EBC">
      <w:pPr>
        <w:pStyle w:val="JuList"/>
      </w:pPr>
      <w:r>
        <w:t>2.</w:t>
      </w:r>
      <w:r w:rsidR="008A2E4B">
        <w:t xml:space="preserve"> </w:t>
      </w:r>
      <w:r w:rsidR="008A2E4B" w:rsidRPr="008A2E4B">
        <w:rPr>
          <w:i/>
        </w:rPr>
        <w:t>Orzeka</w:t>
      </w:r>
      <w:r>
        <w:t>, stosunkiem głosów dziesięciu do siedmiu, że nie doszło do</w:t>
      </w:r>
      <w:r w:rsidR="00C0322D">
        <w:t> </w:t>
      </w:r>
      <w:r>
        <w:t>naruszenia art. 6 ust. 1 Konwencji.</w:t>
      </w:r>
    </w:p>
    <w:p w14:paraId="518E3C0F" w14:textId="1DD83365" w:rsidR="00DC164B" w:rsidRPr="00D83EBC" w:rsidRDefault="00DC164B" w:rsidP="00D83EBC">
      <w:pPr>
        <w:pStyle w:val="JuParaLast"/>
      </w:pPr>
      <w:r>
        <w:lastRenderedPageBreak/>
        <w:t xml:space="preserve">Sporządzono w języku angielskim i francuskim oraz ogłoszono podczas rozprawy jawnej w </w:t>
      </w:r>
      <w:r w:rsidR="00262868">
        <w:t xml:space="preserve">Pałacu Praw Człowieka </w:t>
      </w:r>
      <w:r w:rsidR="006D1A82">
        <w:t>w</w:t>
      </w:r>
      <w:r w:rsidR="00C0322D">
        <w:t> </w:t>
      </w:r>
      <w:r>
        <w:t>Strasburg</w:t>
      </w:r>
      <w:r w:rsidR="006D1A82">
        <w:t>u</w:t>
      </w:r>
      <w:r>
        <w:t xml:space="preserve"> w dniu 19</w:t>
      </w:r>
      <w:r w:rsidR="003C1B1C">
        <w:t> </w:t>
      </w:r>
      <w:r>
        <w:t>września 2017 r.</w:t>
      </w:r>
    </w:p>
    <w:p w14:paraId="58A2FCBD" w14:textId="77777777" w:rsidR="00DC164B" w:rsidRPr="00D83EBC" w:rsidRDefault="00DC164B" w:rsidP="00D83EBC">
      <w:pPr>
        <w:pStyle w:val="JuSigned"/>
        <w:spacing w:before="480"/>
      </w:pPr>
      <w:r>
        <w:t xml:space="preserve"> </w:t>
      </w:r>
      <w:r>
        <w:tab/>
        <w:t>Johan Callewaert</w:t>
      </w:r>
      <w:r>
        <w:tab/>
        <w:t>Guido Raimondi</w:t>
      </w:r>
      <w:r>
        <w:br/>
      </w:r>
      <w:r>
        <w:tab/>
        <w:t>Zastępca Kanclerza</w:t>
      </w:r>
      <w:r>
        <w:tab/>
        <w:t>Przewodniczący</w:t>
      </w:r>
    </w:p>
    <w:p w14:paraId="7FC6D112" w14:textId="39A60A5C" w:rsidR="00DC164B" w:rsidRPr="00D83EBC" w:rsidRDefault="00DC164B" w:rsidP="00D83EBC">
      <w:pPr>
        <w:pStyle w:val="JuParaLast"/>
      </w:pPr>
      <w:r>
        <w:t xml:space="preserve">Zgodnie z </w:t>
      </w:r>
      <w:r w:rsidR="00307B53">
        <w:t>art.</w:t>
      </w:r>
      <w:r>
        <w:t xml:space="preserve"> 45 </w:t>
      </w:r>
      <w:r w:rsidR="00307B53">
        <w:t>ust.</w:t>
      </w:r>
      <w:r>
        <w:t xml:space="preserve"> 2 Konwencji i </w:t>
      </w:r>
      <w:r w:rsidR="00307B53">
        <w:t>Regułą</w:t>
      </w:r>
      <w:r>
        <w:t xml:space="preserve"> 74 § 2 Regulaminu Trybunału, następujące opinie odrębne zostały załączone do niniejszego wyroku:</w:t>
      </w:r>
    </w:p>
    <w:p w14:paraId="094FADC2" w14:textId="31E83CB8" w:rsidR="00DC164B" w:rsidRPr="00FB770D" w:rsidRDefault="00DC164B" w:rsidP="00D83EBC">
      <w:pPr>
        <w:pStyle w:val="ECHRPara"/>
      </w:pPr>
      <w:r>
        <w:t>(a)</w:t>
      </w:r>
      <w:r w:rsidR="00425781">
        <w:t xml:space="preserve"> </w:t>
      </w:r>
      <w:r w:rsidR="00FB12A1">
        <w:t>Z</w:t>
      </w:r>
      <w:r>
        <w:t xml:space="preserve">godna </w:t>
      </w:r>
      <w:r w:rsidR="00FB12A1">
        <w:t xml:space="preserve">opinia odrębna </w:t>
      </w:r>
      <w:r>
        <w:t>sędziego Wojtyczka;</w:t>
      </w:r>
    </w:p>
    <w:p w14:paraId="50C995A9" w14:textId="356E3BC1" w:rsidR="00DC164B" w:rsidRPr="00FB770D" w:rsidRDefault="00DC164B" w:rsidP="00D83EBC">
      <w:pPr>
        <w:pStyle w:val="ECHRPara"/>
      </w:pPr>
      <w:r>
        <w:t>(b)</w:t>
      </w:r>
      <w:r w:rsidR="00425781">
        <w:t xml:space="preserve"> </w:t>
      </w:r>
      <w:r>
        <w:t xml:space="preserve">Wspólna </w:t>
      </w:r>
      <w:r w:rsidR="00FB12A1">
        <w:t xml:space="preserve">częściowo rozbieżna </w:t>
      </w:r>
      <w:r>
        <w:t>opinia odrębna sędziów: Raimondiego, Sicilianosa, Spano, Ravaraniego i Pastora Vilanovy;</w:t>
      </w:r>
    </w:p>
    <w:p w14:paraId="607F5859" w14:textId="081036CC" w:rsidR="00DC164B" w:rsidRPr="00FB770D" w:rsidRDefault="00DC164B" w:rsidP="00D83EBC">
      <w:pPr>
        <w:pStyle w:val="ECHRPara"/>
      </w:pPr>
      <w:r>
        <w:t>(c)</w:t>
      </w:r>
      <w:r w:rsidR="00425781">
        <w:t xml:space="preserve"> </w:t>
      </w:r>
      <w:r>
        <w:t xml:space="preserve">Wspólna częściowo </w:t>
      </w:r>
      <w:r w:rsidR="00FB12A1">
        <w:t xml:space="preserve">rozbieżna </w:t>
      </w:r>
      <w:r>
        <w:t xml:space="preserve">opinia </w:t>
      </w:r>
      <w:r w:rsidR="00FB12A1">
        <w:t xml:space="preserve">odrębna </w:t>
      </w:r>
      <w:r>
        <w:t>sędziów: Lazarovej Trajkovskiej i Lópeza Guerry;</w:t>
      </w:r>
    </w:p>
    <w:p w14:paraId="106D3403" w14:textId="7D417CB2" w:rsidR="00DC164B" w:rsidRPr="00FB770D" w:rsidRDefault="00DC164B" w:rsidP="00D83EBC">
      <w:pPr>
        <w:pStyle w:val="ECHRPara"/>
      </w:pPr>
      <w:r>
        <w:t>(d)</w:t>
      </w:r>
      <w:r w:rsidR="00425781">
        <w:t xml:space="preserve"> </w:t>
      </w:r>
      <w:r>
        <w:t xml:space="preserve">Częściowo </w:t>
      </w:r>
      <w:r w:rsidR="00FB12A1">
        <w:t xml:space="preserve">rozbieżna </w:t>
      </w:r>
      <w:r>
        <w:t xml:space="preserve">opinia </w:t>
      </w:r>
      <w:r w:rsidR="00FB12A1">
        <w:t xml:space="preserve">odrębna </w:t>
      </w:r>
      <w:r>
        <w:t>sędziego Serghidesa;</w:t>
      </w:r>
    </w:p>
    <w:p w14:paraId="48711D39" w14:textId="5459AA2E" w:rsidR="00DC164B" w:rsidRPr="00FB770D" w:rsidRDefault="00DC164B" w:rsidP="00D83EBC">
      <w:pPr>
        <w:pStyle w:val="ECHRPara"/>
      </w:pPr>
      <w:r>
        <w:t>(d)</w:t>
      </w:r>
      <w:r w:rsidR="00425781">
        <w:t xml:space="preserve"> </w:t>
      </w:r>
      <w:r w:rsidR="00FB12A1">
        <w:t>Rozbieżna o</w:t>
      </w:r>
      <w:r>
        <w:t>pinia odrębna sędziego Sajó.</w:t>
      </w:r>
    </w:p>
    <w:p w14:paraId="367AEE25" w14:textId="77777777" w:rsidR="00DC164B" w:rsidRDefault="00DC164B" w:rsidP="00D83EBC">
      <w:pPr>
        <w:pStyle w:val="JuInitialled"/>
        <w:spacing w:before="240"/>
      </w:pPr>
      <w:r>
        <w:t>G.R.</w:t>
      </w:r>
      <w:r>
        <w:br/>
        <w:t>J.C.</w:t>
      </w:r>
    </w:p>
    <w:p w14:paraId="250EE480" w14:textId="77777777" w:rsidR="00DC164B" w:rsidRPr="008F56D3" w:rsidRDefault="00DC164B" w:rsidP="00B22B69">
      <w:pPr>
        <w:pStyle w:val="JuInitialled"/>
        <w:spacing w:before="240"/>
        <w:jc w:val="center"/>
        <w:rPr>
          <w:i/>
          <w:iCs/>
        </w:rPr>
      </w:pPr>
      <w:r>
        <w:rPr>
          <w:i/>
          <w:iCs/>
        </w:rPr>
        <w:t>[Opinie odrębne zostały pominięte w niniejszym tłumaczeniu]</w:t>
      </w:r>
    </w:p>
    <w:p w14:paraId="4760BAEC" w14:textId="77777777" w:rsidR="00DC164B" w:rsidRPr="00D83EBC" w:rsidRDefault="00DC164B" w:rsidP="00B22B69">
      <w:pPr>
        <w:pStyle w:val="OpiPara"/>
        <w:ind w:firstLine="0"/>
        <w:jc w:val="center"/>
        <w:rPr>
          <w:rFonts w:eastAsia="Times New Roman"/>
        </w:rPr>
      </w:pPr>
    </w:p>
    <w:sectPr w:rsidR="00DC164B" w:rsidRPr="00D83EBC" w:rsidSect="00987980">
      <w:headerReference w:type="even" r:id="rId15"/>
      <w:headerReference w:type="default" r:id="rId16"/>
      <w:footnotePr>
        <w:numRestart w:val="eachSect"/>
      </w:footnotePr>
      <w:pgSz w:w="11906" w:h="16838" w:code="9"/>
      <w:pgMar w:top="2274" w:right="2274" w:bottom="2274" w:left="2274" w:header="1701"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2FB6A" w14:textId="77777777" w:rsidR="008E638D" w:rsidRPr="009E0462" w:rsidRDefault="008E638D" w:rsidP="00DC4033">
      <w:pPr>
        <w:rPr>
          <w:lang w:val="en-GB"/>
        </w:rPr>
      </w:pPr>
      <w:r w:rsidRPr="009E0462">
        <w:rPr>
          <w:lang w:val="en-GB"/>
        </w:rPr>
        <w:separator/>
      </w:r>
    </w:p>
  </w:endnote>
  <w:endnote w:type="continuationSeparator" w:id="0">
    <w:p w14:paraId="0CECD7C3" w14:textId="77777777" w:rsidR="008E638D" w:rsidRPr="009E0462" w:rsidRDefault="008E638D" w:rsidP="00DC4033">
      <w:pPr>
        <w:rPr>
          <w:lang w:val="en-GB"/>
        </w:rPr>
      </w:pPr>
      <w:r w:rsidRPr="009E0462">
        <w:rPr>
          <w:lang w:val="en-GB"/>
        </w:rPr>
        <w:continuationSeparator/>
      </w:r>
    </w:p>
  </w:endnote>
  <w:endnote w:type="continuationNotice" w:id="1">
    <w:p w14:paraId="1ED73FE6" w14:textId="77777777" w:rsidR="008E638D" w:rsidRDefault="008E63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MS Gothic">
    <w:altName w:val="?l?r SVbN"/>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A74E2" w14:textId="77777777" w:rsidR="00D06226" w:rsidRDefault="00D0622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C5733" w14:textId="237E667B" w:rsidR="00257F8A" w:rsidRPr="00150BFA" w:rsidRDefault="00257F8A" w:rsidP="00E82343">
    <w:pPr>
      <w:jc w:val="center"/>
    </w:pPr>
  </w:p>
  <w:p w14:paraId="4DBA0EA7" w14:textId="77777777" w:rsidR="00257F8A" w:rsidRPr="00A737D1" w:rsidRDefault="00257F8A" w:rsidP="00A737D1">
    <w:pPr>
      <w:pStyle w:val="Stopka"/>
      <w:jc w:val="center"/>
      <w:rPr>
        <w:sz w:val="4"/>
        <w:szCs w:val="4"/>
        <w:lang w:val="en-GB" w:eastAsia="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5487D" w14:textId="77777777" w:rsidR="00257F8A" w:rsidRDefault="00257F8A" w:rsidP="008D2ECE">
    <w:pPr>
      <w:pStyle w:val="Stopka"/>
      <w:jc w:val="center"/>
    </w:pPr>
    <w:r>
      <w:rPr>
        <w:noProof/>
      </w:rPr>
      <w:drawing>
        <wp:inline distT="0" distB="0" distL="0" distR="0" wp14:anchorId="18A0EA77" wp14:editId="704FA1B5">
          <wp:extent cx="762000" cy="617220"/>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172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35379" w14:textId="77777777" w:rsidR="008E638D" w:rsidRPr="009E0462" w:rsidRDefault="008E638D" w:rsidP="00DC4033">
      <w:pPr>
        <w:rPr>
          <w:lang w:val="en-GB"/>
        </w:rPr>
      </w:pPr>
      <w:r w:rsidRPr="009E0462">
        <w:rPr>
          <w:lang w:val="en-GB"/>
        </w:rPr>
        <w:separator/>
      </w:r>
    </w:p>
  </w:footnote>
  <w:footnote w:type="continuationSeparator" w:id="0">
    <w:p w14:paraId="030612CB" w14:textId="77777777" w:rsidR="008E638D" w:rsidRPr="009E0462" w:rsidRDefault="008E638D" w:rsidP="00DC4033">
      <w:pPr>
        <w:rPr>
          <w:lang w:val="en-GB"/>
        </w:rPr>
      </w:pPr>
      <w:r w:rsidRPr="009E0462">
        <w:rPr>
          <w:lang w:val="en-GB"/>
        </w:rPr>
        <w:continuationSeparator/>
      </w:r>
    </w:p>
  </w:footnote>
  <w:footnote w:type="continuationNotice" w:id="1">
    <w:p w14:paraId="2898CAB2" w14:textId="77777777" w:rsidR="008E638D" w:rsidRDefault="008E638D"/>
  </w:footnote>
  <w:footnote w:id="2">
    <w:p w14:paraId="64EFC0F4" w14:textId="77777777" w:rsidR="00257F8A" w:rsidRPr="00425781" w:rsidRDefault="00257F8A" w:rsidP="001E7FA6">
      <w:pPr>
        <w:pStyle w:val="s50c0b1c7"/>
        <w:jc w:val="both"/>
        <w:rPr>
          <w:lang w:val="en-GB"/>
        </w:rPr>
      </w:pPr>
      <w:r>
        <w:rPr>
          <w:rStyle w:val="Odwoanieprzypisudolnego"/>
          <w:sz w:val="20"/>
          <w:szCs w:val="20"/>
        </w:rPr>
        <w:footnoteRef/>
      </w:r>
      <w:r>
        <w:t xml:space="preserve"> </w:t>
      </w:r>
      <w:r>
        <w:rPr>
          <w:sz w:val="20"/>
          <w:szCs w:val="20"/>
        </w:rPr>
        <w:t>Źródło: Nota informacyjna na temat orzecznictwa Trybunału nr 210, sierpień-wrzesień 2017 r. (</w:t>
      </w:r>
      <w:r>
        <w:rPr>
          <w:rStyle w:val="s3aeeab2"/>
          <w:i/>
          <w:iCs/>
          <w:sz w:val="20"/>
          <w:szCs w:val="20"/>
        </w:rPr>
        <w:t xml:space="preserve">Information Note 210. </w:t>
      </w:r>
      <w:r w:rsidRPr="00A031E9">
        <w:rPr>
          <w:rStyle w:val="s3aeeab2"/>
          <w:i/>
          <w:iCs/>
          <w:sz w:val="20"/>
          <w:szCs w:val="20"/>
          <w:lang w:val="en-GB"/>
        </w:rPr>
        <w:t>Case-law of the European Court of Human Rights, August-</w:t>
      </w:r>
      <w:r w:rsidRPr="00A031E9">
        <w:rPr>
          <w:rStyle w:val="sfbbfee58"/>
          <w:i/>
          <w:iCs/>
          <w:sz w:val="20"/>
          <w:szCs w:val="20"/>
          <w:lang w:val="en-GB"/>
        </w:rPr>
        <w:t>September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690FC" w14:textId="77777777" w:rsidR="00D06226" w:rsidRDefault="00D0622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7FC28" w14:textId="0EE287BF" w:rsidR="00257F8A" w:rsidRPr="00A45145" w:rsidRDefault="00257F8A" w:rsidP="00E82343">
    <w:pPr>
      <w:jc w:val="center"/>
    </w:pPr>
  </w:p>
  <w:p w14:paraId="4BD14546" w14:textId="77777777" w:rsidR="00257F8A" w:rsidRDefault="00257F8A" w:rsidP="00E8234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9B750" w14:textId="77777777" w:rsidR="00257F8A" w:rsidRDefault="00257F8A" w:rsidP="008D2ECE">
    <w:pPr>
      <w:pStyle w:val="Nagwek"/>
      <w:jc w:val="center"/>
    </w:pPr>
    <w:r>
      <w:rPr>
        <w:noProof/>
      </w:rPr>
      <w:drawing>
        <wp:inline distT="0" distB="0" distL="0" distR="0" wp14:anchorId="17C3CF48" wp14:editId="4DF3AF82">
          <wp:extent cx="2956560" cy="12192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6560" cy="12192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996C9" w14:textId="77777777" w:rsidR="00257F8A" w:rsidRPr="006A1F8B" w:rsidRDefault="00257F8A" w:rsidP="006A1F8B">
    <w:pPr>
      <w:pStyle w:val="ECHRHeader"/>
    </w:pPr>
    <w:r>
      <w:rPr>
        <w:rStyle w:val="Numerstrony"/>
      </w:rPr>
      <w:fldChar w:fldCharType="begin"/>
    </w:r>
    <w:r>
      <w:rPr>
        <w:rStyle w:val="Numerstrony"/>
      </w:rPr>
      <w:instrText xml:space="preserve"> PAGE </w:instrText>
    </w:r>
    <w:r>
      <w:rPr>
        <w:rStyle w:val="Numerstrony"/>
      </w:rPr>
      <w:fldChar w:fldCharType="separate"/>
    </w:r>
    <w:r w:rsidR="00E97F72">
      <w:rPr>
        <w:rStyle w:val="Numerstrony"/>
        <w:noProof/>
      </w:rPr>
      <w:t>2</w:t>
    </w:r>
    <w:r>
      <w:rPr>
        <w:rStyle w:val="Numerstrony"/>
      </w:rPr>
      <w:fldChar w:fldCharType="end"/>
    </w:r>
    <w:r>
      <w:tab/>
      <w:t>SPRAWA REGNER PRZECIWKO REPUBLICE CZESKIEJ</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FDC6A" w14:textId="77777777" w:rsidR="00257F8A" w:rsidRPr="00DC4033" w:rsidRDefault="00257F8A" w:rsidP="00DC4033">
    <w:pPr>
      <w:pStyle w:val="ECHRHeader"/>
    </w:pPr>
    <w:r>
      <w:tab/>
      <w:t>SPRAWA REGNER PRZECIWKO REPUBLICE CZESKIEJ</w:t>
    </w:r>
    <w:r>
      <w:tab/>
    </w:r>
    <w:r>
      <w:rPr>
        <w:rStyle w:val="Numerstrony"/>
      </w:rPr>
      <w:fldChar w:fldCharType="begin"/>
    </w:r>
    <w:r>
      <w:rPr>
        <w:rStyle w:val="Numerstrony"/>
      </w:rPr>
      <w:instrText xml:space="preserve"> PAGE </w:instrText>
    </w:r>
    <w:r>
      <w:rPr>
        <w:rStyle w:val="Numerstrony"/>
      </w:rPr>
      <w:fldChar w:fldCharType="separate"/>
    </w:r>
    <w:r w:rsidR="00E97F72">
      <w:rPr>
        <w:rStyle w:val="Numerstrony"/>
        <w:noProof/>
      </w:rPr>
      <w:t>3</w:t>
    </w:r>
    <w:r>
      <w:rPr>
        <w:rStyle w:val="Numerstrony"/>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2A0AE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74EE562"/>
    <w:lvl w:ilvl="0">
      <w:start w:val="1"/>
      <w:numFmt w:val="decimal"/>
      <w:pStyle w:val="Listanumerowana5"/>
      <w:lvlText w:val="%1."/>
      <w:lvlJc w:val="left"/>
      <w:pPr>
        <w:tabs>
          <w:tab w:val="num" w:pos="1209"/>
        </w:tabs>
        <w:ind w:left="1209" w:hanging="360"/>
      </w:pPr>
      <w:rPr>
        <w:rFonts w:cs="Times New Roman"/>
      </w:rPr>
    </w:lvl>
  </w:abstractNum>
  <w:abstractNum w:abstractNumId="2">
    <w:nsid w:val="FFFFFF7E"/>
    <w:multiLevelType w:val="singleLevel"/>
    <w:tmpl w:val="F8BE1DE4"/>
    <w:lvl w:ilvl="0">
      <w:start w:val="1"/>
      <w:numFmt w:val="decimal"/>
      <w:pStyle w:val="Listanumerowana4"/>
      <w:lvlText w:val="%1."/>
      <w:lvlJc w:val="left"/>
      <w:pPr>
        <w:tabs>
          <w:tab w:val="num" w:pos="926"/>
        </w:tabs>
        <w:ind w:left="926" w:hanging="360"/>
      </w:pPr>
      <w:rPr>
        <w:rFonts w:cs="Times New Roman"/>
      </w:rPr>
    </w:lvl>
  </w:abstractNum>
  <w:abstractNum w:abstractNumId="3">
    <w:nsid w:val="FFFFFF7F"/>
    <w:multiLevelType w:val="singleLevel"/>
    <w:tmpl w:val="D49C1F36"/>
    <w:lvl w:ilvl="0">
      <w:start w:val="1"/>
      <w:numFmt w:val="decimal"/>
      <w:pStyle w:val="Listanumerowana3"/>
      <w:lvlText w:val="%1."/>
      <w:lvlJc w:val="left"/>
      <w:pPr>
        <w:tabs>
          <w:tab w:val="num" w:pos="643"/>
        </w:tabs>
        <w:ind w:left="643" w:hanging="360"/>
      </w:pPr>
      <w:rPr>
        <w:rFonts w:cs="Times New Roman"/>
      </w:rPr>
    </w:lvl>
  </w:abstractNum>
  <w:abstractNum w:abstractNumId="4">
    <w:nsid w:val="FFFFFF80"/>
    <w:multiLevelType w:val="singleLevel"/>
    <w:tmpl w:val="80F83F58"/>
    <w:lvl w:ilvl="0">
      <w:start w:val="1"/>
      <w:numFmt w:val="bullet"/>
      <w:pStyle w:val="JuAppQuestion"/>
      <w:lvlText w:val=""/>
      <w:lvlJc w:val="left"/>
      <w:pPr>
        <w:tabs>
          <w:tab w:val="num" w:pos="1492"/>
        </w:tabs>
        <w:ind w:left="1492" w:hanging="360"/>
      </w:pPr>
      <w:rPr>
        <w:rFonts w:ascii="Symbol" w:hAnsi="Symbol" w:hint="default"/>
      </w:rPr>
    </w:lvl>
  </w:abstractNum>
  <w:abstractNum w:abstractNumId="5">
    <w:nsid w:val="FFFFFF81"/>
    <w:multiLevelType w:val="singleLevel"/>
    <w:tmpl w:val="6C348F8E"/>
    <w:lvl w:ilvl="0">
      <w:start w:val="1"/>
      <w:numFmt w:val="bullet"/>
      <w:pStyle w:val="Listapunktowana5"/>
      <w:lvlText w:val=""/>
      <w:lvlJc w:val="left"/>
      <w:pPr>
        <w:tabs>
          <w:tab w:val="num" w:pos="1209"/>
        </w:tabs>
        <w:ind w:left="1209" w:hanging="360"/>
      </w:pPr>
      <w:rPr>
        <w:rFonts w:ascii="Symbol" w:hAnsi="Symbol" w:hint="default"/>
      </w:rPr>
    </w:lvl>
  </w:abstractNum>
  <w:abstractNum w:abstractNumId="6">
    <w:nsid w:val="FFFFFF82"/>
    <w:multiLevelType w:val="singleLevel"/>
    <w:tmpl w:val="6B88B370"/>
    <w:lvl w:ilvl="0">
      <w:start w:val="1"/>
      <w:numFmt w:val="bullet"/>
      <w:pStyle w:val="Listapunktowana4"/>
      <w:lvlText w:val=""/>
      <w:lvlJc w:val="left"/>
      <w:pPr>
        <w:tabs>
          <w:tab w:val="num" w:pos="926"/>
        </w:tabs>
        <w:ind w:left="926" w:hanging="360"/>
      </w:pPr>
      <w:rPr>
        <w:rFonts w:ascii="Symbol" w:hAnsi="Symbol" w:hint="default"/>
      </w:rPr>
    </w:lvl>
  </w:abstractNum>
  <w:abstractNum w:abstractNumId="7">
    <w:nsid w:val="FFFFFF83"/>
    <w:multiLevelType w:val="singleLevel"/>
    <w:tmpl w:val="175C6674"/>
    <w:lvl w:ilvl="0">
      <w:start w:val="1"/>
      <w:numFmt w:val="bullet"/>
      <w:pStyle w:val="Listapunktowana3"/>
      <w:lvlText w:val=""/>
      <w:lvlJc w:val="left"/>
      <w:pPr>
        <w:tabs>
          <w:tab w:val="num" w:pos="643"/>
        </w:tabs>
        <w:ind w:left="643" w:hanging="360"/>
      </w:pPr>
      <w:rPr>
        <w:rFonts w:ascii="Symbol" w:hAnsi="Symbol" w:hint="default"/>
      </w:rPr>
    </w:lvl>
  </w:abstractNum>
  <w:abstractNum w:abstractNumId="8">
    <w:nsid w:val="FFFFFF88"/>
    <w:multiLevelType w:val="singleLevel"/>
    <w:tmpl w:val="BE56806E"/>
    <w:lvl w:ilvl="0">
      <w:start w:val="1"/>
      <w:numFmt w:val="decimal"/>
      <w:pStyle w:val="Listanumerowana2"/>
      <w:lvlText w:val="%1."/>
      <w:lvlJc w:val="left"/>
      <w:pPr>
        <w:tabs>
          <w:tab w:val="num" w:pos="360"/>
        </w:tabs>
        <w:ind w:left="360" w:hanging="360"/>
      </w:pPr>
      <w:rPr>
        <w:rFonts w:cs="Times New Roman"/>
      </w:rPr>
    </w:lvl>
  </w:abstractNum>
  <w:abstractNum w:abstractNumId="9">
    <w:nsid w:val="FFFFFF89"/>
    <w:multiLevelType w:val="singleLevel"/>
    <w:tmpl w:val="4C8291DE"/>
    <w:lvl w:ilvl="0">
      <w:start w:val="1"/>
      <w:numFmt w:val="bullet"/>
      <w:pStyle w:val="Listapunktowana2"/>
      <w:lvlText w:val=""/>
      <w:lvlJc w:val="left"/>
      <w:pPr>
        <w:tabs>
          <w:tab w:val="num" w:pos="360"/>
        </w:tabs>
        <w:ind w:left="360" w:hanging="360"/>
      </w:pPr>
      <w:rPr>
        <w:rFonts w:ascii="Symbol" w:hAnsi="Symbol" w:hint="default"/>
      </w:rPr>
    </w:lvl>
  </w:abstractNum>
  <w:abstractNum w:abstractNumId="10">
    <w:nsid w:val="13C355A7"/>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1E670677"/>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nsid w:val="39466D8E"/>
    <w:multiLevelType w:val="multilevel"/>
    <w:tmpl w:val="040C0023"/>
    <w:styleLink w:val="ArticleSection"/>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3">
    <w:nsid w:val="4B0D6912"/>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52316A4C"/>
    <w:multiLevelType w:val="multilevel"/>
    <w:tmpl w:val="040C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5B0221CF"/>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5B4C2A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E457A0"/>
    <w:multiLevelType w:val="multilevel"/>
    <w:tmpl w:val="040C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67FD1241"/>
    <w:multiLevelType w:val="hybridMultilevel"/>
    <w:tmpl w:val="F6D86CC2"/>
    <w:lvl w:ilvl="0" w:tplc="E4205412">
      <w:start w:val="1"/>
      <w:numFmt w:val="bullet"/>
      <w:pStyle w:val="Listapunktowana"/>
      <w:lvlText w:val=""/>
      <w:lvlJc w:val="left"/>
      <w:pPr>
        <w:tabs>
          <w:tab w:val="num" w:pos="851"/>
        </w:tabs>
        <w:ind w:left="568"/>
      </w:pPr>
      <w:rPr>
        <w:rFonts w:ascii="Wingdings" w:hAnsi="Wingdings" w:hint="default"/>
        <w:color w:val="808080"/>
        <w:sz w:val="16"/>
      </w:rPr>
    </w:lvl>
    <w:lvl w:ilvl="1" w:tplc="08090003">
      <w:start w:val="1"/>
      <w:numFmt w:val="bullet"/>
      <w:lvlText w:val="o"/>
      <w:lvlJc w:val="left"/>
      <w:pPr>
        <w:tabs>
          <w:tab w:val="num" w:pos="1724"/>
        </w:tabs>
        <w:ind w:left="1724" w:hanging="360"/>
      </w:pPr>
      <w:rPr>
        <w:rFonts w:ascii="Courier New" w:hAnsi="Courier New" w:hint="default"/>
      </w:rPr>
    </w:lvl>
    <w:lvl w:ilvl="2" w:tplc="08090005">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start w:val="1"/>
      <w:numFmt w:val="bullet"/>
      <w:lvlText w:val="o"/>
      <w:lvlJc w:val="left"/>
      <w:pPr>
        <w:tabs>
          <w:tab w:val="num" w:pos="3884"/>
        </w:tabs>
        <w:ind w:left="3884" w:hanging="360"/>
      </w:pPr>
      <w:rPr>
        <w:rFonts w:ascii="Courier New" w:hAnsi="Courier New" w:hint="default"/>
      </w:rPr>
    </w:lvl>
    <w:lvl w:ilvl="5" w:tplc="08090005">
      <w:start w:val="1"/>
      <w:numFmt w:val="bullet"/>
      <w:lvlText w:val=""/>
      <w:lvlJc w:val="left"/>
      <w:pPr>
        <w:tabs>
          <w:tab w:val="num" w:pos="4604"/>
        </w:tabs>
        <w:ind w:left="4604" w:hanging="360"/>
      </w:pPr>
      <w:rPr>
        <w:rFonts w:ascii="Wingdings" w:hAnsi="Wingdings" w:hint="default"/>
      </w:rPr>
    </w:lvl>
    <w:lvl w:ilvl="6" w:tplc="08090001">
      <w:start w:val="1"/>
      <w:numFmt w:val="bullet"/>
      <w:lvlText w:val=""/>
      <w:lvlJc w:val="left"/>
      <w:pPr>
        <w:tabs>
          <w:tab w:val="num" w:pos="5324"/>
        </w:tabs>
        <w:ind w:left="5324" w:hanging="360"/>
      </w:pPr>
      <w:rPr>
        <w:rFonts w:ascii="Symbol" w:hAnsi="Symbol" w:hint="default"/>
      </w:rPr>
    </w:lvl>
    <w:lvl w:ilvl="7" w:tplc="08090003">
      <w:start w:val="1"/>
      <w:numFmt w:val="bullet"/>
      <w:lvlText w:val="o"/>
      <w:lvlJc w:val="left"/>
      <w:pPr>
        <w:tabs>
          <w:tab w:val="num" w:pos="6044"/>
        </w:tabs>
        <w:ind w:left="6044" w:hanging="360"/>
      </w:pPr>
      <w:rPr>
        <w:rFonts w:ascii="Courier New" w:hAnsi="Courier New" w:hint="default"/>
      </w:rPr>
    </w:lvl>
    <w:lvl w:ilvl="8" w:tplc="08090005">
      <w:start w:val="1"/>
      <w:numFmt w:val="bullet"/>
      <w:lvlText w:val=""/>
      <w:lvlJc w:val="left"/>
      <w:pPr>
        <w:tabs>
          <w:tab w:val="num" w:pos="6764"/>
        </w:tabs>
        <w:ind w:left="6764" w:hanging="360"/>
      </w:pPr>
      <w:rPr>
        <w:rFonts w:ascii="Wingdings" w:hAnsi="Wingdings" w:hint="default"/>
      </w:rPr>
    </w:lvl>
  </w:abstractNum>
  <w:abstractNum w:abstractNumId="19">
    <w:nsid w:val="6C9028A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18"/>
  </w:num>
  <w:num w:numId="41">
    <w:abstractNumId w:val="17"/>
  </w:num>
  <w:num w:numId="42">
    <w:abstractNumId w:val="14"/>
  </w:num>
  <w:num w:numId="43">
    <w:abstractNumId w:val="12"/>
  </w:num>
  <w:num w:numId="44">
    <w:abstractNumId w:val="10"/>
  </w:num>
  <w:num w:numId="45">
    <w:abstractNumId w:val="11"/>
  </w:num>
  <w:num w:numId="46">
    <w:abstractNumId w:val="15"/>
  </w:num>
  <w:num w:numId="47">
    <w:abstractNumId w:val="13"/>
  </w:num>
  <w:num w:numId="48">
    <w:abstractNumId w:val="19"/>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defaultTabStop w:val="720"/>
  <w:hyphenationZone w:val="425"/>
  <w:doNotHyphenateCaps/>
  <w:evenAndOddHeader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MM" w:val="0"/>
    <w:docVar w:name="NBEMMDOC" w:val="0"/>
  </w:docVars>
  <w:rsids>
    <w:rsidRoot w:val="00AE484E"/>
    <w:rsid w:val="000001A1"/>
    <w:rsid w:val="00001CC9"/>
    <w:rsid w:val="000041F8"/>
    <w:rsid w:val="000042A8"/>
    <w:rsid w:val="00004308"/>
    <w:rsid w:val="00005BF0"/>
    <w:rsid w:val="00007154"/>
    <w:rsid w:val="00007A11"/>
    <w:rsid w:val="000103AE"/>
    <w:rsid w:val="00011D69"/>
    <w:rsid w:val="00012AD3"/>
    <w:rsid w:val="00012B34"/>
    <w:rsid w:val="00015C2D"/>
    <w:rsid w:val="00015F00"/>
    <w:rsid w:val="00022C1D"/>
    <w:rsid w:val="00022E3B"/>
    <w:rsid w:val="000301DE"/>
    <w:rsid w:val="0003300B"/>
    <w:rsid w:val="00034987"/>
    <w:rsid w:val="00037E60"/>
    <w:rsid w:val="00044DC3"/>
    <w:rsid w:val="000477C3"/>
    <w:rsid w:val="00056E0D"/>
    <w:rsid w:val="000602DF"/>
    <w:rsid w:val="00061B05"/>
    <w:rsid w:val="00061B9C"/>
    <w:rsid w:val="000632D5"/>
    <w:rsid w:val="000644EE"/>
    <w:rsid w:val="00065B3D"/>
    <w:rsid w:val="00065F6F"/>
    <w:rsid w:val="00085EED"/>
    <w:rsid w:val="00091B10"/>
    <w:rsid w:val="000925AD"/>
    <w:rsid w:val="000956B6"/>
    <w:rsid w:val="00095947"/>
    <w:rsid w:val="00095FCB"/>
    <w:rsid w:val="00096825"/>
    <w:rsid w:val="000A24EB"/>
    <w:rsid w:val="000A2840"/>
    <w:rsid w:val="000A31B4"/>
    <w:rsid w:val="000B1DD6"/>
    <w:rsid w:val="000B42D2"/>
    <w:rsid w:val="000B4B91"/>
    <w:rsid w:val="000B638B"/>
    <w:rsid w:val="000B6923"/>
    <w:rsid w:val="000C3765"/>
    <w:rsid w:val="000C3D25"/>
    <w:rsid w:val="000C3D5A"/>
    <w:rsid w:val="000C5F3C"/>
    <w:rsid w:val="000C6679"/>
    <w:rsid w:val="000C6DCC"/>
    <w:rsid w:val="000D47AA"/>
    <w:rsid w:val="000D721F"/>
    <w:rsid w:val="000E069B"/>
    <w:rsid w:val="000E0E82"/>
    <w:rsid w:val="000E1DC5"/>
    <w:rsid w:val="000E223F"/>
    <w:rsid w:val="000E5F38"/>
    <w:rsid w:val="000E69A1"/>
    <w:rsid w:val="000E7D45"/>
    <w:rsid w:val="000F02F4"/>
    <w:rsid w:val="000F0E7E"/>
    <w:rsid w:val="000F10FB"/>
    <w:rsid w:val="000F1963"/>
    <w:rsid w:val="000F457F"/>
    <w:rsid w:val="000F7851"/>
    <w:rsid w:val="0010131D"/>
    <w:rsid w:val="00104E23"/>
    <w:rsid w:val="001054DF"/>
    <w:rsid w:val="00106E82"/>
    <w:rsid w:val="00111358"/>
    <w:rsid w:val="00111B0C"/>
    <w:rsid w:val="0011444A"/>
    <w:rsid w:val="001155EA"/>
    <w:rsid w:val="00120D6C"/>
    <w:rsid w:val="00123D2E"/>
    <w:rsid w:val="00125772"/>
    <w:rsid w:val="001257EC"/>
    <w:rsid w:val="00131A20"/>
    <w:rsid w:val="00132586"/>
    <w:rsid w:val="00133D33"/>
    <w:rsid w:val="00133E36"/>
    <w:rsid w:val="001342C3"/>
    <w:rsid w:val="00134D64"/>
    <w:rsid w:val="0013579B"/>
    <w:rsid w:val="00135A30"/>
    <w:rsid w:val="0013612C"/>
    <w:rsid w:val="00136DB9"/>
    <w:rsid w:val="00137705"/>
    <w:rsid w:val="00137FF6"/>
    <w:rsid w:val="00141291"/>
    <w:rsid w:val="00141650"/>
    <w:rsid w:val="0014619E"/>
    <w:rsid w:val="00150BFA"/>
    <w:rsid w:val="00154E88"/>
    <w:rsid w:val="00160484"/>
    <w:rsid w:val="00162A12"/>
    <w:rsid w:val="00166530"/>
    <w:rsid w:val="00171B48"/>
    <w:rsid w:val="00180EA1"/>
    <w:rsid w:val="001832BD"/>
    <w:rsid w:val="0018469A"/>
    <w:rsid w:val="00185AE1"/>
    <w:rsid w:val="00187018"/>
    <w:rsid w:val="00192C2F"/>
    <w:rsid w:val="001943B5"/>
    <w:rsid w:val="00195134"/>
    <w:rsid w:val="00196D9A"/>
    <w:rsid w:val="001A145B"/>
    <w:rsid w:val="001A66F4"/>
    <w:rsid w:val="001A674C"/>
    <w:rsid w:val="001A6D32"/>
    <w:rsid w:val="001B3B24"/>
    <w:rsid w:val="001C0F98"/>
    <w:rsid w:val="001C2A42"/>
    <w:rsid w:val="001C48CD"/>
    <w:rsid w:val="001D3A90"/>
    <w:rsid w:val="001D63ED"/>
    <w:rsid w:val="001D7348"/>
    <w:rsid w:val="001E035B"/>
    <w:rsid w:val="001E0961"/>
    <w:rsid w:val="001E3EAE"/>
    <w:rsid w:val="001E6F32"/>
    <w:rsid w:val="001E7FA6"/>
    <w:rsid w:val="001F150D"/>
    <w:rsid w:val="001F1CD9"/>
    <w:rsid w:val="001F2145"/>
    <w:rsid w:val="001F6262"/>
    <w:rsid w:val="001F67B0"/>
    <w:rsid w:val="001F7B3D"/>
    <w:rsid w:val="00200F80"/>
    <w:rsid w:val="00201BCD"/>
    <w:rsid w:val="0020201A"/>
    <w:rsid w:val="0020216B"/>
    <w:rsid w:val="00205F9F"/>
    <w:rsid w:val="002102A0"/>
    <w:rsid w:val="00210338"/>
    <w:rsid w:val="002115FC"/>
    <w:rsid w:val="0021423C"/>
    <w:rsid w:val="00230D00"/>
    <w:rsid w:val="00231DF7"/>
    <w:rsid w:val="00231FD1"/>
    <w:rsid w:val="002339E0"/>
    <w:rsid w:val="00233CF8"/>
    <w:rsid w:val="0023575D"/>
    <w:rsid w:val="0023627D"/>
    <w:rsid w:val="00237148"/>
    <w:rsid w:val="0024222D"/>
    <w:rsid w:val="00244B0E"/>
    <w:rsid w:val="00244F6C"/>
    <w:rsid w:val="002532C5"/>
    <w:rsid w:val="0025620F"/>
    <w:rsid w:val="00257F8A"/>
    <w:rsid w:val="00260C03"/>
    <w:rsid w:val="00262868"/>
    <w:rsid w:val="0026540E"/>
    <w:rsid w:val="00274866"/>
    <w:rsid w:val="002750E0"/>
    <w:rsid w:val="00275123"/>
    <w:rsid w:val="00282240"/>
    <w:rsid w:val="00285CAC"/>
    <w:rsid w:val="00290CC3"/>
    <w:rsid w:val="0029204D"/>
    <w:rsid w:val="002948AD"/>
    <w:rsid w:val="00295926"/>
    <w:rsid w:val="002A01CC"/>
    <w:rsid w:val="002A1B5E"/>
    <w:rsid w:val="002A6129"/>
    <w:rsid w:val="002A61B1"/>
    <w:rsid w:val="002A663C"/>
    <w:rsid w:val="002B264F"/>
    <w:rsid w:val="002B444B"/>
    <w:rsid w:val="002B4F77"/>
    <w:rsid w:val="002B5887"/>
    <w:rsid w:val="002C0E27"/>
    <w:rsid w:val="002C3040"/>
    <w:rsid w:val="002D022D"/>
    <w:rsid w:val="002D24BB"/>
    <w:rsid w:val="002D3B8B"/>
    <w:rsid w:val="002E2729"/>
    <w:rsid w:val="002E4382"/>
    <w:rsid w:val="002E775E"/>
    <w:rsid w:val="002F2AF7"/>
    <w:rsid w:val="002F402F"/>
    <w:rsid w:val="002F7860"/>
    <w:rsid w:val="002F7E1C"/>
    <w:rsid w:val="003006BF"/>
    <w:rsid w:val="00301A75"/>
    <w:rsid w:val="00302F70"/>
    <w:rsid w:val="0030336F"/>
    <w:rsid w:val="0030375E"/>
    <w:rsid w:val="00303BEC"/>
    <w:rsid w:val="00307B53"/>
    <w:rsid w:val="00312A30"/>
    <w:rsid w:val="003131E0"/>
    <w:rsid w:val="00315798"/>
    <w:rsid w:val="00316AA4"/>
    <w:rsid w:val="00320F72"/>
    <w:rsid w:val="0032129D"/>
    <w:rsid w:val="0032463E"/>
    <w:rsid w:val="00326224"/>
    <w:rsid w:val="003305F7"/>
    <w:rsid w:val="003311CF"/>
    <w:rsid w:val="003341AE"/>
    <w:rsid w:val="00336879"/>
    <w:rsid w:val="00337EE4"/>
    <w:rsid w:val="00340FFD"/>
    <w:rsid w:val="00341C4A"/>
    <w:rsid w:val="0034383F"/>
    <w:rsid w:val="00344475"/>
    <w:rsid w:val="003506B1"/>
    <w:rsid w:val="00353AC7"/>
    <w:rsid w:val="00355FB9"/>
    <w:rsid w:val="00356AC7"/>
    <w:rsid w:val="00360663"/>
    <w:rsid w:val="003609FA"/>
    <w:rsid w:val="003615FE"/>
    <w:rsid w:val="003616CC"/>
    <w:rsid w:val="003710C8"/>
    <w:rsid w:val="00371D96"/>
    <w:rsid w:val="003750BE"/>
    <w:rsid w:val="0038408F"/>
    <w:rsid w:val="00387B9D"/>
    <w:rsid w:val="00392EB8"/>
    <w:rsid w:val="0039364F"/>
    <w:rsid w:val="00394314"/>
    <w:rsid w:val="00396686"/>
    <w:rsid w:val="0039778E"/>
    <w:rsid w:val="003A0170"/>
    <w:rsid w:val="003A0356"/>
    <w:rsid w:val="003B07BE"/>
    <w:rsid w:val="003B4941"/>
    <w:rsid w:val="003C1B1C"/>
    <w:rsid w:val="003C4737"/>
    <w:rsid w:val="003C5714"/>
    <w:rsid w:val="003C6B9F"/>
    <w:rsid w:val="003C6E2A"/>
    <w:rsid w:val="003D0299"/>
    <w:rsid w:val="003D315E"/>
    <w:rsid w:val="003D5F20"/>
    <w:rsid w:val="003E26EB"/>
    <w:rsid w:val="003E38F3"/>
    <w:rsid w:val="003E46F3"/>
    <w:rsid w:val="003E6D80"/>
    <w:rsid w:val="003E754F"/>
    <w:rsid w:val="003F05FA"/>
    <w:rsid w:val="003F20FB"/>
    <w:rsid w:val="003F244A"/>
    <w:rsid w:val="003F30B8"/>
    <w:rsid w:val="003F4C45"/>
    <w:rsid w:val="003F5F7B"/>
    <w:rsid w:val="003F7D64"/>
    <w:rsid w:val="00402C3E"/>
    <w:rsid w:val="00412DD1"/>
    <w:rsid w:val="00414300"/>
    <w:rsid w:val="00425781"/>
    <w:rsid w:val="00425C67"/>
    <w:rsid w:val="00427E7A"/>
    <w:rsid w:val="00427F8B"/>
    <w:rsid w:val="00436C49"/>
    <w:rsid w:val="00445366"/>
    <w:rsid w:val="00447F5B"/>
    <w:rsid w:val="00450740"/>
    <w:rsid w:val="00450C67"/>
    <w:rsid w:val="00455214"/>
    <w:rsid w:val="004553F0"/>
    <w:rsid w:val="0045649E"/>
    <w:rsid w:val="00461DB0"/>
    <w:rsid w:val="00463926"/>
    <w:rsid w:val="00464C9A"/>
    <w:rsid w:val="00474F3D"/>
    <w:rsid w:val="004757A4"/>
    <w:rsid w:val="00477006"/>
    <w:rsid w:val="00477E3A"/>
    <w:rsid w:val="00483E5F"/>
    <w:rsid w:val="00485FF9"/>
    <w:rsid w:val="004907F0"/>
    <w:rsid w:val="0049140B"/>
    <w:rsid w:val="004923A5"/>
    <w:rsid w:val="00496844"/>
    <w:rsid w:val="00496BFB"/>
    <w:rsid w:val="004A15C7"/>
    <w:rsid w:val="004A523E"/>
    <w:rsid w:val="004A5FE0"/>
    <w:rsid w:val="004B013B"/>
    <w:rsid w:val="004B112B"/>
    <w:rsid w:val="004B2B45"/>
    <w:rsid w:val="004C01E4"/>
    <w:rsid w:val="004C086C"/>
    <w:rsid w:val="004C1D80"/>
    <w:rsid w:val="004C1F56"/>
    <w:rsid w:val="004C27BC"/>
    <w:rsid w:val="004C3588"/>
    <w:rsid w:val="004D15F3"/>
    <w:rsid w:val="004D5311"/>
    <w:rsid w:val="004D5DCC"/>
    <w:rsid w:val="004E0279"/>
    <w:rsid w:val="004E1C0B"/>
    <w:rsid w:val="004F0E2B"/>
    <w:rsid w:val="004F10AF"/>
    <w:rsid w:val="004F11A4"/>
    <w:rsid w:val="004F2389"/>
    <w:rsid w:val="004F304D"/>
    <w:rsid w:val="004F36F1"/>
    <w:rsid w:val="004F61BE"/>
    <w:rsid w:val="004F66B1"/>
    <w:rsid w:val="00501224"/>
    <w:rsid w:val="00501B1A"/>
    <w:rsid w:val="005031ED"/>
    <w:rsid w:val="00504594"/>
    <w:rsid w:val="005079C6"/>
    <w:rsid w:val="00510AE2"/>
    <w:rsid w:val="00510B2D"/>
    <w:rsid w:val="00511C07"/>
    <w:rsid w:val="00514E51"/>
    <w:rsid w:val="005173A6"/>
    <w:rsid w:val="00520BAA"/>
    <w:rsid w:val="00523BDE"/>
    <w:rsid w:val="00525208"/>
    <w:rsid w:val="00525756"/>
    <w:rsid w:val="005257A5"/>
    <w:rsid w:val="00526394"/>
    <w:rsid w:val="005264C0"/>
    <w:rsid w:val="00526A8A"/>
    <w:rsid w:val="00531DF2"/>
    <w:rsid w:val="00533C33"/>
    <w:rsid w:val="0053494A"/>
    <w:rsid w:val="00536A4D"/>
    <w:rsid w:val="005407D9"/>
    <w:rsid w:val="005442EE"/>
    <w:rsid w:val="00547353"/>
    <w:rsid w:val="005474E7"/>
    <w:rsid w:val="005512A3"/>
    <w:rsid w:val="0055439B"/>
    <w:rsid w:val="00554750"/>
    <w:rsid w:val="005578CE"/>
    <w:rsid w:val="00562781"/>
    <w:rsid w:val="005676B8"/>
    <w:rsid w:val="00572563"/>
    <w:rsid w:val="0057271C"/>
    <w:rsid w:val="00572845"/>
    <w:rsid w:val="00586421"/>
    <w:rsid w:val="00592772"/>
    <w:rsid w:val="0059574A"/>
    <w:rsid w:val="005A12CD"/>
    <w:rsid w:val="005A1B9B"/>
    <w:rsid w:val="005A6751"/>
    <w:rsid w:val="005B0202"/>
    <w:rsid w:val="005B063E"/>
    <w:rsid w:val="005B092E"/>
    <w:rsid w:val="005B0E07"/>
    <w:rsid w:val="005B152C"/>
    <w:rsid w:val="005B1EE0"/>
    <w:rsid w:val="005B2B24"/>
    <w:rsid w:val="005B33FA"/>
    <w:rsid w:val="005B4425"/>
    <w:rsid w:val="005B479A"/>
    <w:rsid w:val="005B4B94"/>
    <w:rsid w:val="005B615A"/>
    <w:rsid w:val="005B790A"/>
    <w:rsid w:val="005C133F"/>
    <w:rsid w:val="005C3EE8"/>
    <w:rsid w:val="005C5271"/>
    <w:rsid w:val="005C6F24"/>
    <w:rsid w:val="005C792F"/>
    <w:rsid w:val="005D108D"/>
    <w:rsid w:val="005D34F9"/>
    <w:rsid w:val="005D4190"/>
    <w:rsid w:val="005D67A3"/>
    <w:rsid w:val="005D7C91"/>
    <w:rsid w:val="005E1A60"/>
    <w:rsid w:val="005E2988"/>
    <w:rsid w:val="005E2BC7"/>
    <w:rsid w:val="005E3085"/>
    <w:rsid w:val="005F0437"/>
    <w:rsid w:val="005F142B"/>
    <w:rsid w:val="005F5037"/>
    <w:rsid w:val="005F51E1"/>
    <w:rsid w:val="005F51FA"/>
    <w:rsid w:val="006073F9"/>
    <w:rsid w:val="00611C80"/>
    <w:rsid w:val="00613157"/>
    <w:rsid w:val="00620692"/>
    <w:rsid w:val="006242CA"/>
    <w:rsid w:val="00625317"/>
    <w:rsid w:val="00627507"/>
    <w:rsid w:val="00633717"/>
    <w:rsid w:val="00633D3A"/>
    <w:rsid w:val="006344E1"/>
    <w:rsid w:val="00634A02"/>
    <w:rsid w:val="00635E4C"/>
    <w:rsid w:val="006417A5"/>
    <w:rsid w:val="00643FDA"/>
    <w:rsid w:val="00645618"/>
    <w:rsid w:val="00645FCB"/>
    <w:rsid w:val="00653892"/>
    <w:rsid w:val="006545C4"/>
    <w:rsid w:val="00654CB5"/>
    <w:rsid w:val="00657F4E"/>
    <w:rsid w:val="00661971"/>
    <w:rsid w:val="00661CE8"/>
    <w:rsid w:val="006623D9"/>
    <w:rsid w:val="00662672"/>
    <w:rsid w:val="00662F1B"/>
    <w:rsid w:val="0066327B"/>
    <w:rsid w:val="0066550C"/>
    <w:rsid w:val="00670D4A"/>
    <w:rsid w:val="006716CF"/>
    <w:rsid w:val="006716F2"/>
    <w:rsid w:val="00682ADD"/>
    <w:rsid w:val="00682BF2"/>
    <w:rsid w:val="00683FE4"/>
    <w:rsid w:val="006859CE"/>
    <w:rsid w:val="00691270"/>
    <w:rsid w:val="006927AC"/>
    <w:rsid w:val="00694BA8"/>
    <w:rsid w:val="0069647C"/>
    <w:rsid w:val="006A037C"/>
    <w:rsid w:val="006A1C05"/>
    <w:rsid w:val="006A1F8B"/>
    <w:rsid w:val="006A31D2"/>
    <w:rsid w:val="006A36F4"/>
    <w:rsid w:val="006A406F"/>
    <w:rsid w:val="006A5D3A"/>
    <w:rsid w:val="006B0F25"/>
    <w:rsid w:val="006B10ED"/>
    <w:rsid w:val="006B2A92"/>
    <w:rsid w:val="006C23D4"/>
    <w:rsid w:val="006C5AFD"/>
    <w:rsid w:val="006C7BB0"/>
    <w:rsid w:val="006D1A82"/>
    <w:rsid w:val="006D2E44"/>
    <w:rsid w:val="006D3237"/>
    <w:rsid w:val="006D5154"/>
    <w:rsid w:val="006E2E37"/>
    <w:rsid w:val="006E36AC"/>
    <w:rsid w:val="006E3CF1"/>
    <w:rsid w:val="006E7E80"/>
    <w:rsid w:val="006F1B5D"/>
    <w:rsid w:val="006F48CA"/>
    <w:rsid w:val="006F54A3"/>
    <w:rsid w:val="006F64DD"/>
    <w:rsid w:val="007058D5"/>
    <w:rsid w:val="00711A31"/>
    <w:rsid w:val="00714DF2"/>
    <w:rsid w:val="00715127"/>
    <w:rsid w:val="00715E8E"/>
    <w:rsid w:val="00723580"/>
    <w:rsid w:val="00723755"/>
    <w:rsid w:val="00723CF1"/>
    <w:rsid w:val="0073136C"/>
    <w:rsid w:val="00731F0F"/>
    <w:rsid w:val="00733250"/>
    <w:rsid w:val="00735E70"/>
    <w:rsid w:val="00741404"/>
    <w:rsid w:val="00742BBD"/>
    <w:rsid w:val="007449E5"/>
    <w:rsid w:val="00747FF0"/>
    <w:rsid w:val="00750329"/>
    <w:rsid w:val="007544F0"/>
    <w:rsid w:val="007554C2"/>
    <w:rsid w:val="00764D4E"/>
    <w:rsid w:val="0076547C"/>
    <w:rsid w:val="00765A1F"/>
    <w:rsid w:val="00767AD3"/>
    <w:rsid w:val="00767EBF"/>
    <w:rsid w:val="00770AF0"/>
    <w:rsid w:val="0077491B"/>
    <w:rsid w:val="00775B6D"/>
    <w:rsid w:val="00776D68"/>
    <w:rsid w:val="00781F37"/>
    <w:rsid w:val="007832BC"/>
    <w:rsid w:val="007850EE"/>
    <w:rsid w:val="00785B95"/>
    <w:rsid w:val="007860EE"/>
    <w:rsid w:val="007901E1"/>
    <w:rsid w:val="00790E96"/>
    <w:rsid w:val="00792F0C"/>
    <w:rsid w:val="00793366"/>
    <w:rsid w:val="00793A1E"/>
    <w:rsid w:val="007A1ADC"/>
    <w:rsid w:val="007A716F"/>
    <w:rsid w:val="007B1DBA"/>
    <w:rsid w:val="007B270A"/>
    <w:rsid w:val="007C0695"/>
    <w:rsid w:val="007C419A"/>
    <w:rsid w:val="007C4CC8"/>
    <w:rsid w:val="007C5426"/>
    <w:rsid w:val="007C5798"/>
    <w:rsid w:val="007D4832"/>
    <w:rsid w:val="007E21B2"/>
    <w:rsid w:val="007E2C4E"/>
    <w:rsid w:val="007E7412"/>
    <w:rsid w:val="007F1905"/>
    <w:rsid w:val="00802C64"/>
    <w:rsid w:val="00805E52"/>
    <w:rsid w:val="008061D0"/>
    <w:rsid w:val="00810B38"/>
    <w:rsid w:val="0081214A"/>
    <w:rsid w:val="008123CF"/>
    <w:rsid w:val="008136B4"/>
    <w:rsid w:val="00813C5B"/>
    <w:rsid w:val="00816004"/>
    <w:rsid w:val="00820080"/>
    <w:rsid w:val="008204C7"/>
    <w:rsid w:val="00820992"/>
    <w:rsid w:val="00820D34"/>
    <w:rsid w:val="00823602"/>
    <w:rsid w:val="008236DF"/>
    <w:rsid w:val="008255F5"/>
    <w:rsid w:val="0083014E"/>
    <w:rsid w:val="00830D7A"/>
    <w:rsid w:val="0083214A"/>
    <w:rsid w:val="00834220"/>
    <w:rsid w:val="00836642"/>
    <w:rsid w:val="0084298A"/>
    <w:rsid w:val="00845723"/>
    <w:rsid w:val="00851EF9"/>
    <w:rsid w:val="008546F6"/>
    <w:rsid w:val="00854EE9"/>
    <w:rsid w:val="008577FD"/>
    <w:rsid w:val="008608BD"/>
    <w:rsid w:val="00860B03"/>
    <w:rsid w:val="008645DC"/>
    <w:rsid w:val="0086497A"/>
    <w:rsid w:val="00866A54"/>
    <w:rsid w:val="0087128D"/>
    <w:rsid w:val="008713A1"/>
    <w:rsid w:val="008718F4"/>
    <w:rsid w:val="00875304"/>
    <w:rsid w:val="008754AB"/>
    <w:rsid w:val="00876DE5"/>
    <w:rsid w:val="00877FC6"/>
    <w:rsid w:val="0088060C"/>
    <w:rsid w:val="00883E75"/>
    <w:rsid w:val="00893576"/>
    <w:rsid w:val="00893E73"/>
    <w:rsid w:val="008945EE"/>
    <w:rsid w:val="00897F4A"/>
    <w:rsid w:val="008A2C56"/>
    <w:rsid w:val="008A2E4B"/>
    <w:rsid w:val="008A4B1D"/>
    <w:rsid w:val="008A4F52"/>
    <w:rsid w:val="008A55C8"/>
    <w:rsid w:val="008A6DCA"/>
    <w:rsid w:val="008B02DC"/>
    <w:rsid w:val="008B2457"/>
    <w:rsid w:val="008B36A7"/>
    <w:rsid w:val="008B57CE"/>
    <w:rsid w:val="008C26DE"/>
    <w:rsid w:val="008C7BF8"/>
    <w:rsid w:val="008D2225"/>
    <w:rsid w:val="008D2ECE"/>
    <w:rsid w:val="008D4752"/>
    <w:rsid w:val="008D4AFA"/>
    <w:rsid w:val="008E271C"/>
    <w:rsid w:val="008E418E"/>
    <w:rsid w:val="008E5BC6"/>
    <w:rsid w:val="008E638D"/>
    <w:rsid w:val="008E6A25"/>
    <w:rsid w:val="008F131C"/>
    <w:rsid w:val="008F5193"/>
    <w:rsid w:val="008F56D3"/>
    <w:rsid w:val="008F64B5"/>
    <w:rsid w:val="009013A7"/>
    <w:rsid w:val="009017FB"/>
    <w:rsid w:val="009017FC"/>
    <w:rsid w:val="00902696"/>
    <w:rsid w:val="0090506B"/>
    <w:rsid w:val="009050C9"/>
    <w:rsid w:val="009066FC"/>
    <w:rsid w:val="0090700F"/>
    <w:rsid w:val="00911704"/>
    <w:rsid w:val="00913075"/>
    <w:rsid w:val="009140A3"/>
    <w:rsid w:val="009144A2"/>
    <w:rsid w:val="0091510C"/>
    <w:rsid w:val="009155AD"/>
    <w:rsid w:val="00917527"/>
    <w:rsid w:val="00917F72"/>
    <w:rsid w:val="00920A17"/>
    <w:rsid w:val="009259AC"/>
    <w:rsid w:val="00926740"/>
    <w:rsid w:val="00926F38"/>
    <w:rsid w:val="009276AE"/>
    <w:rsid w:val="00934301"/>
    <w:rsid w:val="009366CB"/>
    <w:rsid w:val="00936CD1"/>
    <w:rsid w:val="009376C0"/>
    <w:rsid w:val="00937C0D"/>
    <w:rsid w:val="0094053B"/>
    <w:rsid w:val="00941747"/>
    <w:rsid w:val="0094198B"/>
    <w:rsid w:val="00941EFB"/>
    <w:rsid w:val="00946C20"/>
    <w:rsid w:val="00947AFB"/>
    <w:rsid w:val="00950304"/>
    <w:rsid w:val="00951D7D"/>
    <w:rsid w:val="00953154"/>
    <w:rsid w:val="00954D45"/>
    <w:rsid w:val="009570AE"/>
    <w:rsid w:val="00960FF6"/>
    <w:rsid w:val="009630C7"/>
    <w:rsid w:val="00970B77"/>
    <w:rsid w:val="00972B55"/>
    <w:rsid w:val="009743B7"/>
    <w:rsid w:val="00975EFD"/>
    <w:rsid w:val="0098228B"/>
    <w:rsid w:val="009828DA"/>
    <w:rsid w:val="00985BAB"/>
    <w:rsid w:val="00987885"/>
    <w:rsid w:val="00987980"/>
    <w:rsid w:val="00996DAA"/>
    <w:rsid w:val="009A07C2"/>
    <w:rsid w:val="009B1B5F"/>
    <w:rsid w:val="009B2E24"/>
    <w:rsid w:val="009B5A5E"/>
    <w:rsid w:val="009B6673"/>
    <w:rsid w:val="009C0D50"/>
    <w:rsid w:val="009C191B"/>
    <w:rsid w:val="009C2BD6"/>
    <w:rsid w:val="009C3D41"/>
    <w:rsid w:val="009D0EE2"/>
    <w:rsid w:val="009D419A"/>
    <w:rsid w:val="009D49FD"/>
    <w:rsid w:val="009D7AA8"/>
    <w:rsid w:val="009E0462"/>
    <w:rsid w:val="009E1060"/>
    <w:rsid w:val="009E1F32"/>
    <w:rsid w:val="009E5E81"/>
    <w:rsid w:val="009E776C"/>
    <w:rsid w:val="009F12F2"/>
    <w:rsid w:val="009F4B22"/>
    <w:rsid w:val="00A02CFF"/>
    <w:rsid w:val="00A031E9"/>
    <w:rsid w:val="00A07341"/>
    <w:rsid w:val="00A12520"/>
    <w:rsid w:val="00A15AF6"/>
    <w:rsid w:val="00A1726E"/>
    <w:rsid w:val="00A204CF"/>
    <w:rsid w:val="00A22847"/>
    <w:rsid w:val="00A23D49"/>
    <w:rsid w:val="00A246B5"/>
    <w:rsid w:val="00A27004"/>
    <w:rsid w:val="00A306DD"/>
    <w:rsid w:val="00A30C29"/>
    <w:rsid w:val="00A34DD6"/>
    <w:rsid w:val="00A35568"/>
    <w:rsid w:val="00A36819"/>
    <w:rsid w:val="00A36989"/>
    <w:rsid w:val="00A43525"/>
    <w:rsid w:val="00A43628"/>
    <w:rsid w:val="00A43829"/>
    <w:rsid w:val="00A45145"/>
    <w:rsid w:val="00A45C34"/>
    <w:rsid w:val="00A46A1D"/>
    <w:rsid w:val="00A471DF"/>
    <w:rsid w:val="00A54192"/>
    <w:rsid w:val="00A6035E"/>
    <w:rsid w:val="00A6144C"/>
    <w:rsid w:val="00A63F5B"/>
    <w:rsid w:val="00A66617"/>
    <w:rsid w:val="00A671F8"/>
    <w:rsid w:val="00A673A4"/>
    <w:rsid w:val="00A679E4"/>
    <w:rsid w:val="00A70ACE"/>
    <w:rsid w:val="00A724AE"/>
    <w:rsid w:val="00A73329"/>
    <w:rsid w:val="00A737D1"/>
    <w:rsid w:val="00A82359"/>
    <w:rsid w:val="00A82C7F"/>
    <w:rsid w:val="00A865D2"/>
    <w:rsid w:val="00A92121"/>
    <w:rsid w:val="00A94C20"/>
    <w:rsid w:val="00AA227F"/>
    <w:rsid w:val="00AA3BC7"/>
    <w:rsid w:val="00AA3E2C"/>
    <w:rsid w:val="00AA6BCC"/>
    <w:rsid w:val="00AA7499"/>
    <w:rsid w:val="00AA754A"/>
    <w:rsid w:val="00AB099E"/>
    <w:rsid w:val="00AB4328"/>
    <w:rsid w:val="00AB6087"/>
    <w:rsid w:val="00AC291A"/>
    <w:rsid w:val="00AC47FB"/>
    <w:rsid w:val="00AD56C7"/>
    <w:rsid w:val="00AE0A2E"/>
    <w:rsid w:val="00AE354C"/>
    <w:rsid w:val="00AE484E"/>
    <w:rsid w:val="00AE6887"/>
    <w:rsid w:val="00AE77C3"/>
    <w:rsid w:val="00AF08BC"/>
    <w:rsid w:val="00AF4B07"/>
    <w:rsid w:val="00AF6186"/>
    <w:rsid w:val="00AF7A3A"/>
    <w:rsid w:val="00B02DB5"/>
    <w:rsid w:val="00B12FB2"/>
    <w:rsid w:val="00B1488E"/>
    <w:rsid w:val="00B160DB"/>
    <w:rsid w:val="00B16FFA"/>
    <w:rsid w:val="00B20836"/>
    <w:rsid w:val="00B22B69"/>
    <w:rsid w:val="00B235BB"/>
    <w:rsid w:val="00B27A44"/>
    <w:rsid w:val="00B30BBF"/>
    <w:rsid w:val="00B32CFA"/>
    <w:rsid w:val="00B33C03"/>
    <w:rsid w:val="00B33E06"/>
    <w:rsid w:val="00B353AC"/>
    <w:rsid w:val="00B37E90"/>
    <w:rsid w:val="00B44E56"/>
    <w:rsid w:val="00B460AB"/>
    <w:rsid w:val="00B46543"/>
    <w:rsid w:val="00B47D33"/>
    <w:rsid w:val="00B511AA"/>
    <w:rsid w:val="00B52BE0"/>
    <w:rsid w:val="00B538FE"/>
    <w:rsid w:val="00B53901"/>
    <w:rsid w:val="00B54133"/>
    <w:rsid w:val="00B62656"/>
    <w:rsid w:val="00B65D79"/>
    <w:rsid w:val="00B701ED"/>
    <w:rsid w:val="00B8086C"/>
    <w:rsid w:val="00B8608B"/>
    <w:rsid w:val="00B861B4"/>
    <w:rsid w:val="00B86DFE"/>
    <w:rsid w:val="00B9010F"/>
    <w:rsid w:val="00B90990"/>
    <w:rsid w:val="00B922FF"/>
    <w:rsid w:val="00B9244D"/>
    <w:rsid w:val="00B9281E"/>
    <w:rsid w:val="00B93925"/>
    <w:rsid w:val="00B95187"/>
    <w:rsid w:val="00BA0828"/>
    <w:rsid w:val="00BA1540"/>
    <w:rsid w:val="00BA2D55"/>
    <w:rsid w:val="00BA71B1"/>
    <w:rsid w:val="00BB0637"/>
    <w:rsid w:val="00BB345F"/>
    <w:rsid w:val="00BB68EA"/>
    <w:rsid w:val="00BB6F91"/>
    <w:rsid w:val="00BC1C27"/>
    <w:rsid w:val="00BC3381"/>
    <w:rsid w:val="00BC341B"/>
    <w:rsid w:val="00BC521B"/>
    <w:rsid w:val="00BC56C7"/>
    <w:rsid w:val="00BC6B4A"/>
    <w:rsid w:val="00BC6BBF"/>
    <w:rsid w:val="00BD1572"/>
    <w:rsid w:val="00BD370D"/>
    <w:rsid w:val="00BD42CD"/>
    <w:rsid w:val="00BD525F"/>
    <w:rsid w:val="00BD658C"/>
    <w:rsid w:val="00BD68AA"/>
    <w:rsid w:val="00BE0164"/>
    <w:rsid w:val="00BE14E3"/>
    <w:rsid w:val="00BE3774"/>
    <w:rsid w:val="00BE41E5"/>
    <w:rsid w:val="00BE730E"/>
    <w:rsid w:val="00BF1677"/>
    <w:rsid w:val="00BF32CC"/>
    <w:rsid w:val="00BF4109"/>
    <w:rsid w:val="00BF4CC3"/>
    <w:rsid w:val="00C0322D"/>
    <w:rsid w:val="00C054C7"/>
    <w:rsid w:val="00C057B5"/>
    <w:rsid w:val="00C14883"/>
    <w:rsid w:val="00C171E3"/>
    <w:rsid w:val="00C2098A"/>
    <w:rsid w:val="00C22687"/>
    <w:rsid w:val="00C22978"/>
    <w:rsid w:val="00C23A19"/>
    <w:rsid w:val="00C24DA4"/>
    <w:rsid w:val="00C26B59"/>
    <w:rsid w:val="00C32E4D"/>
    <w:rsid w:val="00C333A0"/>
    <w:rsid w:val="00C35E6B"/>
    <w:rsid w:val="00C36A81"/>
    <w:rsid w:val="00C41974"/>
    <w:rsid w:val="00C46728"/>
    <w:rsid w:val="00C53F4A"/>
    <w:rsid w:val="00C54125"/>
    <w:rsid w:val="00C55952"/>
    <w:rsid w:val="00C55B54"/>
    <w:rsid w:val="00C6098E"/>
    <w:rsid w:val="00C6141A"/>
    <w:rsid w:val="00C6152C"/>
    <w:rsid w:val="00C62A72"/>
    <w:rsid w:val="00C74810"/>
    <w:rsid w:val="00C81C98"/>
    <w:rsid w:val="00C844E6"/>
    <w:rsid w:val="00C90D68"/>
    <w:rsid w:val="00C939FE"/>
    <w:rsid w:val="00C93F22"/>
    <w:rsid w:val="00C94194"/>
    <w:rsid w:val="00C97A1B"/>
    <w:rsid w:val="00CA0149"/>
    <w:rsid w:val="00CA37A2"/>
    <w:rsid w:val="00CA4BDA"/>
    <w:rsid w:val="00CA4EFE"/>
    <w:rsid w:val="00CB1F66"/>
    <w:rsid w:val="00CB2951"/>
    <w:rsid w:val="00CB7B48"/>
    <w:rsid w:val="00CD053E"/>
    <w:rsid w:val="00CD14EE"/>
    <w:rsid w:val="00CD1C8F"/>
    <w:rsid w:val="00CD282B"/>
    <w:rsid w:val="00CD2B2B"/>
    <w:rsid w:val="00CD3FB6"/>
    <w:rsid w:val="00CD4C35"/>
    <w:rsid w:val="00CD7369"/>
    <w:rsid w:val="00CE02F9"/>
    <w:rsid w:val="00CE04A2"/>
    <w:rsid w:val="00CE0B0E"/>
    <w:rsid w:val="00CE109F"/>
    <w:rsid w:val="00CE3831"/>
    <w:rsid w:val="00CE4802"/>
    <w:rsid w:val="00CF167E"/>
    <w:rsid w:val="00D00ABB"/>
    <w:rsid w:val="00D02EEC"/>
    <w:rsid w:val="00D03551"/>
    <w:rsid w:val="00D04528"/>
    <w:rsid w:val="00D06226"/>
    <w:rsid w:val="00D06A63"/>
    <w:rsid w:val="00D07E0E"/>
    <w:rsid w:val="00D10FED"/>
    <w:rsid w:val="00D11478"/>
    <w:rsid w:val="00D13627"/>
    <w:rsid w:val="00D1468B"/>
    <w:rsid w:val="00D15ED0"/>
    <w:rsid w:val="00D21B3E"/>
    <w:rsid w:val="00D21FED"/>
    <w:rsid w:val="00D24251"/>
    <w:rsid w:val="00D307D5"/>
    <w:rsid w:val="00D342E9"/>
    <w:rsid w:val="00D343E2"/>
    <w:rsid w:val="00D361A2"/>
    <w:rsid w:val="00D439CB"/>
    <w:rsid w:val="00D44C2E"/>
    <w:rsid w:val="00D45414"/>
    <w:rsid w:val="00D47E54"/>
    <w:rsid w:val="00D50CBF"/>
    <w:rsid w:val="00D50D1E"/>
    <w:rsid w:val="00D5455A"/>
    <w:rsid w:val="00D566BD"/>
    <w:rsid w:val="00D576E0"/>
    <w:rsid w:val="00D57A4D"/>
    <w:rsid w:val="00D60AA7"/>
    <w:rsid w:val="00D61D41"/>
    <w:rsid w:val="00D6382C"/>
    <w:rsid w:val="00D6435F"/>
    <w:rsid w:val="00D744E9"/>
    <w:rsid w:val="00D75E28"/>
    <w:rsid w:val="00D772C2"/>
    <w:rsid w:val="00D8008E"/>
    <w:rsid w:val="00D80C66"/>
    <w:rsid w:val="00D812D7"/>
    <w:rsid w:val="00D82C45"/>
    <w:rsid w:val="00D833FA"/>
    <w:rsid w:val="00D83EBC"/>
    <w:rsid w:val="00D85894"/>
    <w:rsid w:val="00D908A8"/>
    <w:rsid w:val="00D94EA3"/>
    <w:rsid w:val="00D96045"/>
    <w:rsid w:val="00D977B6"/>
    <w:rsid w:val="00DA2A84"/>
    <w:rsid w:val="00DA2D77"/>
    <w:rsid w:val="00DA4A31"/>
    <w:rsid w:val="00DA7B04"/>
    <w:rsid w:val="00DB36C2"/>
    <w:rsid w:val="00DC164B"/>
    <w:rsid w:val="00DC169B"/>
    <w:rsid w:val="00DC2AB9"/>
    <w:rsid w:val="00DC4033"/>
    <w:rsid w:val="00DC63F0"/>
    <w:rsid w:val="00DD2EC6"/>
    <w:rsid w:val="00DD6EE5"/>
    <w:rsid w:val="00DE2D71"/>
    <w:rsid w:val="00DE386C"/>
    <w:rsid w:val="00DE4D35"/>
    <w:rsid w:val="00DE5B4A"/>
    <w:rsid w:val="00DF098B"/>
    <w:rsid w:val="00DF11C4"/>
    <w:rsid w:val="00DF210C"/>
    <w:rsid w:val="00DF4B6A"/>
    <w:rsid w:val="00E02C09"/>
    <w:rsid w:val="00E04D59"/>
    <w:rsid w:val="00E05B06"/>
    <w:rsid w:val="00E07DA1"/>
    <w:rsid w:val="00E123CB"/>
    <w:rsid w:val="00E13871"/>
    <w:rsid w:val="00E16A68"/>
    <w:rsid w:val="00E17F7C"/>
    <w:rsid w:val="00E20325"/>
    <w:rsid w:val="00E20E13"/>
    <w:rsid w:val="00E21DBC"/>
    <w:rsid w:val="00E275D7"/>
    <w:rsid w:val="00E27DBE"/>
    <w:rsid w:val="00E32AB1"/>
    <w:rsid w:val="00E36C71"/>
    <w:rsid w:val="00E37C5E"/>
    <w:rsid w:val="00E40404"/>
    <w:rsid w:val="00E459C6"/>
    <w:rsid w:val="00E47589"/>
    <w:rsid w:val="00E47825"/>
    <w:rsid w:val="00E55A25"/>
    <w:rsid w:val="00E64915"/>
    <w:rsid w:val="00E661D4"/>
    <w:rsid w:val="00E70091"/>
    <w:rsid w:val="00E720F5"/>
    <w:rsid w:val="00E76D47"/>
    <w:rsid w:val="00E76FAC"/>
    <w:rsid w:val="00E80E62"/>
    <w:rsid w:val="00E82343"/>
    <w:rsid w:val="00E826F3"/>
    <w:rsid w:val="00E849F7"/>
    <w:rsid w:val="00E90302"/>
    <w:rsid w:val="00E9099E"/>
    <w:rsid w:val="00E93CF5"/>
    <w:rsid w:val="00E97396"/>
    <w:rsid w:val="00E97F72"/>
    <w:rsid w:val="00EA185E"/>
    <w:rsid w:val="00EA592A"/>
    <w:rsid w:val="00EB14E4"/>
    <w:rsid w:val="00EB26F1"/>
    <w:rsid w:val="00EB32A5"/>
    <w:rsid w:val="00EB34ED"/>
    <w:rsid w:val="00EB447C"/>
    <w:rsid w:val="00EB7BE0"/>
    <w:rsid w:val="00EC315E"/>
    <w:rsid w:val="00ED077C"/>
    <w:rsid w:val="00ED1190"/>
    <w:rsid w:val="00ED6544"/>
    <w:rsid w:val="00EE0277"/>
    <w:rsid w:val="00EE0F5D"/>
    <w:rsid w:val="00EE3E00"/>
    <w:rsid w:val="00EE5DD2"/>
    <w:rsid w:val="00EE7EB4"/>
    <w:rsid w:val="00EF0226"/>
    <w:rsid w:val="00F00A79"/>
    <w:rsid w:val="00F00E86"/>
    <w:rsid w:val="00F01288"/>
    <w:rsid w:val="00F05A44"/>
    <w:rsid w:val="00F06B24"/>
    <w:rsid w:val="00F07C1E"/>
    <w:rsid w:val="00F105DB"/>
    <w:rsid w:val="00F10BB6"/>
    <w:rsid w:val="00F132BC"/>
    <w:rsid w:val="00F13D80"/>
    <w:rsid w:val="00F146E2"/>
    <w:rsid w:val="00F16683"/>
    <w:rsid w:val="00F16981"/>
    <w:rsid w:val="00F16AAA"/>
    <w:rsid w:val="00F21161"/>
    <w:rsid w:val="00F218EF"/>
    <w:rsid w:val="00F21BC7"/>
    <w:rsid w:val="00F266A2"/>
    <w:rsid w:val="00F32269"/>
    <w:rsid w:val="00F41EFB"/>
    <w:rsid w:val="00F50ADF"/>
    <w:rsid w:val="00F55D65"/>
    <w:rsid w:val="00F56A6F"/>
    <w:rsid w:val="00F5709C"/>
    <w:rsid w:val="00F6348B"/>
    <w:rsid w:val="00F64EF1"/>
    <w:rsid w:val="00F70223"/>
    <w:rsid w:val="00F83198"/>
    <w:rsid w:val="00F8765F"/>
    <w:rsid w:val="00F90767"/>
    <w:rsid w:val="00F9774F"/>
    <w:rsid w:val="00FA22DA"/>
    <w:rsid w:val="00FA3C80"/>
    <w:rsid w:val="00FA685B"/>
    <w:rsid w:val="00FA73E0"/>
    <w:rsid w:val="00FB0C01"/>
    <w:rsid w:val="00FB12A1"/>
    <w:rsid w:val="00FB770D"/>
    <w:rsid w:val="00FC18F2"/>
    <w:rsid w:val="00FC39E5"/>
    <w:rsid w:val="00FC3A78"/>
    <w:rsid w:val="00FC532D"/>
    <w:rsid w:val="00FC795F"/>
    <w:rsid w:val="00FD1005"/>
    <w:rsid w:val="00FD10FC"/>
    <w:rsid w:val="00FD649A"/>
    <w:rsid w:val="00FD6C75"/>
    <w:rsid w:val="00FE0760"/>
    <w:rsid w:val="00FE35E2"/>
    <w:rsid w:val="00FE3FA1"/>
    <w:rsid w:val="00FE4B04"/>
    <w:rsid w:val="00FE5140"/>
    <w:rsid w:val="00FE71B3"/>
    <w:rsid w:val="00FE7581"/>
    <w:rsid w:val="00FF42C5"/>
    <w:rsid w:val="00FF6284"/>
    <w:rsid w:val="00FF63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45649E"/>
    <w:pPr>
      <w:spacing w:after="0" w:line="240" w:lineRule="auto"/>
      <w:jc w:val="both"/>
    </w:pPr>
    <w:rPr>
      <w:rFonts w:eastAsia="MS Mincho"/>
      <w:sz w:val="24"/>
      <w:szCs w:val="24"/>
      <w:lang w:eastAsia="en-US"/>
    </w:rPr>
  </w:style>
  <w:style w:type="paragraph" w:styleId="Nagwek1">
    <w:name w:val="heading 1"/>
    <w:basedOn w:val="Normalny"/>
    <w:next w:val="Normalny"/>
    <w:link w:val="Nagwek1Znak"/>
    <w:uiPriority w:val="99"/>
    <w:qFormat/>
    <w:rsid w:val="0045649E"/>
    <w:pPr>
      <w:spacing w:before="480"/>
      <w:outlineLvl w:val="0"/>
    </w:pPr>
    <w:rPr>
      <w:rFonts w:eastAsia="MS Gothic"/>
      <w:b/>
      <w:bCs/>
      <w:color w:val="333333"/>
      <w:sz w:val="28"/>
      <w:szCs w:val="28"/>
      <w:lang w:eastAsia="pl-PL"/>
    </w:rPr>
  </w:style>
  <w:style w:type="paragraph" w:styleId="Nagwek2">
    <w:name w:val="heading 2"/>
    <w:basedOn w:val="Normalny"/>
    <w:next w:val="Normalny"/>
    <w:link w:val="Nagwek2Znak"/>
    <w:uiPriority w:val="99"/>
    <w:qFormat/>
    <w:rsid w:val="0045649E"/>
    <w:pPr>
      <w:spacing w:before="200"/>
      <w:outlineLvl w:val="1"/>
    </w:pPr>
    <w:rPr>
      <w:rFonts w:eastAsia="MS Gothic"/>
      <w:b/>
      <w:bCs/>
      <w:color w:val="4D4D4D"/>
      <w:sz w:val="26"/>
      <w:szCs w:val="26"/>
      <w:lang w:eastAsia="pl-PL"/>
    </w:rPr>
  </w:style>
  <w:style w:type="paragraph" w:styleId="Nagwek3">
    <w:name w:val="heading 3"/>
    <w:basedOn w:val="Normalny"/>
    <w:next w:val="Normalny"/>
    <w:link w:val="Nagwek3Znak"/>
    <w:uiPriority w:val="99"/>
    <w:qFormat/>
    <w:rsid w:val="0045649E"/>
    <w:pPr>
      <w:spacing w:before="200" w:line="271" w:lineRule="auto"/>
      <w:outlineLvl w:val="2"/>
    </w:pPr>
    <w:rPr>
      <w:rFonts w:eastAsia="MS Gothic"/>
      <w:b/>
      <w:bCs/>
      <w:color w:val="5F5F5F"/>
      <w:lang w:eastAsia="pl-PL"/>
    </w:rPr>
  </w:style>
  <w:style w:type="paragraph" w:styleId="Nagwek4">
    <w:name w:val="heading 4"/>
    <w:basedOn w:val="Normalny"/>
    <w:next w:val="Normalny"/>
    <w:link w:val="Nagwek4Znak"/>
    <w:uiPriority w:val="99"/>
    <w:qFormat/>
    <w:rsid w:val="0045649E"/>
    <w:pPr>
      <w:spacing w:before="200"/>
      <w:outlineLvl w:val="3"/>
    </w:pPr>
    <w:rPr>
      <w:rFonts w:eastAsia="MS Gothic"/>
      <w:b/>
      <w:bCs/>
      <w:i/>
      <w:iCs/>
      <w:color w:val="777777"/>
      <w:lang w:eastAsia="pl-PL"/>
    </w:rPr>
  </w:style>
  <w:style w:type="paragraph" w:styleId="Nagwek5">
    <w:name w:val="heading 5"/>
    <w:basedOn w:val="Normalny"/>
    <w:next w:val="Normalny"/>
    <w:link w:val="Nagwek5Znak"/>
    <w:uiPriority w:val="99"/>
    <w:qFormat/>
    <w:rsid w:val="000F10FB"/>
    <w:pPr>
      <w:spacing w:before="200"/>
      <w:outlineLvl w:val="4"/>
    </w:pPr>
    <w:rPr>
      <w:rFonts w:eastAsia="MS Gothic"/>
      <w:b/>
      <w:bCs/>
      <w:color w:val="808080"/>
      <w:sz w:val="20"/>
      <w:szCs w:val="20"/>
      <w:lang w:eastAsia="pl-PL"/>
    </w:rPr>
  </w:style>
  <w:style w:type="paragraph" w:styleId="Nagwek6">
    <w:name w:val="heading 6"/>
    <w:basedOn w:val="Normalny"/>
    <w:next w:val="Normalny"/>
    <w:link w:val="Nagwek6Znak"/>
    <w:uiPriority w:val="99"/>
    <w:qFormat/>
    <w:rsid w:val="0045649E"/>
    <w:pPr>
      <w:spacing w:line="271" w:lineRule="auto"/>
      <w:outlineLvl w:val="5"/>
    </w:pPr>
    <w:rPr>
      <w:rFonts w:eastAsia="MS Gothic"/>
      <w:b/>
      <w:bCs/>
      <w:i/>
      <w:iCs/>
      <w:color w:val="7F7F7F"/>
      <w:lang w:eastAsia="pl-PL"/>
    </w:rPr>
  </w:style>
  <w:style w:type="paragraph" w:styleId="Nagwek7">
    <w:name w:val="heading 7"/>
    <w:basedOn w:val="Normalny"/>
    <w:next w:val="Normalny"/>
    <w:link w:val="Nagwek7Znak"/>
    <w:uiPriority w:val="99"/>
    <w:qFormat/>
    <w:rsid w:val="000F10FB"/>
    <w:pPr>
      <w:outlineLvl w:val="6"/>
    </w:pPr>
    <w:rPr>
      <w:rFonts w:eastAsia="MS Gothic"/>
      <w:i/>
      <w:iCs/>
      <w:sz w:val="20"/>
      <w:szCs w:val="20"/>
      <w:lang w:eastAsia="pl-PL"/>
    </w:rPr>
  </w:style>
  <w:style w:type="paragraph" w:styleId="Nagwek8">
    <w:name w:val="heading 8"/>
    <w:basedOn w:val="Normalny"/>
    <w:next w:val="Normalny"/>
    <w:link w:val="Nagwek8Znak"/>
    <w:uiPriority w:val="99"/>
    <w:qFormat/>
    <w:rsid w:val="000F10FB"/>
    <w:pPr>
      <w:outlineLvl w:val="7"/>
    </w:pPr>
    <w:rPr>
      <w:rFonts w:eastAsia="MS Gothic"/>
      <w:sz w:val="20"/>
      <w:szCs w:val="20"/>
      <w:lang w:eastAsia="pl-PL"/>
    </w:rPr>
  </w:style>
  <w:style w:type="paragraph" w:styleId="Nagwek9">
    <w:name w:val="heading 9"/>
    <w:basedOn w:val="Normalny"/>
    <w:next w:val="Normalny"/>
    <w:link w:val="Nagwek9Znak"/>
    <w:uiPriority w:val="99"/>
    <w:qFormat/>
    <w:rsid w:val="000F10FB"/>
    <w:pPr>
      <w:outlineLvl w:val="8"/>
    </w:pPr>
    <w:rPr>
      <w:rFonts w:eastAsia="MS Gothic"/>
      <w:i/>
      <w:iCs/>
      <w:spacing w:val="5"/>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semiHidden/>
    <w:locked/>
    <w:rsid w:val="0045649E"/>
    <w:rPr>
      <w:rFonts w:ascii="Times New Roman" w:eastAsia="MS Gothic" w:hAnsi="Times New Roman"/>
      <w:b/>
      <w:color w:val="333333"/>
      <w:sz w:val="28"/>
    </w:rPr>
  </w:style>
  <w:style w:type="character" w:customStyle="1" w:styleId="Nagwek2Znak">
    <w:name w:val="Nagłówek 2 Znak"/>
    <w:basedOn w:val="Domylnaczcionkaakapitu"/>
    <w:link w:val="Nagwek2"/>
    <w:uiPriority w:val="99"/>
    <w:semiHidden/>
    <w:locked/>
    <w:rsid w:val="0045649E"/>
    <w:rPr>
      <w:rFonts w:ascii="Times New Roman" w:eastAsia="MS Gothic" w:hAnsi="Times New Roman"/>
      <w:b/>
      <w:color w:val="4D4D4D"/>
      <w:sz w:val="26"/>
    </w:rPr>
  </w:style>
  <w:style w:type="character" w:customStyle="1" w:styleId="Nagwek3Znak">
    <w:name w:val="Nagłówek 3 Znak"/>
    <w:basedOn w:val="Domylnaczcionkaakapitu"/>
    <w:link w:val="Nagwek3"/>
    <w:uiPriority w:val="99"/>
    <w:semiHidden/>
    <w:locked/>
    <w:rsid w:val="0045649E"/>
    <w:rPr>
      <w:rFonts w:ascii="Times New Roman" w:eastAsia="MS Gothic" w:hAnsi="Times New Roman"/>
      <w:b/>
      <w:color w:val="5F5F5F"/>
      <w:sz w:val="24"/>
    </w:rPr>
  </w:style>
  <w:style w:type="character" w:customStyle="1" w:styleId="Nagwek4Znak">
    <w:name w:val="Nagłówek 4 Znak"/>
    <w:basedOn w:val="Domylnaczcionkaakapitu"/>
    <w:link w:val="Nagwek4"/>
    <w:uiPriority w:val="99"/>
    <w:semiHidden/>
    <w:locked/>
    <w:rsid w:val="0045649E"/>
    <w:rPr>
      <w:rFonts w:ascii="Times New Roman" w:eastAsia="MS Gothic" w:hAnsi="Times New Roman"/>
      <w:b/>
      <w:i/>
      <w:color w:val="777777"/>
      <w:sz w:val="24"/>
    </w:rPr>
  </w:style>
  <w:style w:type="character" w:customStyle="1" w:styleId="Nagwek5Znak">
    <w:name w:val="Nagłówek 5 Znak"/>
    <w:basedOn w:val="Domylnaczcionkaakapitu"/>
    <w:link w:val="Nagwek5"/>
    <w:uiPriority w:val="99"/>
    <w:semiHidden/>
    <w:locked/>
    <w:rsid w:val="000F10FB"/>
    <w:rPr>
      <w:rFonts w:ascii="Times New Roman" w:eastAsia="MS Gothic" w:hAnsi="Times New Roman"/>
      <w:b/>
      <w:color w:val="808080"/>
    </w:rPr>
  </w:style>
  <w:style w:type="character" w:customStyle="1" w:styleId="Nagwek6Znak">
    <w:name w:val="Nagłówek 6 Znak"/>
    <w:basedOn w:val="Domylnaczcionkaakapitu"/>
    <w:link w:val="Nagwek6"/>
    <w:uiPriority w:val="99"/>
    <w:semiHidden/>
    <w:locked/>
    <w:rsid w:val="0045649E"/>
    <w:rPr>
      <w:rFonts w:ascii="Times New Roman" w:eastAsia="MS Gothic" w:hAnsi="Times New Roman"/>
      <w:b/>
      <w:i/>
      <w:color w:val="7F7F7F"/>
      <w:sz w:val="24"/>
    </w:rPr>
  </w:style>
  <w:style w:type="character" w:customStyle="1" w:styleId="Nagwek7Znak">
    <w:name w:val="Nagłówek 7 Znak"/>
    <w:basedOn w:val="Domylnaczcionkaakapitu"/>
    <w:link w:val="Nagwek7"/>
    <w:uiPriority w:val="99"/>
    <w:semiHidden/>
    <w:locked/>
    <w:rsid w:val="000F10FB"/>
    <w:rPr>
      <w:rFonts w:ascii="Times New Roman" w:eastAsia="MS Gothic" w:hAnsi="Times New Roman"/>
      <w:i/>
    </w:rPr>
  </w:style>
  <w:style w:type="character" w:customStyle="1" w:styleId="Nagwek8Znak">
    <w:name w:val="Nagłówek 8 Znak"/>
    <w:basedOn w:val="Domylnaczcionkaakapitu"/>
    <w:link w:val="Nagwek8"/>
    <w:uiPriority w:val="99"/>
    <w:semiHidden/>
    <w:locked/>
    <w:rsid w:val="000F10FB"/>
    <w:rPr>
      <w:rFonts w:ascii="Times New Roman" w:eastAsia="MS Gothic" w:hAnsi="Times New Roman"/>
      <w:sz w:val="20"/>
    </w:rPr>
  </w:style>
  <w:style w:type="character" w:customStyle="1" w:styleId="Nagwek9Znak">
    <w:name w:val="Nagłówek 9 Znak"/>
    <w:basedOn w:val="Domylnaczcionkaakapitu"/>
    <w:link w:val="Nagwek9"/>
    <w:uiPriority w:val="99"/>
    <w:semiHidden/>
    <w:locked/>
    <w:rsid w:val="000F10FB"/>
    <w:rPr>
      <w:rFonts w:ascii="Times New Roman" w:eastAsia="MS Gothic" w:hAnsi="Times New Roman"/>
      <w:i/>
      <w:spacing w:val="5"/>
      <w:sz w:val="20"/>
    </w:rPr>
  </w:style>
  <w:style w:type="paragraph" w:styleId="Tekstdymka">
    <w:name w:val="Balloon Text"/>
    <w:basedOn w:val="Normalny"/>
    <w:link w:val="TekstdymkaZnak"/>
    <w:uiPriority w:val="99"/>
    <w:semiHidden/>
    <w:rsid w:val="0045649E"/>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locked/>
    <w:rsid w:val="0045649E"/>
    <w:rPr>
      <w:rFonts w:ascii="Tahoma" w:eastAsia="MS Mincho" w:hAnsi="Tahoma"/>
      <w:sz w:val="16"/>
    </w:rPr>
  </w:style>
  <w:style w:type="character" w:styleId="Tytuksiki">
    <w:name w:val="Book Title"/>
    <w:basedOn w:val="Domylnaczcionkaakapitu"/>
    <w:uiPriority w:val="99"/>
    <w:qFormat/>
    <w:rsid w:val="000F10FB"/>
    <w:rPr>
      <w:rFonts w:cs="Times New Roman"/>
      <w:i/>
      <w:iCs/>
      <w:smallCaps/>
      <w:spacing w:val="5"/>
    </w:rPr>
  </w:style>
  <w:style w:type="paragraph" w:customStyle="1" w:styleId="ECHRHeader">
    <w:name w:val="ECHR_Header"/>
    <w:aliases w:val="Ju_Header"/>
    <w:basedOn w:val="Nagwek"/>
    <w:uiPriority w:val="99"/>
    <w:rsid w:val="000F10FB"/>
    <w:pPr>
      <w:tabs>
        <w:tab w:val="clear" w:pos="4536"/>
        <w:tab w:val="clear" w:pos="9072"/>
        <w:tab w:val="center" w:pos="3686"/>
        <w:tab w:val="right" w:pos="7371"/>
      </w:tabs>
      <w:jc w:val="left"/>
    </w:pPr>
    <w:rPr>
      <w:sz w:val="18"/>
      <w:szCs w:val="18"/>
    </w:rPr>
  </w:style>
  <w:style w:type="paragraph" w:customStyle="1" w:styleId="JuAppQuestion">
    <w:name w:val="Ju_App_Question"/>
    <w:basedOn w:val="Normalny"/>
    <w:uiPriority w:val="99"/>
    <w:semiHidden/>
    <w:rsid w:val="000F10FB"/>
    <w:pPr>
      <w:numPr>
        <w:numId w:val="15"/>
      </w:numPr>
      <w:tabs>
        <w:tab w:val="num" w:pos="720"/>
      </w:tabs>
      <w:ind w:left="720"/>
      <w:jc w:val="left"/>
    </w:pPr>
    <w:rPr>
      <w:b/>
      <w:bCs/>
    </w:rPr>
  </w:style>
  <w:style w:type="character" w:styleId="Pogrubienie">
    <w:name w:val="Strong"/>
    <w:basedOn w:val="Domylnaczcionkaakapitu"/>
    <w:uiPriority w:val="99"/>
    <w:qFormat/>
    <w:rsid w:val="000F10FB"/>
    <w:rPr>
      <w:rFonts w:cs="Times New Roman"/>
      <w:b/>
      <w:bCs/>
    </w:rPr>
  </w:style>
  <w:style w:type="paragraph" w:styleId="Bezodstpw">
    <w:name w:val="No Spacing"/>
    <w:basedOn w:val="Normalny"/>
    <w:link w:val="BezodstpwZnak"/>
    <w:uiPriority w:val="99"/>
    <w:qFormat/>
    <w:rsid w:val="000F10FB"/>
    <w:rPr>
      <w:sz w:val="20"/>
      <w:szCs w:val="20"/>
      <w:lang w:eastAsia="pl-PL"/>
    </w:rPr>
  </w:style>
  <w:style w:type="character" w:customStyle="1" w:styleId="BezodstpwZnak">
    <w:name w:val="Bez odstępów Znak"/>
    <w:link w:val="Bezodstpw"/>
    <w:uiPriority w:val="99"/>
    <w:semiHidden/>
    <w:locked/>
    <w:rsid w:val="000F10FB"/>
    <w:rPr>
      <w:rFonts w:eastAsia="MS Mincho"/>
    </w:rPr>
  </w:style>
  <w:style w:type="paragraph" w:customStyle="1" w:styleId="ECHRParaQuote">
    <w:name w:val="ECHR_Para_Quote"/>
    <w:aliases w:val="Ju_Quot,Para_Quote"/>
    <w:basedOn w:val="Normalny"/>
    <w:uiPriority w:val="99"/>
    <w:rsid w:val="000F10FB"/>
    <w:pPr>
      <w:spacing w:before="120" w:after="120"/>
      <w:ind w:left="425" w:firstLine="142"/>
    </w:pPr>
    <w:rPr>
      <w:sz w:val="20"/>
      <w:szCs w:val="20"/>
    </w:rPr>
  </w:style>
  <w:style w:type="paragraph" w:customStyle="1" w:styleId="OpiPara">
    <w:name w:val="Opi_Para"/>
    <w:basedOn w:val="ECHRPara"/>
    <w:uiPriority w:val="99"/>
    <w:rsid w:val="000F10FB"/>
  </w:style>
  <w:style w:type="paragraph" w:customStyle="1" w:styleId="JuParaSub">
    <w:name w:val="Ju_Para_Sub"/>
    <w:basedOn w:val="ECHRPara"/>
    <w:uiPriority w:val="99"/>
    <w:rsid w:val="000F10FB"/>
    <w:pPr>
      <w:ind w:left="284"/>
    </w:pPr>
  </w:style>
  <w:style w:type="paragraph" w:customStyle="1" w:styleId="OpiParaSub">
    <w:name w:val="Opi_Para_Sub"/>
    <w:basedOn w:val="JuParaSub"/>
    <w:uiPriority w:val="99"/>
    <w:rsid w:val="000F10FB"/>
  </w:style>
  <w:style w:type="paragraph" w:customStyle="1" w:styleId="OpiQuot">
    <w:name w:val="Opi_Quot"/>
    <w:basedOn w:val="ECHRParaQuote"/>
    <w:uiPriority w:val="99"/>
    <w:rsid w:val="000F10FB"/>
  </w:style>
  <w:style w:type="paragraph" w:customStyle="1" w:styleId="ECHRTitleCentre3">
    <w:name w:val="ECHR_Title_Centre_3"/>
    <w:aliases w:val="Ju_H_Article"/>
    <w:basedOn w:val="Normalny"/>
    <w:next w:val="ECHRParaQuote"/>
    <w:uiPriority w:val="99"/>
    <w:rsid w:val="000F10FB"/>
    <w:pPr>
      <w:keepNext/>
      <w:keepLines/>
      <w:spacing w:before="240" w:after="120"/>
      <w:jc w:val="center"/>
      <w:outlineLvl w:val="3"/>
    </w:pPr>
    <w:rPr>
      <w:b/>
      <w:bCs/>
      <w:sz w:val="20"/>
      <w:szCs w:val="20"/>
    </w:rPr>
  </w:style>
  <w:style w:type="paragraph" w:customStyle="1" w:styleId="ECHRTitleCentre1">
    <w:name w:val="ECHR_Title_Centre_1"/>
    <w:aliases w:val="Opi_H_Head"/>
    <w:basedOn w:val="Normalny"/>
    <w:next w:val="OpiPara"/>
    <w:uiPriority w:val="99"/>
    <w:rsid w:val="000F10FB"/>
    <w:pPr>
      <w:keepNext/>
      <w:keepLines/>
      <w:spacing w:after="240"/>
      <w:jc w:val="center"/>
      <w:outlineLvl w:val="0"/>
    </w:pPr>
    <w:rPr>
      <w:sz w:val="28"/>
      <w:szCs w:val="28"/>
    </w:rPr>
  </w:style>
  <w:style w:type="paragraph" w:customStyle="1" w:styleId="OpiQuotSub">
    <w:name w:val="Opi_Quot_Sub"/>
    <w:basedOn w:val="JuQuotSub"/>
    <w:uiPriority w:val="99"/>
    <w:rsid w:val="000F10FB"/>
  </w:style>
  <w:style w:type="paragraph" w:customStyle="1" w:styleId="ECHRTitle1">
    <w:name w:val="ECHR_Title_1"/>
    <w:aliases w:val="Ju_H_Head"/>
    <w:basedOn w:val="Normalny"/>
    <w:next w:val="ECHRPara"/>
    <w:uiPriority w:val="99"/>
    <w:rsid w:val="000F10FB"/>
    <w:pPr>
      <w:keepNext/>
      <w:keepLines/>
      <w:spacing w:before="720" w:after="240"/>
      <w:outlineLvl w:val="0"/>
    </w:pPr>
    <w:rPr>
      <w:sz w:val="28"/>
      <w:szCs w:val="28"/>
    </w:rPr>
  </w:style>
  <w:style w:type="paragraph" w:customStyle="1" w:styleId="JuTitle">
    <w:name w:val="Ju_Title"/>
    <w:basedOn w:val="Normalny"/>
    <w:next w:val="ECHRPara"/>
    <w:uiPriority w:val="99"/>
    <w:semiHidden/>
    <w:rsid w:val="000F10FB"/>
    <w:pPr>
      <w:spacing w:before="720" w:after="240"/>
      <w:jc w:val="center"/>
      <w:outlineLvl w:val="0"/>
    </w:pPr>
    <w:rPr>
      <w:b/>
      <w:bCs/>
      <w:caps/>
    </w:rPr>
  </w:style>
  <w:style w:type="paragraph" w:customStyle="1" w:styleId="JuSigned">
    <w:name w:val="Ju_Signed"/>
    <w:basedOn w:val="Normalny"/>
    <w:next w:val="JuParaLast"/>
    <w:uiPriority w:val="99"/>
    <w:rsid w:val="000F10FB"/>
    <w:pPr>
      <w:tabs>
        <w:tab w:val="center" w:pos="851"/>
        <w:tab w:val="center" w:pos="6407"/>
      </w:tabs>
      <w:spacing w:before="720"/>
      <w:jc w:val="left"/>
    </w:pPr>
  </w:style>
  <w:style w:type="paragraph" w:styleId="Tytu">
    <w:name w:val="Title"/>
    <w:basedOn w:val="Normalny"/>
    <w:next w:val="Normalny"/>
    <w:link w:val="TytuZnak"/>
    <w:uiPriority w:val="99"/>
    <w:qFormat/>
    <w:rsid w:val="000F10FB"/>
    <w:pPr>
      <w:pBdr>
        <w:bottom w:val="single" w:sz="4" w:space="1" w:color="auto"/>
      </w:pBdr>
    </w:pPr>
    <w:rPr>
      <w:rFonts w:eastAsia="MS Gothic"/>
      <w:spacing w:val="5"/>
      <w:sz w:val="52"/>
      <w:szCs w:val="52"/>
      <w:lang w:eastAsia="pl-PL"/>
    </w:rPr>
  </w:style>
  <w:style w:type="character" w:customStyle="1" w:styleId="TytuZnak">
    <w:name w:val="Tytuł Znak"/>
    <w:basedOn w:val="Domylnaczcionkaakapitu"/>
    <w:link w:val="Tytu"/>
    <w:uiPriority w:val="99"/>
    <w:semiHidden/>
    <w:locked/>
    <w:rsid w:val="000F10FB"/>
    <w:rPr>
      <w:rFonts w:ascii="Times New Roman" w:eastAsia="MS Gothic" w:hAnsi="Times New Roman"/>
      <w:spacing w:val="5"/>
      <w:sz w:val="52"/>
    </w:rPr>
  </w:style>
  <w:style w:type="paragraph" w:customStyle="1" w:styleId="JuQuotSub">
    <w:name w:val="Ju_Quot_Sub"/>
    <w:basedOn w:val="ECHRParaQuote"/>
    <w:uiPriority w:val="99"/>
    <w:rsid w:val="000F10FB"/>
    <w:pPr>
      <w:ind w:left="567"/>
    </w:pPr>
  </w:style>
  <w:style w:type="character" w:customStyle="1" w:styleId="JUNAMES">
    <w:name w:val="JU_NAMES"/>
    <w:uiPriority w:val="99"/>
    <w:rsid w:val="000F10FB"/>
    <w:rPr>
      <w:smallCaps/>
    </w:rPr>
  </w:style>
  <w:style w:type="paragraph" w:customStyle="1" w:styleId="JuInitialled">
    <w:name w:val="Ju_Initialled"/>
    <w:basedOn w:val="Normalny"/>
    <w:uiPriority w:val="99"/>
    <w:rsid w:val="000F10FB"/>
    <w:pPr>
      <w:tabs>
        <w:tab w:val="center" w:pos="6407"/>
      </w:tabs>
      <w:spacing w:before="720"/>
      <w:jc w:val="right"/>
    </w:pPr>
  </w:style>
  <w:style w:type="paragraph" w:customStyle="1" w:styleId="OpiHA">
    <w:name w:val="Opi_H_A"/>
    <w:basedOn w:val="ECHRHeading1"/>
    <w:next w:val="OpiPara"/>
    <w:uiPriority w:val="99"/>
    <w:rsid w:val="000F10FB"/>
    <w:pPr>
      <w:tabs>
        <w:tab w:val="clear" w:pos="357"/>
      </w:tabs>
      <w:outlineLvl w:val="1"/>
    </w:pPr>
    <w:rPr>
      <w:b/>
      <w:bCs/>
    </w:rPr>
  </w:style>
  <w:style w:type="paragraph" w:customStyle="1" w:styleId="JuCourt">
    <w:name w:val="Ju_Court"/>
    <w:basedOn w:val="Normalny"/>
    <w:next w:val="Normalny"/>
    <w:uiPriority w:val="99"/>
    <w:rsid w:val="000F10FB"/>
    <w:pPr>
      <w:tabs>
        <w:tab w:val="left" w:pos="907"/>
        <w:tab w:val="left" w:pos="1701"/>
        <w:tab w:val="right" w:pos="7371"/>
      </w:tabs>
      <w:spacing w:before="240"/>
      <w:ind w:left="397" w:hanging="397"/>
      <w:jc w:val="left"/>
    </w:pPr>
  </w:style>
  <w:style w:type="paragraph" w:customStyle="1" w:styleId="ECHRHeading1">
    <w:name w:val="ECHR_Heading_1"/>
    <w:aliases w:val="Ju_H_I_Roman"/>
    <w:basedOn w:val="Nagwek1"/>
    <w:next w:val="ECHRPara"/>
    <w:uiPriority w:val="99"/>
    <w:rsid w:val="000F10FB"/>
    <w:pPr>
      <w:keepNext/>
      <w:keepLines/>
      <w:tabs>
        <w:tab w:val="left" w:pos="357"/>
      </w:tabs>
      <w:spacing w:before="360" w:after="240"/>
      <w:ind w:left="357" w:hanging="357"/>
    </w:pPr>
    <w:rPr>
      <w:b w:val="0"/>
      <w:bCs w:val="0"/>
      <w:color w:val="auto"/>
      <w:sz w:val="24"/>
      <w:szCs w:val="24"/>
    </w:rPr>
  </w:style>
  <w:style w:type="paragraph" w:customStyle="1" w:styleId="ECHRHeading2">
    <w:name w:val="ECHR_Heading_2"/>
    <w:aliases w:val="Ju_H_A,Head_2"/>
    <w:basedOn w:val="Nagwek2"/>
    <w:next w:val="ECHRPara"/>
    <w:link w:val="JuHAChar"/>
    <w:uiPriority w:val="99"/>
    <w:rsid w:val="000F10FB"/>
    <w:pPr>
      <w:keepNext/>
      <w:keepLines/>
      <w:tabs>
        <w:tab w:val="left" w:pos="584"/>
      </w:tabs>
      <w:spacing w:before="360" w:after="240"/>
      <w:ind w:left="584" w:hanging="352"/>
    </w:pPr>
    <w:rPr>
      <w:color w:val="auto"/>
    </w:rPr>
  </w:style>
  <w:style w:type="paragraph" w:customStyle="1" w:styleId="ECHRHeading3">
    <w:name w:val="ECHR_Heading_3"/>
    <w:aliases w:val="Ju_H_1.,Head_3,Ju_H_1"/>
    <w:basedOn w:val="Nagwek3"/>
    <w:next w:val="ECHRPara"/>
    <w:uiPriority w:val="99"/>
    <w:rsid w:val="000F10FB"/>
    <w:pPr>
      <w:keepNext/>
      <w:keepLines/>
      <w:tabs>
        <w:tab w:val="left" w:pos="731"/>
      </w:tabs>
      <w:spacing w:before="240" w:after="120" w:line="240" w:lineRule="auto"/>
      <w:ind w:left="732" w:hanging="301"/>
    </w:pPr>
    <w:rPr>
      <w:b w:val="0"/>
      <w:bCs w:val="0"/>
      <w:i/>
      <w:iCs/>
      <w:color w:val="auto"/>
    </w:rPr>
  </w:style>
  <w:style w:type="paragraph" w:styleId="Nagwek">
    <w:name w:val="header"/>
    <w:basedOn w:val="Normalny"/>
    <w:link w:val="NagwekZnak"/>
    <w:uiPriority w:val="99"/>
    <w:semiHidden/>
    <w:rsid w:val="0045649E"/>
    <w:pPr>
      <w:tabs>
        <w:tab w:val="center" w:pos="4536"/>
        <w:tab w:val="right" w:pos="9072"/>
      </w:tabs>
    </w:pPr>
    <w:rPr>
      <w:rFonts w:eastAsia="Times New Roman"/>
      <w:lang w:eastAsia="pl-PL"/>
    </w:rPr>
  </w:style>
  <w:style w:type="character" w:customStyle="1" w:styleId="NagwekZnak">
    <w:name w:val="Nagłówek Znak"/>
    <w:basedOn w:val="Domylnaczcionkaakapitu"/>
    <w:link w:val="Nagwek"/>
    <w:uiPriority w:val="99"/>
    <w:locked/>
    <w:rsid w:val="0045649E"/>
    <w:rPr>
      <w:sz w:val="24"/>
    </w:rPr>
  </w:style>
  <w:style w:type="paragraph" w:customStyle="1" w:styleId="ECHRHeading4">
    <w:name w:val="ECHR_Heading_4"/>
    <w:aliases w:val="Ju_H_a"/>
    <w:basedOn w:val="Nagwek4"/>
    <w:next w:val="ECHRPara"/>
    <w:uiPriority w:val="99"/>
    <w:rsid w:val="000F10FB"/>
    <w:pPr>
      <w:keepNext/>
      <w:keepLines/>
      <w:tabs>
        <w:tab w:val="left" w:pos="975"/>
      </w:tabs>
      <w:spacing w:before="240" w:after="120"/>
      <w:ind w:left="975" w:hanging="340"/>
    </w:pPr>
    <w:rPr>
      <w:i w:val="0"/>
      <w:iCs w:val="0"/>
      <w:color w:val="auto"/>
      <w:sz w:val="20"/>
      <w:szCs w:val="20"/>
    </w:rPr>
  </w:style>
  <w:style w:type="paragraph" w:customStyle="1" w:styleId="ECHRHeading5">
    <w:name w:val="ECHR_Heading_5"/>
    <w:aliases w:val="Ju_H_i,Head_5"/>
    <w:basedOn w:val="Nagwek5"/>
    <w:next w:val="ECHRPara"/>
    <w:uiPriority w:val="99"/>
    <w:rsid w:val="000F10FB"/>
    <w:pPr>
      <w:keepNext/>
      <w:keepLines/>
      <w:tabs>
        <w:tab w:val="left" w:pos="1191"/>
      </w:tabs>
      <w:spacing w:before="240" w:after="120"/>
      <w:ind w:left="1190" w:hanging="357"/>
    </w:pPr>
    <w:rPr>
      <w:b w:val="0"/>
      <w:bCs w:val="0"/>
      <w:i/>
      <w:iCs/>
      <w:color w:val="auto"/>
    </w:rPr>
  </w:style>
  <w:style w:type="paragraph" w:customStyle="1" w:styleId="ECHRHeading6">
    <w:name w:val="ECHR_Heading_6"/>
    <w:aliases w:val="Ju_H_alpha"/>
    <w:basedOn w:val="Nagwek6"/>
    <w:next w:val="ECHRPara"/>
    <w:uiPriority w:val="99"/>
    <w:rsid w:val="000F10FB"/>
    <w:pPr>
      <w:keepNext/>
      <w:keepLines/>
      <w:tabs>
        <w:tab w:val="left" w:pos="1372"/>
      </w:tabs>
      <w:spacing w:before="240" w:after="120" w:line="240" w:lineRule="auto"/>
      <w:ind w:left="1373" w:hanging="335"/>
    </w:pPr>
    <w:rPr>
      <w:b w:val="0"/>
      <w:bCs w:val="0"/>
      <w:color w:val="auto"/>
      <w:sz w:val="20"/>
      <w:szCs w:val="20"/>
    </w:rPr>
  </w:style>
  <w:style w:type="paragraph" w:customStyle="1" w:styleId="ECHRHeading7">
    <w:name w:val="ECHR_Heading_7"/>
    <w:aliases w:val="Ju_H_–"/>
    <w:basedOn w:val="Nagwek7"/>
    <w:next w:val="ECHRPara"/>
    <w:uiPriority w:val="99"/>
    <w:rsid w:val="000F10FB"/>
    <w:pPr>
      <w:keepNext/>
      <w:keepLines/>
      <w:spacing w:before="240" w:after="120"/>
      <w:ind w:left="1236"/>
    </w:pPr>
  </w:style>
  <w:style w:type="paragraph" w:customStyle="1" w:styleId="JuParaLast">
    <w:name w:val="Ju_Para_Last"/>
    <w:basedOn w:val="Normalny"/>
    <w:next w:val="ECHRPara"/>
    <w:uiPriority w:val="99"/>
    <w:rsid w:val="000F10FB"/>
    <w:pPr>
      <w:keepNext/>
      <w:keepLines/>
      <w:spacing w:before="240"/>
      <w:ind w:firstLine="284"/>
    </w:pPr>
  </w:style>
  <w:style w:type="paragraph" w:customStyle="1" w:styleId="ECHRDecisionBody">
    <w:name w:val="ECHR_Decision_Body"/>
    <w:aliases w:val="Ju_Judges"/>
    <w:basedOn w:val="Normalny"/>
    <w:uiPriority w:val="99"/>
    <w:rsid w:val="000F10FB"/>
    <w:pPr>
      <w:tabs>
        <w:tab w:val="left" w:pos="567"/>
        <w:tab w:val="left" w:pos="1134"/>
      </w:tabs>
      <w:jc w:val="left"/>
    </w:pPr>
  </w:style>
  <w:style w:type="paragraph" w:customStyle="1" w:styleId="JuList">
    <w:name w:val="Ju_List"/>
    <w:basedOn w:val="Normalny"/>
    <w:uiPriority w:val="99"/>
    <w:rsid w:val="000F10FB"/>
    <w:pPr>
      <w:ind w:left="340" w:hanging="340"/>
    </w:pPr>
  </w:style>
  <w:style w:type="character" w:customStyle="1" w:styleId="JuITMark">
    <w:name w:val="Ju_ITMark"/>
    <w:uiPriority w:val="99"/>
    <w:rsid w:val="000F10FB"/>
    <w:rPr>
      <w:color w:val="auto"/>
      <w:sz w:val="14"/>
      <w:shd w:val="clear" w:color="auto" w:fill="BEE5FF"/>
    </w:rPr>
  </w:style>
  <w:style w:type="paragraph" w:customStyle="1" w:styleId="OpiTranslation">
    <w:name w:val="Opi_Translation"/>
    <w:basedOn w:val="Normalny"/>
    <w:next w:val="OpiPara"/>
    <w:uiPriority w:val="99"/>
    <w:rsid w:val="000F10FB"/>
    <w:pPr>
      <w:jc w:val="center"/>
      <w:outlineLvl w:val="0"/>
    </w:pPr>
    <w:rPr>
      <w:i/>
      <w:iCs/>
    </w:rPr>
  </w:style>
  <w:style w:type="character" w:styleId="Wyrnieniedelikatne">
    <w:name w:val="Subtle Emphasis"/>
    <w:basedOn w:val="Domylnaczcionkaakapitu"/>
    <w:uiPriority w:val="99"/>
    <w:qFormat/>
    <w:rsid w:val="000F10FB"/>
    <w:rPr>
      <w:rFonts w:cs="Times New Roman"/>
      <w:i/>
      <w:iCs/>
    </w:rPr>
  </w:style>
  <w:style w:type="paragraph" w:customStyle="1" w:styleId="DecHTitle">
    <w:name w:val="Dec_H_Title"/>
    <w:basedOn w:val="ECHRTitleCentre1"/>
    <w:uiPriority w:val="99"/>
    <w:semiHidden/>
    <w:rsid w:val="000F10FB"/>
  </w:style>
  <w:style w:type="table" w:customStyle="1" w:styleId="ECHRTable">
    <w:name w:val="ECHR_Table"/>
    <w:uiPriority w:val="99"/>
    <w:rsid w:val="00860B03"/>
    <w:pPr>
      <w:spacing w:after="0" w:line="240" w:lineRule="auto"/>
    </w:pPr>
    <w:rPr>
      <w:sz w:val="20"/>
      <w:szCs w:val="20"/>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table" w:customStyle="1" w:styleId="ECHRTableBoxHeader">
    <w:name w:val="ECHR_Table_Box_Header"/>
    <w:uiPriority w:val="99"/>
    <w:rsid w:val="004C086C"/>
    <w:pPr>
      <w:spacing w:after="0" w:line="240" w:lineRule="auto"/>
    </w:pPr>
    <w:rPr>
      <w:rFonts w:ascii="Verdana" w:hAnsi="Verdana" w:cs="Verdana"/>
      <w:sz w:val="20"/>
      <w:szCs w:val="20"/>
    </w:rPr>
    <w:tblPr>
      <w:tblCellMar>
        <w:top w:w="57" w:type="dxa"/>
        <w:left w:w="57" w:type="dxa"/>
        <w:bottom w:w="57" w:type="dxa"/>
        <w:right w:w="57" w:type="dxa"/>
      </w:tblCellMar>
    </w:tblPr>
    <w:tcPr>
      <w:shd w:val="clear" w:color="auto" w:fill="F8F8F8"/>
    </w:tcPr>
  </w:style>
  <w:style w:type="paragraph" w:customStyle="1" w:styleId="DecList">
    <w:name w:val="Dec_List"/>
    <w:basedOn w:val="Normalny"/>
    <w:uiPriority w:val="99"/>
    <w:semiHidden/>
    <w:rsid w:val="000F10FB"/>
    <w:pPr>
      <w:spacing w:before="240"/>
      <w:ind w:left="284"/>
    </w:pPr>
  </w:style>
  <w:style w:type="paragraph" w:customStyle="1" w:styleId="JuLista">
    <w:name w:val="Ju_List_a"/>
    <w:basedOn w:val="JuList"/>
    <w:uiPriority w:val="99"/>
    <w:rsid w:val="000F10FB"/>
    <w:pPr>
      <w:ind w:left="346" w:firstLine="0"/>
    </w:pPr>
  </w:style>
  <w:style w:type="paragraph" w:customStyle="1" w:styleId="JuListi">
    <w:name w:val="Ju_List_i"/>
    <w:basedOn w:val="Normalny"/>
    <w:next w:val="JuLista"/>
    <w:uiPriority w:val="99"/>
    <w:rsid w:val="000F10FB"/>
    <w:pPr>
      <w:ind w:left="794"/>
    </w:pPr>
  </w:style>
  <w:style w:type="character" w:styleId="Uwydatnienie">
    <w:name w:val="Emphasis"/>
    <w:basedOn w:val="Domylnaczcionkaakapitu"/>
    <w:uiPriority w:val="99"/>
    <w:qFormat/>
    <w:rsid w:val="000F10FB"/>
    <w:rPr>
      <w:rFonts w:cs="Times New Roman"/>
      <w:b/>
      <w:bCs/>
      <w:i/>
      <w:iCs/>
      <w:spacing w:val="10"/>
      <w:shd w:val="clear" w:color="auto" w:fill="auto"/>
    </w:rPr>
  </w:style>
  <w:style w:type="paragraph" w:styleId="Stopka">
    <w:name w:val="footer"/>
    <w:basedOn w:val="Normalny"/>
    <w:link w:val="StopkaZnak"/>
    <w:uiPriority w:val="99"/>
    <w:semiHidden/>
    <w:rsid w:val="0045649E"/>
    <w:pPr>
      <w:tabs>
        <w:tab w:val="center" w:pos="4536"/>
        <w:tab w:val="right" w:pos="9696"/>
      </w:tabs>
      <w:ind w:left="-680" w:right="-680"/>
    </w:pPr>
    <w:rPr>
      <w:rFonts w:eastAsia="Times New Roman"/>
      <w:lang w:eastAsia="pl-PL"/>
    </w:rPr>
  </w:style>
  <w:style w:type="character" w:customStyle="1" w:styleId="StopkaZnak">
    <w:name w:val="Stopka Znak"/>
    <w:basedOn w:val="Domylnaczcionkaakapitu"/>
    <w:link w:val="Stopka"/>
    <w:uiPriority w:val="99"/>
    <w:semiHidden/>
    <w:locked/>
    <w:rsid w:val="0045649E"/>
    <w:rPr>
      <w:sz w:val="24"/>
    </w:rPr>
  </w:style>
  <w:style w:type="character" w:styleId="Odwoanieprzypisudolnego">
    <w:name w:val="footnote reference"/>
    <w:basedOn w:val="Domylnaczcionkaakapitu"/>
    <w:uiPriority w:val="99"/>
    <w:semiHidden/>
    <w:rsid w:val="0045649E"/>
    <w:rPr>
      <w:rFonts w:cs="Times New Roman"/>
      <w:vertAlign w:val="superscript"/>
    </w:rPr>
  </w:style>
  <w:style w:type="paragraph" w:styleId="Tekstprzypisudolnego">
    <w:name w:val="footnote text"/>
    <w:basedOn w:val="Normalny"/>
    <w:link w:val="TekstprzypisudolnegoZnak"/>
    <w:uiPriority w:val="99"/>
    <w:semiHidden/>
    <w:rsid w:val="0045649E"/>
    <w:rPr>
      <w:sz w:val="20"/>
      <w:szCs w:val="20"/>
      <w:lang w:eastAsia="pl-PL"/>
    </w:rPr>
  </w:style>
  <w:style w:type="character" w:customStyle="1" w:styleId="TekstprzypisudolnegoZnak">
    <w:name w:val="Tekst przypisu dolnego Znak"/>
    <w:basedOn w:val="Domylnaczcionkaakapitu"/>
    <w:link w:val="Tekstprzypisudolnego"/>
    <w:uiPriority w:val="99"/>
    <w:locked/>
    <w:rsid w:val="0045649E"/>
    <w:rPr>
      <w:rFonts w:eastAsia="MS Mincho"/>
      <w:sz w:val="20"/>
    </w:rPr>
  </w:style>
  <w:style w:type="character" w:styleId="Hipercze">
    <w:name w:val="Hyperlink"/>
    <w:basedOn w:val="Domylnaczcionkaakapitu"/>
    <w:uiPriority w:val="99"/>
    <w:semiHidden/>
    <w:rsid w:val="0045649E"/>
    <w:rPr>
      <w:rFonts w:cs="Times New Roman"/>
      <w:color w:val="0072BC"/>
      <w:u w:val="single"/>
    </w:rPr>
  </w:style>
  <w:style w:type="character" w:styleId="Wyrnienieintensywne">
    <w:name w:val="Intense Emphasis"/>
    <w:basedOn w:val="Domylnaczcionkaakapitu"/>
    <w:uiPriority w:val="99"/>
    <w:qFormat/>
    <w:rsid w:val="000F10FB"/>
    <w:rPr>
      <w:rFonts w:cs="Times New Roman"/>
      <w:b/>
      <w:bCs/>
    </w:rPr>
  </w:style>
  <w:style w:type="paragraph" w:styleId="Cytatintensywny">
    <w:name w:val="Intense Quote"/>
    <w:basedOn w:val="Normalny"/>
    <w:next w:val="Normalny"/>
    <w:link w:val="CytatintensywnyZnak"/>
    <w:uiPriority w:val="99"/>
    <w:qFormat/>
    <w:rsid w:val="000F10FB"/>
    <w:pPr>
      <w:pBdr>
        <w:bottom w:val="single" w:sz="4" w:space="1" w:color="auto"/>
      </w:pBdr>
      <w:spacing w:before="200" w:after="280"/>
      <w:ind w:left="1008" w:right="1152"/>
    </w:pPr>
    <w:rPr>
      <w:b/>
      <w:bCs/>
      <w:i/>
      <w:iCs/>
      <w:sz w:val="20"/>
      <w:szCs w:val="20"/>
      <w:lang w:eastAsia="pl-PL"/>
    </w:rPr>
  </w:style>
  <w:style w:type="character" w:customStyle="1" w:styleId="CytatintensywnyZnak">
    <w:name w:val="Cytat intensywny Znak"/>
    <w:basedOn w:val="Domylnaczcionkaakapitu"/>
    <w:link w:val="Cytatintensywny"/>
    <w:uiPriority w:val="99"/>
    <w:semiHidden/>
    <w:locked/>
    <w:rsid w:val="000F10FB"/>
    <w:rPr>
      <w:rFonts w:eastAsia="MS Mincho"/>
      <w:b/>
      <w:i/>
    </w:rPr>
  </w:style>
  <w:style w:type="character" w:styleId="Odwoanieintensywne">
    <w:name w:val="Intense Reference"/>
    <w:basedOn w:val="Domylnaczcionkaakapitu"/>
    <w:uiPriority w:val="99"/>
    <w:qFormat/>
    <w:rsid w:val="000F10FB"/>
    <w:rPr>
      <w:rFonts w:cs="Times New Roman"/>
      <w:smallCaps/>
      <w:spacing w:val="5"/>
      <w:u w:val="single"/>
    </w:rPr>
  </w:style>
  <w:style w:type="paragraph" w:styleId="Akapitzlist">
    <w:name w:val="List Paragraph"/>
    <w:basedOn w:val="Normalny"/>
    <w:uiPriority w:val="99"/>
    <w:qFormat/>
    <w:rsid w:val="000F10FB"/>
    <w:pPr>
      <w:ind w:left="720"/>
    </w:pPr>
  </w:style>
  <w:style w:type="table" w:customStyle="1" w:styleId="LtrTableAddress">
    <w:name w:val="Ltr_Table_Address"/>
    <w:uiPriority w:val="99"/>
    <w:rsid w:val="001E6F32"/>
    <w:pPr>
      <w:spacing w:after="0" w:line="240" w:lineRule="auto"/>
    </w:pPr>
    <w:rPr>
      <w:sz w:val="20"/>
      <w:szCs w:val="20"/>
    </w:rPr>
    <w:tblPr>
      <w:tblCellMar>
        <w:top w:w="0" w:type="dxa"/>
        <w:left w:w="108" w:type="dxa"/>
        <w:bottom w:w="0" w:type="dxa"/>
        <w:right w:w="108" w:type="dxa"/>
      </w:tblCellMar>
    </w:tblPr>
  </w:style>
  <w:style w:type="paragraph" w:styleId="Cytat">
    <w:name w:val="Quote"/>
    <w:basedOn w:val="Normalny"/>
    <w:next w:val="Normalny"/>
    <w:link w:val="CytatZnak"/>
    <w:uiPriority w:val="99"/>
    <w:qFormat/>
    <w:rsid w:val="000F10FB"/>
    <w:pPr>
      <w:spacing w:before="200"/>
      <w:ind w:left="360" w:right="360"/>
    </w:pPr>
    <w:rPr>
      <w:i/>
      <w:iCs/>
      <w:sz w:val="20"/>
      <w:szCs w:val="20"/>
      <w:lang w:eastAsia="pl-PL"/>
    </w:rPr>
  </w:style>
  <w:style w:type="character" w:customStyle="1" w:styleId="CytatZnak">
    <w:name w:val="Cytat Znak"/>
    <w:basedOn w:val="Domylnaczcionkaakapitu"/>
    <w:link w:val="Cytat"/>
    <w:uiPriority w:val="99"/>
    <w:semiHidden/>
    <w:locked/>
    <w:rsid w:val="000F10FB"/>
    <w:rPr>
      <w:rFonts w:eastAsia="MS Mincho"/>
      <w:i/>
    </w:rPr>
  </w:style>
  <w:style w:type="character" w:styleId="Odwoaniedelikatne">
    <w:name w:val="Subtle Reference"/>
    <w:basedOn w:val="Domylnaczcionkaakapitu"/>
    <w:uiPriority w:val="99"/>
    <w:qFormat/>
    <w:rsid w:val="000F10FB"/>
    <w:rPr>
      <w:rFonts w:cs="Times New Roman"/>
      <w:smallCaps/>
    </w:rPr>
  </w:style>
  <w:style w:type="table" w:styleId="Tabela-Siatka">
    <w:name w:val="Table Grid"/>
    <w:basedOn w:val="Standardowy"/>
    <w:uiPriority w:val="99"/>
    <w:semiHidden/>
    <w:rsid w:val="0045649E"/>
    <w:pPr>
      <w:spacing w:after="0" w:line="240" w:lineRule="auto"/>
    </w:pPr>
    <w:rPr>
      <w:rFonts w:eastAsia="MS Mincho"/>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99"/>
    <w:semiHidden/>
    <w:rsid w:val="0045649E"/>
    <w:pPr>
      <w:keepNext/>
      <w:tabs>
        <w:tab w:val="right" w:leader="dot" w:pos="7371"/>
      </w:tabs>
      <w:spacing w:before="160" w:after="60" w:line="240" w:lineRule="exact"/>
      <w:ind w:left="340" w:right="567" w:hanging="340"/>
    </w:pPr>
    <w:rPr>
      <w:b/>
      <w:bCs/>
      <w:sz w:val="22"/>
      <w:szCs w:val="22"/>
    </w:rPr>
  </w:style>
  <w:style w:type="paragraph" w:styleId="Spistreci2">
    <w:name w:val="toc 2"/>
    <w:basedOn w:val="Normalny"/>
    <w:next w:val="Normalny"/>
    <w:autoRedefine/>
    <w:uiPriority w:val="99"/>
    <w:semiHidden/>
    <w:rsid w:val="0045649E"/>
    <w:pPr>
      <w:keepNext/>
      <w:tabs>
        <w:tab w:val="right" w:leader="dot" w:pos="7371"/>
      </w:tabs>
      <w:spacing w:after="60" w:line="240" w:lineRule="exact"/>
      <w:ind w:left="680" w:right="567" w:hanging="340"/>
    </w:pPr>
    <w:rPr>
      <w:sz w:val="22"/>
      <w:szCs w:val="22"/>
    </w:rPr>
  </w:style>
  <w:style w:type="paragraph" w:styleId="Spistreci3">
    <w:name w:val="toc 3"/>
    <w:basedOn w:val="Normalny"/>
    <w:next w:val="Normalny"/>
    <w:autoRedefine/>
    <w:uiPriority w:val="99"/>
    <w:semiHidden/>
    <w:rsid w:val="0045649E"/>
    <w:pPr>
      <w:keepNext/>
      <w:tabs>
        <w:tab w:val="right" w:leader="dot" w:pos="7371"/>
      </w:tabs>
      <w:spacing w:after="60" w:line="240" w:lineRule="exact"/>
      <w:ind w:left="1020" w:right="567" w:hanging="340"/>
    </w:pPr>
    <w:rPr>
      <w:sz w:val="20"/>
      <w:szCs w:val="20"/>
    </w:rPr>
  </w:style>
  <w:style w:type="paragraph" w:styleId="Spistreci4">
    <w:name w:val="toc 4"/>
    <w:basedOn w:val="Normalny"/>
    <w:next w:val="Normalny"/>
    <w:autoRedefine/>
    <w:uiPriority w:val="99"/>
    <w:semiHidden/>
    <w:rsid w:val="0045649E"/>
    <w:pPr>
      <w:tabs>
        <w:tab w:val="right" w:leader="dot" w:pos="7371"/>
      </w:tabs>
      <w:spacing w:after="60" w:line="240" w:lineRule="exact"/>
      <w:ind w:left="1361" w:right="567" w:hanging="340"/>
    </w:pPr>
    <w:rPr>
      <w:sz w:val="20"/>
      <w:szCs w:val="20"/>
    </w:rPr>
  </w:style>
  <w:style w:type="paragraph" w:styleId="Spistreci5">
    <w:name w:val="toc 5"/>
    <w:basedOn w:val="Normalny"/>
    <w:next w:val="Normalny"/>
    <w:autoRedefine/>
    <w:uiPriority w:val="99"/>
    <w:semiHidden/>
    <w:rsid w:val="0045649E"/>
    <w:pPr>
      <w:tabs>
        <w:tab w:val="right" w:leader="dot" w:pos="7371"/>
      </w:tabs>
      <w:spacing w:after="60" w:line="240" w:lineRule="exact"/>
      <w:ind w:left="1701" w:right="567" w:hanging="340"/>
    </w:pPr>
    <w:rPr>
      <w:sz w:val="20"/>
      <w:szCs w:val="20"/>
    </w:rPr>
  </w:style>
  <w:style w:type="paragraph" w:styleId="Nagwekspisutreci">
    <w:name w:val="TOC Heading"/>
    <w:basedOn w:val="Normalny"/>
    <w:next w:val="Normalny"/>
    <w:uiPriority w:val="99"/>
    <w:qFormat/>
    <w:rsid w:val="000F10FB"/>
    <w:pPr>
      <w:keepNext/>
      <w:keepLines/>
      <w:spacing w:before="240"/>
      <w:jc w:val="center"/>
    </w:pPr>
    <w:rPr>
      <w:rFonts w:eastAsia="Times New Roman"/>
      <w:b/>
      <w:bCs/>
      <w:color w:val="474747"/>
      <w:sz w:val="28"/>
      <w:szCs w:val="28"/>
    </w:rPr>
  </w:style>
  <w:style w:type="table" w:customStyle="1" w:styleId="UGTable">
    <w:name w:val="UG_Table"/>
    <w:uiPriority w:val="99"/>
    <w:rsid w:val="00572845"/>
    <w:pPr>
      <w:spacing w:after="0" w:line="240" w:lineRule="auto"/>
    </w:pPr>
    <w:rPr>
      <w:rFonts w:eastAsia="MS Mincho"/>
      <w:sz w:val="20"/>
      <w:szCs w:val="20"/>
      <w:lang w:eastAsia="en-GB"/>
    </w:rPr>
    <w:tblPr>
      <w:tblCellMar>
        <w:top w:w="0" w:type="dxa"/>
        <w:left w:w="57" w:type="dxa"/>
        <w:bottom w:w="57" w:type="dxa"/>
        <w:right w:w="113" w:type="dxa"/>
      </w:tblCellMar>
    </w:tblPr>
  </w:style>
  <w:style w:type="table" w:customStyle="1" w:styleId="UGTableWhiteBox">
    <w:name w:val="UG_Table_White_Box"/>
    <w:uiPriority w:val="99"/>
    <w:rsid w:val="003609FA"/>
    <w:pPr>
      <w:spacing w:after="0" w:line="240" w:lineRule="auto"/>
    </w:pPr>
    <w:rPr>
      <w:rFonts w:eastAsia="MS Mincho"/>
      <w:sz w:val="20"/>
      <w:szCs w:val="20"/>
      <w:lang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uiPriority w:val="99"/>
    <w:rsid w:val="00810B38"/>
    <w:pPr>
      <w:spacing w:after="0" w:line="240" w:lineRule="auto"/>
    </w:pPr>
    <w:rPr>
      <w:color w:val="000000"/>
      <w:sz w:val="18"/>
      <w:szCs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CellMar>
        <w:top w:w="0" w:type="dxa"/>
        <w:left w:w="108" w:type="dxa"/>
        <w:bottom w:w="0" w:type="dxa"/>
        <w:right w:w="108" w:type="dxa"/>
      </w:tblCellMar>
    </w:tblPr>
  </w:style>
  <w:style w:type="table" w:customStyle="1" w:styleId="ECHRTableFax">
    <w:name w:val="ECHR_Table_Fax"/>
    <w:uiPriority w:val="99"/>
    <w:rsid w:val="00893576"/>
    <w:pPr>
      <w:spacing w:after="0" w:line="240" w:lineRule="auto"/>
    </w:pPr>
    <w:rPr>
      <w:color w:val="000000"/>
      <w:sz w:val="20"/>
      <w:szCs w:val="20"/>
    </w:rPr>
    <w:tblPr>
      <w:tblBorders>
        <w:insideH w:val="single" w:sz="4" w:space="0" w:color="C6C6C6"/>
        <w:insideV w:val="single" w:sz="4" w:space="0" w:color="C6C6C6"/>
      </w:tblBorders>
      <w:tblCellMar>
        <w:top w:w="142" w:type="dxa"/>
        <w:left w:w="108" w:type="dxa"/>
        <w:bottom w:w="142" w:type="dxa"/>
        <w:right w:w="108" w:type="dxa"/>
      </w:tblCellMar>
    </w:tblPr>
    <w:trPr>
      <w:cantSplit/>
    </w:trPr>
  </w:style>
  <w:style w:type="table" w:customStyle="1" w:styleId="ECHRTableMemo">
    <w:name w:val="ECHR_Table_Memo"/>
    <w:uiPriority w:val="99"/>
    <w:rsid w:val="00210338"/>
    <w:pPr>
      <w:spacing w:after="0" w:line="240" w:lineRule="auto"/>
    </w:pPr>
    <w:rPr>
      <w:sz w:val="20"/>
      <w:szCs w:val="20"/>
    </w:rPr>
    <w:tblPr>
      <w:jc w:val="center"/>
      <w:tblCellMar>
        <w:top w:w="113" w:type="dxa"/>
        <w:left w:w="0" w:type="dxa"/>
        <w:bottom w:w="113" w:type="dxa"/>
        <w:right w:w="0" w:type="dxa"/>
      </w:tblCellMar>
    </w:tblPr>
    <w:trPr>
      <w:jc w:val="center"/>
    </w:trPr>
  </w:style>
  <w:style w:type="table" w:customStyle="1" w:styleId="ECHRDNTable">
    <w:name w:val="ECHR_DN_Table"/>
    <w:aliases w:val="DN_Table"/>
    <w:uiPriority w:val="99"/>
    <w:rsid w:val="0090506B"/>
    <w:pPr>
      <w:spacing w:after="0" w:line="240" w:lineRule="auto"/>
    </w:pPr>
    <w:rPr>
      <w:sz w:val="20"/>
      <w:szCs w:val="20"/>
    </w:rPr>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left w:w="108" w:type="dxa"/>
        <w:bottom w:w="57" w:type="dxa"/>
        <w:right w:w="108" w:type="dxa"/>
      </w:tblCellMar>
    </w:tblPr>
    <w:trPr>
      <w:jc w:val="center"/>
    </w:trPr>
  </w:style>
  <w:style w:type="paragraph" w:styleId="Nagwekwykazurde">
    <w:name w:val="toa heading"/>
    <w:basedOn w:val="Normalny"/>
    <w:next w:val="Normalny"/>
    <w:uiPriority w:val="99"/>
    <w:semiHidden/>
    <w:rsid w:val="0045649E"/>
    <w:pPr>
      <w:keepNext/>
      <w:keepLines/>
      <w:spacing w:before="240"/>
      <w:jc w:val="center"/>
    </w:pPr>
    <w:rPr>
      <w:rFonts w:eastAsia="MS Gothic"/>
      <w:b/>
      <w:bCs/>
      <w:color w:val="474747"/>
      <w:sz w:val="28"/>
      <w:szCs w:val="28"/>
    </w:rPr>
  </w:style>
  <w:style w:type="paragraph" w:styleId="Podtytu">
    <w:name w:val="Subtitle"/>
    <w:basedOn w:val="Normalny"/>
    <w:next w:val="Normalny"/>
    <w:link w:val="PodtytuZnak"/>
    <w:uiPriority w:val="99"/>
    <w:qFormat/>
    <w:rsid w:val="000F10FB"/>
    <w:pPr>
      <w:spacing w:after="600"/>
    </w:pPr>
    <w:rPr>
      <w:rFonts w:eastAsia="MS Gothic"/>
      <w:i/>
      <w:iCs/>
      <w:spacing w:val="13"/>
      <w:lang w:eastAsia="pl-PL"/>
    </w:rPr>
  </w:style>
  <w:style w:type="character" w:customStyle="1" w:styleId="PodtytuZnak">
    <w:name w:val="Podtytuł Znak"/>
    <w:basedOn w:val="Domylnaczcionkaakapitu"/>
    <w:link w:val="Podtytu"/>
    <w:uiPriority w:val="99"/>
    <w:semiHidden/>
    <w:locked/>
    <w:rsid w:val="000F10FB"/>
    <w:rPr>
      <w:rFonts w:ascii="Times New Roman" w:eastAsia="MS Gothic" w:hAnsi="Times New Roman"/>
      <w:i/>
      <w:spacing w:val="13"/>
      <w:sz w:val="24"/>
    </w:rPr>
  </w:style>
  <w:style w:type="paragraph" w:customStyle="1" w:styleId="ECHRPara">
    <w:name w:val="ECHR_Para"/>
    <w:aliases w:val="Ju_Para,Left,First line:  0 cm"/>
    <w:basedOn w:val="Normalny"/>
    <w:link w:val="ECHRParaChar"/>
    <w:uiPriority w:val="99"/>
    <w:rsid w:val="000F10FB"/>
    <w:pPr>
      <w:ind w:firstLine="284"/>
    </w:pPr>
    <w:rPr>
      <w:lang w:eastAsia="pl-PL"/>
    </w:rPr>
  </w:style>
  <w:style w:type="table" w:customStyle="1" w:styleId="ECHRTableSimpleBox">
    <w:name w:val="ECHR_Table_Simple_Box"/>
    <w:uiPriority w:val="99"/>
    <w:rsid w:val="00AE354C"/>
    <w:pPr>
      <w:spacing w:after="0" w:line="240" w:lineRule="auto"/>
    </w:pPr>
    <w:rPr>
      <w:sz w:val="20"/>
      <w:szCs w:val="20"/>
    </w:rPr>
    <w:tblPr>
      <w:tblBorders>
        <w:top w:val="single" w:sz="4" w:space="0" w:color="9F9F9F"/>
        <w:left w:val="single" w:sz="4" w:space="0" w:color="9F9F9F"/>
        <w:bottom w:val="single" w:sz="4" w:space="0" w:color="9F9F9F"/>
        <w:right w:val="single" w:sz="4" w:space="0" w:color="9F9F9F"/>
      </w:tblBorders>
      <w:tblCellMar>
        <w:top w:w="113" w:type="dxa"/>
        <w:left w:w="108" w:type="dxa"/>
        <w:bottom w:w="113" w:type="dxa"/>
        <w:right w:w="108" w:type="dxa"/>
      </w:tblCellMar>
    </w:tblPr>
  </w:style>
  <w:style w:type="table" w:customStyle="1" w:styleId="ECHRTableNoLines">
    <w:name w:val="ECHR_Table_No_Lines"/>
    <w:uiPriority w:val="99"/>
    <w:rsid w:val="00F218EF"/>
    <w:pPr>
      <w:spacing w:after="0" w:line="240" w:lineRule="auto"/>
    </w:pPr>
    <w:rPr>
      <w:sz w:val="20"/>
      <w:szCs w:val="20"/>
    </w:rPr>
    <w:tblPr>
      <w:tblCellMar>
        <w:top w:w="85" w:type="dxa"/>
        <w:left w:w="142" w:type="dxa"/>
        <w:bottom w:w="28" w:type="dxa"/>
        <w:right w:w="142" w:type="dxa"/>
      </w:tblCellMar>
    </w:tblPr>
  </w:style>
  <w:style w:type="table" w:customStyle="1" w:styleId="ECHRTableForInternalUse">
    <w:name w:val="ECHR_Table_For_Internal_Use"/>
    <w:uiPriority w:val="99"/>
    <w:rsid w:val="005474E7"/>
    <w:pPr>
      <w:spacing w:after="0" w:line="240" w:lineRule="auto"/>
    </w:pPr>
    <w:rPr>
      <w:color w:val="636363"/>
      <w:sz w:val="18"/>
      <w:szCs w:val="18"/>
    </w:rPr>
    <w:tblPr>
      <w:tblStyleColBandSize w:val="1"/>
      <w:jc w:val="right"/>
      <w:tblCellMar>
        <w:top w:w="113" w:type="dxa"/>
        <w:left w:w="108" w:type="dxa"/>
        <w:bottom w:w="28" w:type="dxa"/>
        <w:right w:w="108" w:type="dxa"/>
      </w:tblCellMar>
    </w:tblPr>
    <w:trPr>
      <w:jc w:val="right"/>
    </w:trPr>
  </w:style>
  <w:style w:type="table" w:customStyle="1" w:styleId="ECHRListTable">
    <w:name w:val="ECHR_List_Table"/>
    <w:uiPriority w:val="99"/>
    <w:rsid w:val="0045649E"/>
    <w:pPr>
      <w:spacing w:after="0" w:line="240" w:lineRule="auto"/>
    </w:pPr>
    <w:rPr>
      <w:sz w:val="20"/>
      <w:szCs w:val="20"/>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paragraph" w:styleId="Bibliografia">
    <w:name w:val="Bibliography"/>
    <w:basedOn w:val="Normalny"/>
    <w:next w:val="Normalny"/>
    <w:uiPriority w:val="99"/>
    <w:semiHidden/>
    <w:rsid w:val="00DC4033"/>
  </w:style>
  <w:style w:type="paragraph" w:styleId="Tekstblokowy">
    <w:name w:val="Block Text"/>
    <w:basedOn w:val="Normalny"/>
    <w:uiPriority w:val="99"/>
    <w:semiHidden/>
    <w:rsid w:val="00DC4033"/>
    <w:pPr>
      <w:pBdr>
        <w:top w:val="single" w:sz="2" w:space="10" w:color="0072BC"/>
        <w:left w:val="single" w:sz="2" w:space="10" w:color="0072BC"/>
        <w:bottom w:val="single" w:sz="2" w:space="10" w:color="0072BC"/>
        <w:right w:val="single" w:sz="2" w:space="10" w:color="0072BC"/>
      </w:pBdr>
      <w:ind w:left="1152" w:right="1152"/>
    </w:pPr>
    <w:rPr>
      <w:i/>
      <w:iCs/>
      <w:color w:val="0072BC"/>
    </w:rPr>
  </w:style>
  <w:style w:type="table" w:customStyle="1" w:styleId="ECHRHeaderTable">
    <w:name w:val="ECHR_Header_Table"/>
    <w:uiPriority w:val="99"/>
    <w:rsid w:val="00661971"/>
    <w:pPr>
      <w:spacing w:after="0" w:line="240" w:lineRule="auto"/>
    </w:pPr>
    <w:rPr>
      <w:sz w:val="20"/>
      <w:szCs w:val="20"/>
    </w:rPr>
    <w:tblPr>
      <w:tblBorders>
        <w:bottom w:val="single" w:sz="6" w:space="0" w:color="949494"/>
      </w:tblBorders>
      <w:tblCellMar>
        <w:top w:w="0" w:type="dxa"/>
        <w:left w:w="0" w:type="dxa"/>
        <w:bottom w:w="28" w:type="dxa"/>
        <w:right w:w="0" w:type="dxa"/>
      </w:tblCellMar>
    </w:tblPr>
  </w:style>
  <w:style w:type="paragraph" w:styleId="Tekstpodstawowy">
    <w:name w:val="Body Text"/>
    <w:basedOn w:val="Normalny"/>
    <w:link w:val="TekstpodstawowyZnak"/>
    <w:uiPriority w:val="99"/>
    <w:semiHidden/>
    <w:rsid w:val="00DC4033"/>
    <w:pPr>
      <w:spacing w:after="120"/>
    </w:pPr>
    <w:rPr>
      <w:lang w:eastAsia="pl-PL"/>
    </w:rPr>
  </w:style>
  <w:style w:type="character" w:customStyle="1" w:styleId="TekstpodstawowyZnak">
    <w:name w:val="Tekst podstawowy Znak"/>
    <w:basedOn w:val="Domylnaczcionkaakapitu"/>
    <w:link w:val="Tekstpodstawowy"/>
    <w:uiPriority w:val="99"/>
    <w:semiHidden/>
    <w:locked/>
    <w:rsid w:val="00DC4033"/>
    <w:rPr>
      <w:rFonts w:eastAsia="MS Mincho"/>
      <w:sz w:val="24"/>
    </w:rPr>
  </w:style>
  <w:style w:type="table" w:customStyle="1" w:styleId="ECHRTableOddBanded">
    <w:name w:val="ECHR_Table_Odd_Banded"/>
    <w:uiPriority w:val="99"/>
    <w:rsid w:val="00860B03"/>
    <w:pPr>
      <w:spacing w:after="0" w:line="240" w:lineRule="auto"/>
    </w:pPr>
    <w:rPr>
      <w:sz w:val="20"/>
      <w:szCs w:val="20"/>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paragraph" w:styleId="Tekstpodstawowy2">
    <w:name w:val="Body Text 2"/>
    <w:basedOn w:val="Normalny"/>
    <w:link w:val="Tekstpodstawowy2Znak"/>
    <w:uiPriority w:val="99"/>
    <w:semiHidden/>
    <w:rsid w:val="00DC4033"/>
    <w:pPr>
      <w:spacing w:after="120" w:line="480" w:lineRule="auto"/>
    </w:pPr>
    <w:rPr>
      <w:lang w:eastAsia="pl-PL"/>
    </w:rPr>
  </w:style>
  <w:style w:type="character" w:customStyle="1" w:styleId="Tekstpodstawowy2Znak">
    <w:name w:val="Tekst podstawowy 2 Znak"/>
    <w:basedOn w:val="Domylnaczcionkaakapitu"/>
    <w:link w:val="Tekstpodstawowy2"/>
    <w:uiPriority w:val="99"/>
    <w:semiHidden/>
    <w:locked/>
    <w:rsid w:val="00DC4033"/>
    <w:rPr>
      <w:rFonts w:eastAsia="MS Mincho"/>
      <w:sz w:val="24"/>
    </w:rPr>
  </w:style>
  <w:style w:type="table" w:customStyle="1" w:styleId="ECHRHeaderTableReduced">
    <w:name w:val="ECHR_Header_Table_Reduced"/>
    <w:uiPriority w:val="99"/>
    <w:rsid w:val="00B52BE0"/>
    <w:pPr>
      <w:spacing w:after="0" w:line="240" w:lineRule="auto"/>
    </w:pPr>
    <w:rPr>
      <w:sz w:val="20"/>
      <w:szCs w:val="20"/>
    </w:rPr>
    <w:tblPr>
      <w:tblCellMar>
        <w:top w:w="0" w:type="dxa"/>
        <w:left w:w="0" w:type="dxa"/>
        <w:bottom w:w="0" w:type="dxa"/>
        <w:right w:w="0" w:type="dxa"/>
      </w:tblCellMar>
    </w:tblPr>
  </w:style>
  <w:style w:type="paragraph" w:customStyle="1" w:styleId="JuCase">
    <w:name w:val="Ju_Case"/>
    <w:basedOn w:val="Normalny"/>
    <w:next w:val="ECHRPara"/>
    <w:uiPriority w:val="99"/>
    <w:rsid w:val="0045649E"/>
    <w:pPr>
      <w:ind w:firstLine="284"/>
    </w:pPr>
    <w:rPr>
      <w:b/>
      <w:bCs/>
    </w:rPr>
  </w:style>
  <w:style w:type="character" w:styleId="Numerstrony">
    <w:name w:val="page number"/>
    <w:basedOn w:val="Domylnaczcionkaakapitu"/>
    <w:uiPriority w:val="99"/>
    <w:semiHidden/>
    <w:rsid w:val="00DC4033"/>
    <w:rPr>
      <w:rFonts w:cs="Times New Roman"/>
      <w:sz w:val="18"/>
      <w:szCs w:val="18"/>
    </w:rPr>
  </w:style>
  <w:style w:type="paragraph" w:styleId="Listapunktowana">
    <w:name w:val="List Bullet"/>
    <w:basedOn w:val="Normalny"/>
    <w:uiPriority w:val="99"/>
    <w:semiHidden/>
    <w:rsid w:val="00DC4033"/>
    <w:pPr>
      <w:numPr>
        <w:numId w:val="40"/>
      </w:numPr>
    </w:pPr>
  </w:style>
  <w:style w:type="paragraph" w:styleId="Tekstpodstawowy3">
    <w:name w:val="Body Text 3"/>
    <w:basedOn w:val="Normalny"/>
    <w:link w:val="Tekstpodstawowy3Znak"/>
    <w:uiPriority w:val="99"/>
    <w:semiHidden/>
    <w:rsid w:val="00DC4033"/>
    <w:pPr>
      <w:spacing w:after="120"/>
    </w:pPr>
    <w:rPr>
      <w:sz w:val="16"/>
      <w:szCs w:val="16"/>
      <w:lang w:eastAsia="pl-PL"/>
    </w:rPr>
  </w:style>
  <w:style w:type="character" w:customStyle="1" w:styleId="Tekstpodstawowy3Znak">
    <w:name w:val="Tekst podstawowy 3 Znak"/>
    <w:basedOn w:val="Domylnaczcionkaakapitu"/>
    <w:link w:val="Tekstpodstawowy3"/>
    <w:uiPriority w:val="99"/>
    <w:semiHidden/>
    <w:locked/>
    <w:rsid w:val="00DC4033"/>
    <w:rPr>
      <w:rFonts w:eastAsia="MS Mincho"/>
      <w:sz w:val="16"/>
    </w:rPr>
  </w:style>
  <w:style w:type="paragraph" w:styleId="Tekstpodstawowyzwciciem">
    <w:name w:val="Body Text First Indent"/>
    <w:basedOn w:val="Tekstpodstawowy"/>
    <w:link w:val="TekstpodstawowyzwciciemZnak"/>
    <w:uiPriority w:val="99"/>
    <w:semiHidden/>
    <w:rsid w:val="00DC4033"/>
    <w:pPr>
      <w:spacing w:after="0"/>
      <w:ind w:firstLine="360"/>
    </w:pPr>
  </w:style>
  <w:style w:type="character" w:customStyle="1" w:styleId="TekstpodstawowyzwciciemZnak">
    <w:name w:val="Tekst podstawowy z wcięciem Znak"/>
    <w:basedOn w:val="TekstpodstawowyZnak"/>
    <w:link w:val="Tekstpodstawowyzwciciem"/>
    <w:uiPriority w:val="99"/>
    <w:semiHidden/>
    <w:locked/>
    <w:rsid w:val="00DC4033"/>
    <w:rPr>
      <w:rFonts w:eastAsia="MS Mincho"/>
      <w:sz w:val="24"/>
    </w:rPr>
  </w:style>
  <w:style w:type="paragraph" w:styleId="Tekstpodstawowywcity">
    <w:name w:val="Body Text Indent"/>
    <w:basedOn w:val="Normalny"/>
    <w:link w:val="TekstpodstawowywcityZnak"/>
    <w:uiPriority w:val="99"/>
    <w:semiHidden/>
    <w:rsid w:val="00DC4033"/>
    <w:pPr>
      <w:spacing w:after="120"/>
      <w:ind w:left="283"/>
    </w:pPr>
    <w:rPr>
      <w:lang w:eastAsia="pl-PL"/>
    </w:rPr>
  </w:style>
  <w:style w:type="character" w:customStyle="1" w:styleId="TekstpodstawowywcityZnak">
    <w:name w:val="Tekst podstawowy wcięty Znak"/>
    <w:basedOn w:val="Domylnaczcionkaakapitu"/>
    <w:link w:val="Tekstpodstawowywcity"/>
    <w:uiPriority w:val="99"/>
    <w:semiHidden/>
    <w:locked/>
    <w:rsid w:val="00DC4033"/>
    <w:rPr>
      <w:rFonts w:eastAsia="MS Mincho"/>
      <w:sz w:val="24"/>
    </w:rPr>
  </w:style>
  <w:style w:type="paragraph" w:styleId="Tekstpodstawowyzwciciem2">
    <w:name w:val="Body Text First Indent 2"/>
    <w:basedOn w:val="Tekstpodstawowywcity"/>
    <w:link w:val="Tekstpodstawowyzwciciem2Znak"/>
    <w:uiPriority w:val="99"/>
    <w:semiHidden/>
    <w:rsid w:val="00DC4033"/>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locked/>
    <w:rsid w:val="00DC4033"/>
    <w:rPr>
      <w:rFonts w:eastAsia="MS Mincho"/>
      <w:sz w:val="24"/>
    </w:rPr>
  </w:style>
  <w:style w:type="paragraph" w:styleId="Tekstpodstawowywcity2">
    <w:name w:val="Body Text Indent 2"/>
    <w:basedOn w:val="Normalny"/>
    <w:link w:val="Tekstpodstawowywcity2Znak"/>
    <w:uiPriority w:val="99"/>
    <w:semiHidden/>
    <w:rsid w:val="00DC4033"/>
    <w:pPr>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uiPriority w:val="99"/>
    <w:semiHidden/>
    <w:locked/>
    <w:rsid w:val="00DC4033"/>
    <w:rPr>
      <w:rFonts w:eastAsia="MS Mincho"/>
      <w:sz w:val="24"/>
    </w:rPr>
  </w:style>
  <w:style w:type="paragraph" w:styleId="Tekstpodstawowywcity3">
    <w:name w:val="Body Text Indent 3"/>
    <w:basedOn w:val="Normalny"/>
    <w:link w:val="Tekstpodstawowywcity3Znak"/>
    <w:uiPriority w:val="99"/>
    <w:semiHidden/>
    <w:rsid w:val="00DC4033"/>
    <w:pPr>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uiPriority w:val="99"/>
    <w:semiHidden/>
    <w:locked/>
    <w:rsid w:val="00DC4033"/>
    <w:rPr>
      <w:rFonts w:eastAsia="MS Mincho"/>
      <w:sz w:val="16"/>
    </w:rPr>
  </w:style>
  <w:style w:type="paragraph" w:styleId="Legenda">
    <w:name w:val="caption"/>
    <w:basedOn w:val="Normalny"/>
    <w:next w:val="Normalny"/>
    <w:uiPriority w:val="99"/>
    <w:qFormat/>
    <w:rsid w:val="00DC4033"/>
    <w:pPr>
      <w:spacing w:after="200"/>
    </w:pPr>
    <w:rPr>
      <w:b/>
      <w:bCs/>
      <w:color w:val="0072BC"/>
      <w:sz w:val="18"/>
      <w:szCs w:val="18"/>
    </w:rPr>
  </w:style>
  <w:style w:type="paragraph" w:styleId="Zwrotpoegnalny">
    <w:name w:val="Closing"/>
    <w:basedOn w:val="Normalny"/>
    <w:link w:val="ZwrotpoegnalnyZnak"/>
    <w:uiPriority w:val="99"/>
    <w:semiHidden/>
    <w:rsid w:val="00DC4033"/>
    <w:pPr>
      <w:ind w:left="4252"/>
    </w:pPr>
    <w:rPr>
      <w:lang w:eastAsia="pl-PL"/>
    </w:rPr>
  </w:style>
  <w:style w:type="character" w:customStyle="1" w:styleId="ZwrotpoegnalnyZnak">
    <w:name w:val="Zwrot pożegnalny Znak"/>
    <w:basedOn w:val="Domylnaczcionkaakapitu"/>
    <w:link w:val="Zwrotpoegnalny"/>
    <w:uiPriority w:val="99"/>
    <w:semiHidden/>
    <w:locked/>
    <w:rsid w:val="00DC4033"/>
    <w:rPr>
      <w:rFonts w:eastAsia="MS Mincho"/>
      <w:sz w:val="24"/>
    </w:rPr>
  </w:style>
  <w:style w:type="table" w:styleId="Kolorowasiatka">
    <w:name w:val="Colorful Grid"/>
    <w:basedOn w:val="Standardowy"/>
    <w:uiPriority w:val="99"/>
    <w:semiHidden/>
    <w:rsid w:val="00DC4033"/>
    <w:pPr>
      <w:spacing w:after="0" w:line="240" w:lineRule="auto"/>
    </w:pPr>
    <w:rPr>
      <w:color w:val="000000"/>
      <w:sz w:val="20"/>
      <w:szCs w:val="20"/>
    </w:rPr>
    <w:tblPr>
      <w:tblStyleRowBandSize w:val="1"/>
      <w:tblStyleColBandSize w:val="1"/>
      <w:tblInd w:w="0" w:type="nil"/>
      <w:tblBorders>
        <w:insideH w:val="single" w:sz="4" w:space="0" w:color="0072BC"/>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0072BC"/>
      </w:rPr>
      <w:tblPr/>
      <w:tcPr>
        <w:shd w:val="clear" w:color="auto" w:fill="000000"/>
      </w:tcPr>
    </w:tblStylePr>
    <w:tblStylePr w:type="lastCol">
      <w:rPr>
        <w:rFonts w:cs="Times New Roman"/>
        <w:color w:val="0072BC"/>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Kolorowasiatkaakcent1">
    <w:name w:val="Colorful Grid Accent 1"/>
    <w:basedOn w:val="Standardowy"/>
    <w:uiPriority w:val="99"/>
    <w:semiHidden/>
    <w:rsid w:val="00DC4033"/>
    <w:pPr>
      <w:spacing w:after="0" w:line="240" w:lineRule="auto"/>
    </w:pPr>
    <w:rPr>
      <w:color w:val="000000"/>
      <w:sz w:val="20"/>
      <w:szCs w:val="20"/>
    </w:rPr>
    <w:tblPr>
      <w:tblStyleRowBandSize w:val="1"/>
      <w:tblStyleColBandSize w:val="1"/>
      <w:tblInd w:w="0" w:type="nil"/>
      <w:tblBorders>
        <w:insideH w:val="single" w:sz="4" w:space="0" w:color="0072BC"/>
      </w:tblBorders>
    </w:tblPr>
    <w:tcPr>
      <w:shd w:val="clear" w:color="auto" w:fill="BEE5FF"/>
    </w:tcPr>
    <w:tblStylePr w:type="firstRow">
      <w:rPr>
        <w:rFonts w:cs="Times New Roman"/>
        <w:b/>
        <w:bCs/>
      </w:rPr>
      <w:tblPr/>
      <w:tcPr>
        <w:shd w:val="clear" w:color="auto" w:fill="7ECBFF"/>
      </w:tcPr>
    </w:tblStylePr>
    <w:tblStylePr w:type="lastRow">
      <w:rPr>
        <w:rFonts w:cs="Times New Roman"/>
        <w:b/>
        <w:bCs/>
        <w:color w:val="000000"/>
      </w:rPr>
      <w:tblPr/>
      <w:tcPr>
        <w:shd w:val="clear" w:color="auto" w:fill="7ECBFF"/>
      </w:tcPr>
    </w:tblStylePr>
    <w:tblStylePr w:type="firstCol">
      <w:rPr>
        <w:rFonts w:cs="Times New Roman"/>
        <w:color w:val="0072BC"/>
      </w:rPr>
      <w:tblPr/>
      <w:tcPr>
        <w:shd w:val="clear" w:color="auto" w:fill="00548C"/>
      </w:tcPr>
    </w:tblStylePr>
    <w:tblStylePr w:type="lastCol">
      <w:rPr>
        <w:rFonts w:cs="Times New Roman"/>
        <w:color w:val="0072BC"/>
      </w:rPr>
      <w:tblPr/>
      <w:tcPr>
        <w:shd w:val="clear" w:color="auto" w:fill="00548C"/>
      </w:tc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Kolorowasiatkaakcent2">
    <w:name w:val="Colorful Grid Accent 2"/>
    <w:basedOn w:val="Standardowy"/>
    <w:uiPriority w:val="99"/>
    <w:semiHidden/>
    <w:rsid w:val="00DC4033"/>
    <w:pPr>
      <w:spacing w:after="0" w:line="240" w:lineRule="auto"/>
    </w:pPr>
    <w:rPr>
      <w:color w:val="000000"/>
      <w:sz w:val="20"/>
      <w:szCs w:val="20"/>
    </w:rPr>
    <w:tblPr>
      <w:tblStyleRowBandSize w:val="1"/>
      <w:tblStyleColBandSize w:val="1"/>
      <w:tblInd w:w="0" w:type="nil"/>
      <w:tblBorders>
        <w:insideH w:val="single" w:sz="4" w:space="0" w:color="0072BC"/>
      </w:tblBorders>
    </w:tblPr>
    <w:tcPr>
      <w:shd w:val="clear" w:color="auto" w:fill="FFBFBF"/>
    </w:tcPr>
    <w:tblStylePr w:type="firstRow">
      <w:rPr>
        <w:rFonts w:cs="Times New Roman"/>
        <w:b/>
        <w:bCs/>
      </w:rPr>
      <w:tblPr/>
      <w:tcPr>
        <w:shd w:val="clear" w:color="auto" w:fill="FF7F7F"/>
      </w:tcPr>
    </w:tblStylePr>
    <w:tblStylePr w:type="lastRow">
      <w:rPr>
        <w:rFonts w:cs="Times New Roman"/>
        <w:b/>
        <w:bCs/>
        <w:color w:val="000000"/>
      </w:rPr>
      <w:tblPr/>
      <w:tcPr>
        <w:shd w:val="clear" w:color="auto" w:fill="FF7F7F"/>
      </w:tcPr>
    </w:tblStylePr>
    <w:tblStylePr w:type="firstCol">
      <w:rPr>
        <w:rFonts w:cs="Times New Roman"/>
        <w:color w:val="0072BC"/>
      </w:rPr>
      <w:tblPr/>
      <w:tcPr>
        <w:shd w:val="clear" w:color="auto" w:fill="8F0000"/>
      </w:tcPr>
    </w:tblStylePr>
    <w:tblStylePr w:type="lastCol">
      <w:rPr>
        <w:rFonts w:cs="Times New Roman"/>
        <w:color w:val="0072BC"/>
      </w:rPr>
      <w:tblPr/>
      <w:tcPr>
        <w:shd w:val="clear" w:color="auto" w:fill="8F0000"/>
      </w:tc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Kolorowasiatkaakcent3">
    <w:name w:val="Colorful Grid Accent 3"/>
    <w:basedOn w:val="Standardowy"/>
    <w:uiPriority w:val="99"/>
    <w:semiHidden/>
    <w:rsid w:val="00DC4033"/>
    <w:pPr>
      <w:spacing w:after="0" w:line="240" w:lineRule="auto"/>
    </w:pPr>
    <w:rPr>
      <w:color w:val="000000"/>
      <w:sz w:val="20"/>
      <w:szCs w:val="20"/>
    </w:rPr>
    <w:tblPr>
      <w:tblStyleRowBandSize w:val="1"/>
      <w:tblStyleColBandSize w:val="1"/>
      <w:tblInd w:w="0" w:type="nil"/>
      <w:tblBorders>
        <w:insideH w:val="single" w:sz="4" w:space="0" w:color="0072BC"/>
      </w:tblBorders>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Kolorowasiatkaakcent4">
    <w:name w:val="Colorful Grid Accent 4"/>
    <w:basedOn w:val="Standardowy"/>
    <w:uiPriority w:val="99"/>
    <w:semiHidden/>
    <w:rsid w:val="00DC4033"/>
    <w:pPr>
      <w:spacing w:after="0" w:line="240" w:lineRule="auto"/>
    </w:pPr>
    <w:rPr>
      <w:color w:val="000000"/>
      <w:sz w:val="20"/>
      <w:szCs w:val="20"/>
    </w:rPr>
    <w:tblPr>
      <w:tblStyleRowBandSize w:val="1"/>
      <w:tblStyleColBandSize w:val="1"/>
      <w:tblInd w:w="0" w:type="nil"/>
      <w:tblBorders>
        <w:insideH w:val="single" w:sz="4" w:space="0" w:color="0072BC"/>
      </w:tblBorders>
    </w:tblPr>
    <w:tcPr>
      <w:shd w:val="clear" w:color="auto" w:fill="EAEAEA"/>
    </w:tcPr>
    <w:tblStylePr w:type="firstRow">
      <w:rPr>
        <w:rFonts w:cs="Times New Roman"/>
        <w:b/>
        <w:bCs/>
      </w:rPr>
      <w:tblPr/>
      <w:tcPr>
        <w:shd w:val="clear" w:color="auto" w:fill="D5D5D5"/>
      </w:tcPr>
    </w:tblStylePr>
    <w:tblStylePr w:type="lastRow">
      <w:rPr>
        <w:rFonts w:cs="Times New Roman"/>
        <w:b/>
        <w:bCs/>
        <w:color w:val="000000"/>
      </w:rPr>
      <w:tblPr/>
      <w:tcPr>
        <w:shd w:val="clear" w:color="auto" w:fill="D5D5D5"/>
      </w:tcPr>
    </w:tblStylePr>
    <w:tblStylePr w:type="firstCol">
      <w:rPr>
        <w:rFonts w:cs="Times New Roman"/>
        <w:color w:val="0072BC"/>
      </w:rPr>
      <w:tblPr/>
      <w:tcPr>
        <w:shd w:val="clear" w:color="auto" w:fill="707070"/>
      </w:tcPr>
    </w:tblStylePr>
    <w:tblStylePr w:type="lastCol">
      <w:rPr>
        <w:rFonts w:cs="Times New Roman"/>
        <w:color w:val="0072BC"/>
      </w:rPr>
      <w:tblPr/>
      <w:tcPr>
        <w:shd w:val="clear" w:color="auto" w:fill="707070"/>
      </w:tc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Kolorowasiatkaakcent5">
    <w:name w:val="Colorful Grid Accent 5"/>
    <w:basedOn w:val="Standardowy"/>
    <w:uiPriority w:val="99"/>
    <w:semiHidden/>
    <w:rsid w:val="00DC4033"/>
    <w:pPr>
      <w:spacing w:after="0" w:line="240" w:lineRule="auto"/>
    </w:pPr>
    <w:rPr>
      <w:color w:val="000000"/>
      <w:sz w:val="20"/>
      <w:szCs w:val="20"/>
    </w:rPr>
    <w:tblPr>
      <w:tblStyleRowBandSize w:val="1"/>
      <w:tblStyleColBandSize w:val="1"/>
      <w:tblInd w:w="0" w:type="nil"/>
      <w:tblBorders>
        <w:insideH w:val="single" w:sz="4" w:space="0" w:color="0072BC"/>
      </w:tblBorders>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Kolorowasiatkaakcent6">
    <w:name w:val="Colorful Grid Accent 6"/>
    <w:basedOn w:val="Standardowy"/>
    <w:uiPriority w:val="99"/>
    <w:semiHidden/>
    <w:rsid w:val="00DC4033"/>
    <w:pPr>
      <w:spacing w:after="0" w:line="240" w:lineRule="auto"/>
    </w:pPr>
    <w:rPr>
      <w:color w:val="000000"/>
      <w:sz w:val="20"/>
      <w:szCs w:val="20"/>
    </w:rPr>
    <w:tblPr>
      <w:tblStyleRowBandSize w:val="1"/>
      <w:tblStyleColBandSize w:val="1"/>
      <w:tblInd w:w="0" w:type="nil"/>
      <w:tblBorders>
        <w:insideH w:val="single" w:sz="4" w:space="0" w:color="0072BC"/>
      </w:tblBorders>
    </w:tblPr>
    <w:tcPr>
      <w:shd w:val="clear" w:color="auto" w:fill="DBDBDB"/>
    </w:tcPr>
    <w:tblStylePr w:type="firstRow">
      <w:rPr>
        <w:rFonts w:cs="Times New Roman"/>
        <w:b/>
        <w:bCs/>
      </w:rPr>
      <w:tblPr/>
      <w:tcPr>
        <w:shd w:val="clear" w:color="auto" w:fill="B7B7B7"/>
      </w:tcPr>
    </w:tblStylePr>
    <w:tblStylePr w:type="lastRow">
      <w:rPr>
        <w:rFonts w:cs="Times New Roman"/>
        <w:b/>
        <w:bCs/>
        <w:color w:val="000000"/>
      </w:rPr>
      <w:tblPr/>
      <w:tcPr>
        <w:shd w:val="clear" w:color="auto" w:fill="B7B7B7"/>
      </w:tcPr>
    </w:tblStylePr>
    <w:tblStylePr w:type="firstCol">
      <w:rPr>
        <w:rFonts w:cs="Times New Roman"/>
        <w:color w:val="0072BC"/>
      </w:rPr>
      <w:tblPr/>
      <w:tcPr>
        <w:shd w:val="clear" w:color="auto" w:fill="393939"/>
      </w:tcPr>
    </w:tblStylePr>
    <w:tblStylePr w:type="lastCol">
      <w:rPr>
        <w:rFonts w:cs="Times New Roman"/>
        <w:color w:val="0072BC"/>
      </w:rPr>
      <w:tblPr/>
      <w:tcPr>
        <w:shd w:val="clear" w:color="auto" w:fill="393939"/>
      </w:tc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Kolorowalista">
    <w:name w:val="Colorful List"/>
    <w:basedOn w:val="Standardowy"/>
    <w:uiPriority w:val="99"/>
    <w:semiHidden/>
    <w:rsid w:val="00DC4033"/>
    <w:pPr>
      <w:spacing w:after="0" w:line="240" w:lineRule="auto"/>
    </w:pPr>
    <w:rPr>
      <w:color w:val="000000"/>
      <w:sz w:val="20"/>
      <w:szCs w:val="20"/>
    </w:rPr>
    <w:tblPr>
      <w:tblStyleRowBandSize w:val="1"/>
      <w:tblStyleColBandSize w:val="1"/>
      <w:tblInd w:w="0" w:type="nil"/>
    </w:tblPr>
    <w:tcPr>
      <w:shd w:val="clear" w:color="auto" w:fill="E6E6E6"/>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Kolorowalistaakcent1">
    <w:name w:val="Colorful List Accent 1"/>
    <w:basedOn w:val="Standardowy"/>
    <w:uiPriority w:val="99"/>
    <w:semiHidden/>
    <w:rsid w:val="00DC4033"/>
    <w:pPr>
      <w:spacing w:after="0" w:line="240" w:lineRule="auto"/>
    </w:pPr>
    <w:rPr>
      <w:color w:val="000000"/>
      <w:sz w:val="20"/>
      <w:szCs w:val="20"/>
    </w:rPr>
    <w:tblPr>
      <w:tblStyleRowBandSize w:val="1"/>
      <w:tblStyleColBandSize w:val="1"/>
      <w:tblInd w:w="0" w:type="nil"/>
    </w:tblPr>
    <w:tcPr>
      <w:shd w:val="clear" w:color="auto" w:fill="DFF2F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AFDFFF"/>
      </w:tcPr>
    </w:tblStylePr>
    <w:tblStylePr w:type="band1Horz">
      <w:rPr>
        <w:rFonts w:cs="Times New Roman"/>
      </w:rPr>
      <w:tblPr/>
      <w:tcPr>
        <w:shd w:val="clear" w:color="auto" w:fill="BEE5FF"/>
      </w:tcPr>
    </w:tblStylePr>
  </w:style>
  <w:style w:type="table" w:styleId="Kolorowalistaakcent2">
    <w:name w:val="Colorful List Accent 2"/>
    <w:basedOn w:val="Standardowy"/>
    <w:uiPriority w:val="99"/>
    <w:semiHidden/>
    <w:rsid w:val="00DC4033"/>
    <w:pPr>
      <w:spacing w:after="0" w:line="240" w:lineRule="auto"/>
    </w:pPr>
    <w:rPr>
      <w:color w:val="000000"/>
      <w:sz w:val="20"/>
      <w:szCs w:val="20"/>
    </w:rPr>
    <w:tblPr>
      <w:tblStyleRowBandSize w:val="1"/>
      <w:tblStyleColBandSize w:val="1"/>
      <w:tblInd w:w="0" w:type="nil"/>
    </w:tblPr>
    <w:tcPr>
      <w:shd w:val="clear" w:color="auto" w:fill="FFDFD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B0B0"/>
      </w:tcPr>
    </w:tblStylePr>
    <w:tblStylePr w:type="band1Horz">
      <w:rPr>
        <w:rFonts w:cs="Times New Roman"/>
      </w:rPr>
      <w:tblPr/>
      <w:tcPr>
        <w:shd w:val="clear" w:color="auto" w:fill="FFBFBF"/>
      </w:tcPr>
    </w:tblStylePr>
  </w:style>
  <w:style w:type="table" w:styleId="Kolorowalistaakcent3">
    <w:name w:val="Colorful List Accent 3"/>
    <w:basedOn w:val="Standardowy"/>
    <w:uiPriority w:val="99"/>
    <w:semiHidden/>
    <w:rsid w:val="00DC4033"/>
    <w:pPr>
      <w:spacing w:after="0" w:line="240" w:lineRule="auto"/>
    </w:pPr>
    <w:rPr>
      <w:color w:val="000000"/>
      <w:sz w:val="20"/>
      <w:szCs w:val="20"/>
    </w:rPr>
    <w:tblPr>
      <w:tblStyleRowBandSize w:val="1"/>
      <w:tblStyleColBandSize w:val="1"/>
      <w:tblInd w:w="0" w:type="nil"/>
    </w:tblPr>
    <w:tcPr>
      <w:shd w:val="clear" w:color="auto" w:fill="EFEFEF"/>
    </w:tcPr>
    <w:tblStylePr w:type="firstRow">
      <w:rPr>
        <w:rFonts w:cs="Times New Roman"/>
        <w:b/>
        <w:bCs/>
        <w:color w:val="0072BC"/>
      </w:rPr>
      <w:tblPr/>
      <w:tcPr>
        <w:tcBorders>
          <w:bottom w:val="single" w:sz="12" w:space="0" w:color="0072BC"/>
        </w:tcBorders>
        <w:shd w:val="clear" w:color="auto" w:fill="787878"/>
      </w:tcPr>
    </w:tblStylePr>
    <w:tblStylePr w:type="lastRow">
      <w:rPr>
        <w:rFonts w:cs="Times New Roman"/>
        <w:b/>
        <w:bCs/>
        <w:color w:val="787878"/>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Kolorowalistaakcent4">
    <w:name w:val="Colorful List Accent 4"/>
    <w:basedOn w:val="Standardowy"/>
    <w:uiPriority w:val="99"/>
    <w:semiHidden/>
    <w:rsid w:val="00DC4033"/>
    <w:pPr>
      <w:spacing w:after="0" w:line="240" w:lineRule="auto"/>
    </w:pPr>
    <w:rPr>
      <w:color w:val="000000"/>
      <w:sz w:val="20"/>
      <w:szCs w:val="20"/>
    </w:rPr>
    <w:tblPr>
      <w:tblStyleRowBandSize w:val="1"/>
      <w:tblStyleColBandSize w:val="1"/>
      <w:tblInd w:w="0" w:type="nil"/>
    </w:tblPr>
    <w:tcPr>
      <w:shd w:val="clear" w:color="auto" w:fill="F4F4F4"/>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5E5E5"/>
      </w:tcPr>
    </w:tblStylePr>
    <w:tblStylePr w:type="band1Horz">
      <w:rPr>
        <w:rFonts w:cs="Times New Roman"/>
      </w:rPr>
      <w:tblPr/>
      <w:tcPr>
        <w:shd w:val="clear" w:color="auto" w:fill="EAEAEA"/>
      </w:tcPr>
    </w:tblStylePr>
  </w:style>
  <w:style w:type="table" w:styleId="Kolorowalistaakcent5">
    <w:name w:val="Colorful List Accent 5"/>
    <w:basedOn w:val="Standardowy"/>
    <w:uiPriority w:val="99"/>
    <w:semiHidden/>
    <w:rsid w:val="00DC4033"/>
    <w:pPr>
      <w:spacing w:after="0" w:line="240" w:lineRule="auto"/>
    </w:pPr>
    <w:rPr>
      <w:color w:val="000000"/>
      <w:sz w:val="20"/>
      <w:szCs w:val="20"/>
    </w:rPr>
    <w:tblPr>
      <w:tblStyleRowBandSize w:val="1"/>
      <w:tblStyleColBandSize w:val="1"/>
      <w:tblInd w:w="0" w:type="nil"/>
    </w:tblPr>
    <w:tcPr>
      <w:shd w:val="clear" w:color="auto" w:fill="EFEFEF"/>
    </w:tcPr>
    <w:tblStylePr w:type="firstRow">
      <w:rPr>
        <w:rFonts w:cs="Times New Roman"/>
        <w:b/>
        <w:bCs/>
        <w:color w:val="0072BC"/>
      </w:rPr>
      <w:tblPr/>
      <w:tcPr>
        <w:tcBorders>
          <w:bottom w:val="single" w:sz="12" w:space="0" w:color="0072BC"/>
        </w:tcBorders>
        <w:shd w:val="clear" w:color="auto" w:fill="3D3D3D"/>
      </w:tcPr>
    </w:tblStylePr>
    <w:tblStylePr w:type="lastRow">
      <w:rPr>
        <w:rFonts w:cs="Times New Roman"/>
        <w:b/>
        <w:bCs/>
        <w:color w:val="3D3D3D"/>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Kolorowalistaakcent6">
    <w:name w:val="Colorful List Accent 6"/>
    <w:basedOn w:val="Standardowy"/>
    <w:uiPriority w:val="99"/>
    <w:semiHidden/>
    <w:rsid w:val="00DC4033"/>
    <w:pPr>
      <w:spacing w:after="0" w:line="240" w:lineRule="auto"/>
    </w:pPr>
    <w:rPr>
      <w:color w:val="000000"/>
      <w:sz w:val="20"/>
      <w:szCs w:val="20"/>
    </w:rPr>
    <w:tblPr>
      <w:tblStyleRowBandSize w:val="1"/>
      <w:tblStyleColBandSize w:val="1"/>
      <w:tblInd w:w="0" w:type="nil"/>
    </w:tblPr>
    <w:tcPr>
      <w:shd w:val="clear" w:color="auto" w:fill="EDEDED"/>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3D3"/>
      </w:tcPr>
    </w:tblStylePr>
    <w:tblStylePr w:type="band1Horz">
      <w:rPr>
        <w:rFonts w:cs="Times New Roman"/>
      </w:rPr>
      <w:tblPr/>
      <w:tcPr>
        <w:shd w:val="clear" w:color="auto" w:fill="DBDBDB"/>
      </w:tcPr>
    </w:tblStylePr>
  </w:style>
  <w:style w:type="table" w:styleId="Kolorowecieniowanie">
    <w:name w:val="Colorful Shading"/>
    <w:basedOn w:val="Standardowy"/>
    <w:uiPriority w:val="99"/>
    <w:semiHidden/>
    <w:rsid w:val="00DC4033"/>
    <w:pPr>
      <w:spacing w:after="0" w:line="240" w:lineRule="auto"/>
    </w:pPr>
    <w:rPr>
      <w:color w:val="000000"/>
      <w:sz w:val="20"/>
      <w:szCs w:val="20"/>
    </w:rPr>
    <w:tblPr>
      <w:tblStyleRowBandSize w:val="1"/>
      <w:tblStyleColBandSize w:val="1"/>
      <w:tblInd w:w="0" w:type="nil"/>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0000"/>
      </w:tcPr>
    </w:tblStylePr>
    <w:tblStylePr w:type="firstCol">
      <w:rPr>
        <w:rFonts w:cs="Times New Roman"/>
        <w:color w:val="0072BC"/>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0072BC"/>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Kolorowecieniowanieakcent1">
    <w:name w:val="Colorful Shading Accent 1"/>
    <w:basedOn w:val="Standardowy"/>
    <w:uiPriority w:val="99"/>
    <w:semiHidden/>
    <w:rsid w:val="00DC4033"/>
    <w:pPr>
      <w:spacing w:after="0" w:line="240" w:lineRule="auto"/>
    </w:pPr>
    <w:rPr>
      <w:color w:val="000000"/>
      <w:sz w:val="20"/>
      <w:szCs w:val="20"/>
    </w:rPr>
    <w:tblPr>
      <w:tblStyleRowBandSize w:val="1"/>
      <w:tblStyleColBandSize w:val="1"/>
      <w:tblInd w:w="0" w:type="nil"/>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4470"/>
      </w:tcPr>
    </w:tblStylePr>
    <w:tblStylePr w:type="firstCol">
      <w:rPr>
        <w:rFonts w:cs="Times New Roman"/>
        <w:color w:val="0072BC"/>
      </w:rPr>
      <w:tblPr/>
      <w:tcPr>
        <w:tcBorders>
          <w:top w:val="nil"/>
          <w:left w:val="nil"/>
          <w:bottom w:val="nil"/>
          <w:right w:val="nil"/>
          <w:insideH w:val="single" w:sz="4" w:space="0" w:color="004470"/>
          <w:insideV w:val="nil"/>
        </w:tcBorders>
        <w:shd w:val="clear" w:color="auto" w:fill="004470"/>
      </w:tcPr>
    </w:tblStylePr>
    <w:tblStylePr w:type="lastCol">
      <w:rPr>
        <w:rFonts w:cs="Times New Roman"/>
        <w:color w:val="0072BC"/>
      </w:rPr>
      <w:tblPr/>
      <w:tcPr>
        <w:tcBorders>
          <w:top w:val="nil"/>
          <w:left w:val="nil"/>
          <w:bottom w:val="nil"/>
          <w:right w:val="nil"/>
          <w:insideH w:val="nil"/>
          <w:insideV w:val="nil"/>
        </w:tcBorders>
        <w:shd w:val="clear" w:color="auto" w:fill="004470"/>
      </w:tcPr>
    </w:tblStylePr>
    <w:tblStylePr w:type="band1Vert">
      <w:rPr>
        <w:rFonts w:cs="Times New Roman"/>
      </w:rPr>
      <w:tblPr/>
      <w:tcPr>
        <w:shd w:val="clear" w:color="auto" w:fill="7ECBFF"/>
      </w:tcPr>
    </w:tblStylePr>
    <w:tblStylePr w:type="band1Horz">
      <w:rPr>
        <w:rFonts w:cs="Times New Roman"/>
      </w:rPr>
      <w:tblPr/>
      <w:tcPr>
        <w:shd w:val="clear" w:color="auto" w:fill="5EBFFF"/>
      </w:tcPr>
    </w:tblStylePr>
    <w:tblStylePr w:type="neCell">
      <w:rPr>
        <w:rFonts w:cs="Times New Roman"/>
        <w:color w:val="000000"/>
      </w:rPr>
    </w:tblStylePr>
    <w:tblStylePr w:type="nwCell">
      <w:rPr>
        <w:rFonts w:cs="Times New Roman"/>
        <w:color w:val="000000"/>
      </w:rPr>
    </w:tblStylePr>
  </w:style>
  <w:style w:type="table" w:styleId="Kolorowecieniowanieakcent2">
    <w:name w:val="Colorful Shading Accent 2"/>
    <w:basedOn w:val="Standardowy"/>
    <w:uiPriority w:val="99"/>
    <w:semiHidden/>
    <w:rsid w:val="00DC4033"/>
    <w:pPr>
      <w:spacing w:after="0" w:line="240" w:lineRule="auto"/>
    </w:pPr>
    <w:rPr>
      <w:color w:val="000000"/>
      <w:sz w:val="20"/>
      <w:szCs w:val="20"/>
    </w:rPr>
    <w:tblPr>
      <w:tblStyleRowBandSize w:val="1"/>
      <w:tblStyleColBandSize w:val="1"/>
      <w:tblInd w:w="0" w:type="nil"/>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730000"/>
      </w:tcPr>
    </w:tblStylePr>
    <w:tblStylePr w:type="firstCol">
      <w:rPr>
        <w:rFonts w:cs="Times New Roman"/>
        <w:color w:val="0072BC"/>
      </w:rPr>
      <w:tblPr/>
      <w:tcPr>
        <w:tcBorders>
          <w:top w:val="nil"/>
          <w:left w:val="nil"/>
          <w:bottom w:val="nil"/>
          <w:right w:val="nil"/>
          <w:insideH w:val="single" w:sz="4" w:space="0" w:color="730000"/>
          <w:insideV w:val="nil"/>
        </w:tcBorders>
        <w:shd w:val="clear" w:color="auto" w:fill="730000"/>
      </w:tcPr>
    </w:tblStylePr>
    <w:tblStylePr w:type="lastCol">
      <w:rPr>
        <w:rFonts w:cs="Times New Roman"/>
        <w:color w:val="0072BC"/>
      </w:rPr>
      <w:tblPr/>
      <w:tcPr>
        <w:tcBorders>
          <w:top w:val="nil"/>
          <w:left w:val="nil"/>
          <w:bottom w:val="nil"/>
          <w:right w:val="nil"/>
          <w:insideH w:val="nil"/>
          <w:insideV w:val="nil"/>
        </w:tcBorders>
        <w:shd w:val="clear" w:color="auto" w:fill="730000"/>
      </w:tcPr>
    </w:tblStylePr>
    <w:tblStylePr w:type="band1Vert">
      <w:rPr>
        <w:rFonts w:cs="Times New Roman"/>
      </w:rPr>
      <w:tblPr/>
      <w:tcPr>
        <w:shd w:val="clear" w:color="auto" w:fill="FF7F7F"/>
      </w:tcPr>
    </w:tblStylePr>
    <w:tblStylePr w:type="band1Horz">
      <w:rPr>
        <w:rFonts w:cs="Times New Roman"/>
      </w:rPr>
      <w:tblPr/>
      <w:tcPr>
        <w:shd w:val="clear" w:color="auto" w:fill="FF6060"/>
      </w:tcPr>
    </w:tblStylePr>
    <w:tblStylePr w:type="neCell">
      <w:rPr>
        <w:rFonts w:cs="Times New Roman"/>
        <w:color w:val="000000"/>
      </w:rPr>
    </w:tblStylePr>
    <w:tblStylePr w:type="nwCell">
      <w:rPr>
        <w:rFonts w:cs="Times New Roman"/>
        <w:color w:val="000000"/>
      </w:rPr>
    </w:tblStylePr>
  </w:style>
  <w:style w:type="table" w:styleId="Kolorowecieniowanieakcent3">
    <w:name w:val="Colorful Shading Accent 3"/>
    <w:basedOn w:val="Standardowy"/>
    <w:uiPriority w:val="99"/>
    <w:semiHidden/>
    <w:rsid w:val="00DC4033"/>
    <w:pPr>
      <w:spacing w:after="0" w:line="240" w:lineRule="auto"/>
    </w:pPr>
    <w:rPr>
      <w:color w:val="000000"/>
      <w:sz w:val="20"/>
      <w:szCs w:val="20"/>
    </w:rPr>
    <w:tblPr>
      <w:tblStyleRowBandSize w:val="1"/>
      <w:tblStyleColBandSize w:val="1"/>
      <w:tblInd w:w="0" w:type="nil"/>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rFonts w:cs="Times New Roman"/>
        <w:b/>
        <w:bCs/>
      </w:rPr>
      <w:tblPr/>
      <w:tcPr>
        <w:tcBorders>
          <w:top w:val="nil"/>
          <w:left w:val="nil"/>
          <w:bottom w:val="single" w:sz="24" w:space="0" w:color="969696"/>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style>
  <w:style w:type="table" w:styleId="Kolorowecieniowanieakcent4">
    <w:name w:val="Colorful Shading Accent 4"/>
    <w:basedOn w:val="Standardowy"/>
    <w:uiPriority w:val="99"/>
    <w:semiHidden/>
    <w:rsid w:val="00DC4033"/>
    <w:pPr>
      <w:spacing w:after="0" w:line="240" w:lineRule="auto"/>
    </w:pPr>
    <w:rPr>
      <w:color w:val="000000"/>
      <w:sz w:val="20"/>
      <w:szCs w:val="20"/>
    </w:rPr>
    <w:tblPr>
      <w:tblStyleRowBandSize w:val="1"/>
      <w:tblStyleColBandSize w:val="1"/>
      <w:tblInd w:w="0" w:type="nil"/>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5A5A5A"/>
      </w:tcPr>
    </w:tblStylePr>
    <w:tblStylePr w:type="firstCol">
      <w:rPr>
        <w:rFonts w:cs="Times New Roman"/>
        <w:color w:val="0072BC"/>
      </w:rPr>
      <w:tblPr/>
      <w:tcPr>
        <w:tcBorders>
          <w:top w:val="nil"/>
          <w:left w:val="nil"/>
          <w:bottom w:val="nil"/>
          <w:right w:val="nil"/>
          <w:insideH w:val="single" w:sz="4" w:space="0" w:color="5A5A5A"/>
          <w:insideV w:val="nil"/>
        </w:tcBorders>
        <w:shd w:val="clear" w:color="auto" w:fill="5A5A5A"/>
      </w:tcPr>
    </w:tblStylePr>
    <w:tblStylePr w:type="lastCol">
      <w:rPr>
        <w:rFonts w:cs="Times New Roman"/>
        <w:color w:val="0072BC"/>
      </w:rPr>
      <w:tblPr/>
      <w:tcPr>
        <w:tcBorders>
          <w:top w:val="nil"/>
          <w:left w:val="nil"/>
          <w:bottom w:val="nil"/>
          <w:right w:val="nil"/>
          <w:insideH w:val="nil"/>
          <w:insideV w:val="nil"/>
        </w:tcBorders>
        <w:shd w:val="clear" w:color="auto" w:fill="5A5A5A"/>
      </w:tcPr>
    </w:tblStylePr>
    <w:tblStylePr w:type="band1Vert">
      <w:rPr>
        <w:rFonts w:cs="Times New Roman"/>
      </w:rPr>
      <w:tblPr/>
      <w:tcPr>
        <w:shd w:val="clear" w:color="auto" w:fill="D5D5D5"/>
      </w:tcPr>
    </w:tblStylePr>
    <w:tblStylePr w:type="band1Horz">
      <w:rPr>
        <w:rFonts w:cs="Times New Roman"/>
      </w:rPr>
      <w:tblPr/>
      <w:tcPr>
        <w:shd w:val="clear" w:color="auto" w:fill="CACACA"/>
      </w:tcPr>
    </w:tblStylePr>
    <w:tblStylePr w:type="neCell">
      <w:rPr>
        <w:rFonts w:cs="Times New Roman"/>
        <w:color w:val="000000"/>
      </w:rPr>
    </w:tblStylePr>
    <w:tblStylePr w:type="nwCell">
      <w:rPr>
        <w:rFonts w:cs="Times New Roman"/>
        <w:color w:val="000000"/>
      </w:rPr>
    </w:tblStylePr>
  </w:style>
  <w:style w:type="table" w:styleId="Kolorowecieniowanieakcent5">
    <w:name w:val="Colorful Shading Accent 5"/>
    <w:basedOn w:val="Standardowy"/>
    <w:uiPriority w:val="99"/>
    <w:semiHidden/>
    <w:rsid w:val="00DC4033"/>
    <w:pPr>
      <w:spacing w:after="0" w:line="240" w:lineRule="auto"/>
    </w:pPr>
    <w:rPr>
      <w:color w:val="000000"/>
      <w:sz w:val="20"/>
      <w:szCs w:val="20"/>
    </w:rPr>
    <w:tblPr>
      <w:tblStyleRowBandSize w:val="1"/>
      <w:tblStyleColBandSize w:val="1"/>
      <w:tblInd w:w="0" w:type="nil"/>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rFonts w:cs="Times New Roman"/>
        <w:b/>
        <w:bCs/>
      </w:rPr>
      <w:tblPr/>
      <w:tcPr>
        <w:tcBorders>
          <w:top w:val="nil"/>
          <w:left w:val="nil"/>
          <w:bottom w:val="single" w:sz="24" w:space="0" w:color="4D4D4D"/>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tblStylePr w:type="neCell">
      <w:rPr>
        <w:rFonts w:cs="Times New Roman"/>
        <w:color w:val="000000"/>
      </w:rPr>
    </w:tblStylePr>
    <w:tblStylePr w:type="nwCell">
      <w:rPr>
        <w:rFonts w:cs="Times New Roman"/>
        <w:color w:val="000000"/>
      </w:rPr>
    </w:tblStylePr>
  </w:style>
  <w:style w:type="table" w:styleId="Kolorowecieniowanieakcent6">
    <w:name w:val="Colorful Shading Accent 6"/>
    <w:basedOn w:val="Standardowy"/>
    <w:uiPriority w:val="99"/>
    <w:semiHidden/>
    <w:rsid w:val="00DC4033"/>
    <w:pPr>
      <w:spacing w:after="0" w:line="240" w:lineRule="auto"/>
    </w:pPr>
    <w:rPr>
      <w:color w:val="000000"/>
      <w:sz w:val="20"/>
      <w:szCs w:val="20"/>
    </w:rPr>
    <w:tblPr>
      <w:tblStyleRowBandSize w:val="1"/>
      <w:tblStyleColBandSize w:val="1"/>
      <w:tblInd w:w="0" w:type="nil"/>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2E2E2E"/>
      </w:tcPr>
    </w:tblStylePr>
    <w:tblStylePr w:type="firstCol">
      <w:rPr>
        <w:rFonts w:cs="Times New Roman"/>
        <w:color w:val="0072BC"/>
      </w:rPr>
      <w:tblPr/>
      <w:tcPr>
        <w:tcBorders>
          <w:top w:val="nil"/>
          <w:left w:val="nil"/>
          <w:bottom w:val="nil"/>
          <w:right w:val="nil"/>
          <w:insideH w:val="single" w:sz="4" w:space="0" w:color="2E2E2E"/>
          <w:insideV w:val="nil"/>
        </w:tcBorders>
        <w:shd w:val="clear" w:color="auto" w:fill="2E2E2E"/>
      </w:tcPr>
    </w:tblStylePr>
    <w:tblStylePr w:type="lastCol">
      <w:rPr>
        <w:rFonts w:cs="Times New Roman"/>
        <w:color w:val="0072BC"/>
      </w:rPr>
      <w:tblPr/>
      <w:tcPr>
        <w:tcBorders>
          <w:top w:val="nil"/>
          <w:left w:val="nil"/>
          <w:bottom w:val="nil"/>
          <w:right w:val="nil"/>
          <w:insideH w:val="nil"/>
          <w:insideV w:val="nil"/>
        </w:tcBorders>
        <w:shd w:val="clear" w:color="auto" w:fill="2E2E2E"/>
      </w:tcPr>
    </w:tblStylePr>
    <w:tblStylePr w:type="band1Vert">
      <w:rPr>
        <w:rFonts w:cs="Times New Roman"/>
      </w:rPr>
      <w:tblPr/>
      <w:tcPr>
        <w:shd w:val="clear" w:color="auto" w:fill="B7B7B7"/>
      </w:tcPr>
    </w:tblStylePr>
    <w:tblStylePr w:type="band1Horz">
      <w:rPr>
        <w:rFonts w:cs="Times New Roman"/>
      </w:rPr>
      <w:tblPr/>
      <w:tcPr>
        <w:shd w:val="clear" w:color="auto" w:fill="A6A6A6"/>
      </w:tcPr>
    </w:tblStylePr>
    <w:tblStylePr w:type="neCell">
      <w:rPr>
        <w:rFonts w:cs="Times New Roman"/>
        <w:color w:val="000000"/>
      </w:rPr>
    </w:tblStylePr>
    <w:tblStylePr w:type="nwCell">
      <w:rPr>
        <w:rFonts w:cs="Times New Roman"/>
        <w:color w:val="000000"/>
      </w:rPr>
    </w:tblStylePr>
  </w:style>
  <w:style w:type="character" w:styleId="Odwoaniedokomentarza">
    <w:name w:val="annotation reference"/>
    <w:basedOn w:val="Domylnaczcionkaakapitu"/>
    <w:uiPriority w:val="99"/>
    <w:semiHidden/>
    <w:rsid w:val="00DC4033"/>
    <w:rPr>
      <w:rFonts w:cs="Times New Roman"/>
      <w:sz w:val="16"/>
      <w:szCs w:val="16"/>
    </w:rPr>
  </w:style>
  <w:style w:type="paragraph" w:styleId="Tekstkomentarza">
    <w:name w:val="annotation text"/>
    <w:basedOn w:val="Normalny"/>
    <w:link w:val="TekstkomentarzaZnak"/>
    <w:uiPriority w:val="99"/>
    <w:semiHidden/>
    <w:rsid w:val="00DC4033"/>
    <w:rPr>
      <w:sz w:val="20"/>
      <w:szCs w:val="20"/>
      <w:lang w:eastAsia="pl-PL"/>
    </w:rPr>
  </w:style>
  <w:style w:type="character" w:customStyle="1" w:styleId="TekstkomentarzaZnak">
    <w:name w:val="Tekst komentarza Znak"/>
    <w:basedOn w:val="Domylnaczcionkaakapitu"/>
    <w:link w:val="Tekstkomentarza"/>
    <w:uiPriority w:val="99"/>
    <w:semiHidden/>
    <w:locked/>
    <w:rsid w:val="00DC4033"/>
    <w:rPr>
      <w:rFonts w:eastAsia="MS Mincho"/>
      <w:sz w:val="20"/>
    </w:rPr>
  </w:style>
  <w:style w:type="paragraph" w:styleId="Tematkomentarza">
    <w:name w:val="annotation subject"/>
    <w:basedOn w:val="Tekstkomentarza"/>
    <w:next w:val="Tekstkomentarza"/>
    <w:link w:val="TematkomentarzaZnak"/>
    <w:uiPriority w:val="99"/>
    <w:semiHidden/>
    <w:rsid w:val="00DC4033"/>
    <w:rPr>
      <w:b/>
      <w:bCs/>
    </w:rPr>
  </w:style>
  <w:style w:type="character" w:customStyle="1" w:styleId="TematkomentarzaZnak">
    <w:name w:val="Temat komentarza Znak"/>
    <w:basedOn w:val="TekstkomentarzaZnak"/>
    <w:link w:val="Tematkomentarza"/>
    <w:uiPriority w:val="99"/>
    <w:semiHidden/>
    <w:locked/>
    <w:rsid w:val="00DC4033"/>
    <w:rPr>
      <w:rFonts w:eastAsia="MS Mincho"/>
      <w:b/>
      <w:sz w:val="20"/>
    </w:rPr>
  </w:style>
  <w:style w:type="table" w:styleId="Ciemnalista">
    <w:name w:val="Dark List"/>
    <w:basedOn w:val="Standardowy"/>
    <w:uiPriority w:val="99"/>
    <w:semiHidden/>
    <w:rsid w:val="00DC4033"/>
    <w:pPr>
      <w:spacing w:after="0" w:line="240" w:lineRule="auto"/>
    </w:pPr>
    <w:rPr>
      <w:color w:val="0072BC"/>
      <w:sz w:val="20"/>
      <w:szCs w:val="20"/>
    </w:rPr>
    <w:tblPr>
      <w:tblStyleRowBandSize w:val="1"/>
      <w:tblStyleColBandSize w:val="1"/>
      <w:tblInd w:w="0" w:type="nil"/>
    </w:tblPr>
    <w:tcPr>
      <w:shd w:val="clear" w:color="auto" w:fill="0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0072BC"/>
          <w:insideH w:val="nil"/>
          <w:insideV w:val="nil"/>
        </w:tcBorders>
        <w:shd w:val="clear" w:color="auto" w:fill="000000"/>
      </w:tcPr>
    </w:tblStylePr>
    <w:tblStylePr w:type="lastCol">
      <w:rPr>
        <w:rFonts w:cs="Times New Roman"/>
      </w:rPr>
      <w:tblPr/>
      <w:tcPr>
        <w:tcBorders>
          <w:top w:val="nil"/>
          <w:left w:val="single" w:sz="18" w:space="0" w:color="0072BC"/>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Ciemnalista2akcent1">
    <w:name w:val="Dark List Accent 1"/>
    <w:basedOn w:val="Standardowy"/>
    <w:uiPriority w:val="99"/>
    <w:semiHidden/>
    <w:rsid w:val="00DC4033"/>
    <w:pPr>
      <w:spacing w:after="0" w:line="240" w:lineRule="auto"/>
    </w:pPr>
    <w:rPr>
      <w:color w:val="0072BC"/>
      <w:sz w:val="20"/>
      <w:szCs w:val="20"/>
    </w:rPr>
    <w:tblPr>
      <w:tblStyleRowBandSize w:val="1"/>
      <w:tblStyleColBandSize w:val="1"/>
      <w:tblInd w:w="0" w:type="nil"/>
    </w:tblPr>
    <w:tcPr>
      <w:shd w:val="clear" w:color="auto" w:fill="0072BC"/>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385D"/>
      </w:tcPr>
    </w:tblStylePr>
    <w:tblStylePr w:type="firstCol">
      <w:rPr>
        <w:rFonts w:cs="Times New Roman"/>
      </w:rPr>
      <w:tblPr/>
      <w:tcPr>
        <w:tcBorders>
          <w:top w:val="nil"/>
          <w:left w:val="nil"/>
          <w:bottom w:val="nil"/>
          <w:right w:val="single" w:sz="18" w:space="0" w:color="0072BC"/>
          <w:insideH w:val="nil"/>
          <w:insideV w:val="nil"/>
        </w:tcBorders>
        <w:shd w:val="clear" w:color="auto" w:fill="00548C"/>
      </w:tcPr>
    </w:tblStylePr>
    <w:tblStylePr w:type="lastCol">
      <w:rPr>
        <w:rFonts w:cs="Times New Roman"/>
      </w:rPr>
      <w:tblPr/>
      <w:tcPr>
        <w:tcBorders>
          <w:top w:val="nil"/>
          <w:left w:val="single" w:sz="18" w:space="0" w:color="0072BC"/>
          <w:bottom w:val="nil"/>
          <w:right w:val="nil"/>
          <w:insideH w:val="nil"/>
          <w:insideV w:val="nil"/>
        </w:tcBorders>
        <w:shd w:val="clear" w:color="auto" w:fill="00548C"/>
      </w:tcPr>
    </w:tblStylePr>
    <w:tblStylePr w:type="band1Vert">
      <w:rPr>
        <w:rFonts w:cs="Times New Roman"/>
      </w:rPr>
      <w:tblPr/>
      <w:tcPr>
        <w:tcBorders>
          <w:top w:val="nil"/>
          <w:left w:val="nil"/>
          <w:bottom w:val="nil"/>
          <w:right w:val="nil"/>
          <w:insideH w:val="nil"/>
          <w:insideV w:val="nil"/>
        </w:tcBorders>
        <w:shd w:val="clear" w:color="auto" w:fill="00548C"/>
      </w:tcPr>
    </w:tblStylePr>
    <w:tblStylePr w:type="band1Horz">
      <w:rPr>
        <w:rFonts w:cs="Times New Roman"/>
      </w:rPr>
      <w:tblPr/>
      <w:tcPr>
        <w:tcBorders>
          <w:top w:val="nil"/>
          <w:left w:val="nil"/>
          <w:bottom w:val="nil"/>
          <w:right w:val="nil"/>
          <w:insideH w:val="nil"/>
          <w:insideV w:val="nil"/>
        </w:tcBorders>
        <w:shd w:val="clear" w:color="auto" w:fill="00548C"/>
      </w:tcPr>
    </w:tblStylePr>
  </w:style>
  <w:style w:type="table" w:styleId="Ciemnalistaakcent2">
    <w:name w:val="Dark List Accent 2"/>
    <w:basedOn w:val="Standardowy"/>
    <w:uiPriority w:val="99"/>
    <w:semiHidden/>
    <w:rsid w:val="00DC4033"/>
    <w:pPr>
      <w:spacing w:after="0" w:line="240" w:lineRule="auto"/>
    </w:pPr>
    <w:rPr>
      <w:color w:val="0072BC"/>
      <w:sz w:val="20"/>
      <w:szCs w:val="20"/>
    </w:rPr>
    <w:tblPr>
      <w:tblStyleRowBandSize w:val="1"/>
      <w:tblStyleColBandSize w:val="1"/>
      <w:tblInd w:w="0" w:type="nil"/>
    </w:tblPr>
    <w:tcPr>
      <w:shd w:val="clear" w:color="auto" w:fill="C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5F0000"/>
      </w:tcPr>
    </w:tblStylePr>
    <w:tblStylePr w:type="firstCol">
      <w:rPr>
        <w:rFonts w:cs="Times New Roman"/>
      </w:rPr>
      <w:tblPr/>
      <w:tcPr>
        <w:tcBorders>
          <w:top w:val="nil"/>
          <w:left w:val="nil"/>
          <w:bottom w:val="nil"/>
          <w:right w:val="single" w:sz="18" w:space="0" w:color="0072BC"/>
          <w:insideH w:val="nil"/>
          <w:insideV w:val="nil"/>
        </w:tcBorders>
        <w:shd w:val="clear" w:color="auto" w:fill="8F0000"/>
      </w:tcPr>
    </w:tblStylePr>
    <w:tblStylePr w:type="lastCol">
      <w:rPr>
        <w:rFonts w:cs="Times New Roman"/>
      </w:rPr>
      <w:tblPr/>
      <w:tcPr>
        <w:tcBorders>
          <w:top w:val="nil"/>
          <w:left w:val="single" w:sz="18" w:space="0" w:color="0072BC"/>
          <w:bottom w:val="nil"/>
          <w:right w:val="nil"/>
          <w:insideH w:val="nil"/>
          <w:insideV w:val="nil"/>
        </w:tcBorders>
        <w:shd w:val="clear" w:color="auto" w:fill="8F0000"/>
      </w:tcPr>
    </w:tblStylePr>
    <w:tblStylePr w:type="band1Vert">
      <w:rPr>
        <w:rFonts w:cs="Times New Roman"/>
      </w:rPr>
      <w:tblPr/>
      <w:tcPr>
        <w:tcBorders>
          <w:top w:val="nil"/>
          <w:left w:val="nil"/>
          <w:bottom w:val="nil"/>
          <w:right w:val="nil"/>
          <w:insideH w:val="nil"/>
          <w:insideV w:val="nil"/>
        </w:tcBorders>
        <w:shd w:val="clear" w:color="auto" w:fill="8F0000"/>
      </w:tcPr>
    </w:tblStylePr>
    <w:tblStylePr w:type="band1Horz">
      <w:rPr>
        <w:rFonts w:cs="Times New Roman"/>
      </w:rPr>
      <w:tblPr/>
      <w:tcPr>
        <w:tcBorders>
          <w:top w:val="nil"/>
          <w:left w:val="nil"/>
          <w:bottom w:val="nil"/>
          <w:right w:val="nil"/>
          <w:insideH w:val="nil"/>
          <w:insideV w:val="nil"/>
        </w:tcBorders>
        <w:shd w:val="clear" w:color="auto" w:fill="8F0000"/>
      </w:tcPr>
    </w:tblStylePr>
  </w:style>
  <w:style w:type="table" w:styleId="Ciemnalistaakcent3">
    <w:name w:val="Dark List Accent 3"/>
    <w:basedOn w:val="Standardowy"/>
    <w:uiPriority w:val="99"/>
    <w:semiHidden/>
    <w:rsid w:val="00DC4033"/>
    <w:pPr>
      <w:spacing w:after="0" w:line="240" w:lineRule="auto"/>
    </w:pPr>
    <w:rPr>
      <w:color w:val="0072BC"/>
      <w:sz w:val="20"/>
      <w:szCs w:val="20"/>
    </w:rPr>
    <w:tblPr>
      <w:tblStyleRowBandSize w:val="1"/>
      <w:tblStyleColBandSize w:val="1"/>
      <w:tblInd w:w="0" w:type="nil"/>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Ciemnalistaakcent4">
    <w:name w:val="Dark List Accent 4"/>
    <w:basedOn w:val="Standardowy"/>
    <w:uiPriority w:val="99"/>
    <w:semiHidden/>
    <w:rsid w:val="00DC4033"/>
    <w:pPr>
      <w:spacing w:after="0" w:line="240" w:lineRule="auto"/>
    </w:pPr>
    <w:rPr>
      <w:color w:val="0072BC"/>
      <w:sz w:val="20"/>
      <w:szCs w:val="20"/>
    </w:rPr>
    <w:tblPr>
      <w:tblStyleRowBandSize w:val="1"/>
      <w:tblStyleColBandSize w:val="1"/>
      <w:tblInd w:w="0" w:type="nil"/>
    </w:tblPr>
    <w:tcPr>
      <w:shd w:val="clear" w:color="auto" w:fill="969696"/>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4A4A4A"/>
      </w:tcPr>
    </w:tblStylePr>
    <w:tblStylePr w:type="firstCol">
      <w:rPr>
        <w:rFonts w:cs="Times New Roman"/>
      </w:rPr>
      <w:tblPr/>
      <w:tcPr>
        <w:tcBorders>
          <w:top w:val="nil"/>
          <w:left w:val="nil"/>
          <w:bottom w:val="nil"/>
          <w:right w:val="single" w:sz="18" w:space="0" w:color="0072BC"/>
          <w:insideH w:val="nil"/>
          <w:insideV w:val="nil"/>
        </w:tcBorders>
        <w:shd w:val="clear" w:color="auto" w:fill="707070"/>
      </w:tcPr>
    </w:tblStylePr>
    <w:tblStylePr w:type="lastCol">
      <w:rPr>
        <w:rFonts w:cs="Times New Roman"/>
      </w:rPr>
      <w:tblPr/>
      <w:tcPr>
        <w:tcBorders>
          <w:top w:val="nil"/>
          <w:left w:val="single" w:sz="18" w:space="0" w:color="0072BC"/>
          <w:bottom w:val="nil"/>
          <w:right w:val="nil"/>
          <w:insideH w:val="nil"/>
          <w:insideV w:val="nil"/>
        </w:tcBorders>
        <w:shd w:val="clear" w:color="auto" w:fill="707070"/>
      </w:tcPr>
    </w:tblStylePr>
    <w:tblStylePr w:type="band1Vert">
      <w:rPr>
        <w:rFonts w:cs="Times New Roman"/>
      </w:rPr>
      <w:tblPr/>
      <w:tcPr>
        <w:tcBorders>
          <w:top w:val="nil"/>
          <w:left w:val="nil"/>
          <w:bottom w:val="nil"/>
          <w:right w:val="nil"/>
          <w:insideH w:val="nil"/>
          <w:insideV w:val="nil"/>
        </w:tcBorders>
        <w:shd w:val="clear" w:color="auto" w:fill="707070"/>
      </w:tcPr>
    </w:tblStylePr>
    <w:tblStylePr w:type="band1Horz">
      <w:rPr>
        <w:rFonts w:cs="Times New Roman"/>
      </w:rPr>
      <w:tblPr/>
      <w:tcPr>
        <w:tcBorders>
          <w:top w:val="nil"/>
          <w:left w:val="nil"/>
          <w:bottom w:val="nil"/>
          <w:right w:val="nil"/>
          <w:insideH w:val="nil"/>
          <w:insideV w:val="nil"/>
        </w:tcBorders>
        <w:shd w:val="clear" w:color="auto" w:fill="707070"/>
      </w:tcPr>
    </w:tblStylePr>
  </w:style>
  <w:style w:type="table" w:styleId="Ciemnalistaakcent5">
    <w:name w:val="Dark List Accent 5"/>
    <w:basedOn w:val="Standardowy"/>
    <w:uiPriority w:val="99"/>
    <w:semiHidden/>
    <w:rsid w:val="00DC4033"/>
    <w:pPr>
      <w:spacing w:after="0" w:line="240" w:lineRule="auto"/>
    </w:pPr>
    <w:rPr>
      <w:color w:val="0072BC"/>
      <w:sz w:val="20"/>
      <w:szCs w:val="20"/>
    </w:rPr>
    <w:tblPr>
      <w:tblStyleRowBandSize w:val="1"/>
      <w:tblStyleColBandSize w:val="1"/>
      <w:tblInd w:w="0" w:type="nil"/>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Ciemnalistaakcent6">
    <w:name w:val="Dark List Accent 6"/>
    <w:basedOn w:val="Standardowy"/>
    <w:uiPriority w:val="99"/>
    <w:semiHidden/>
    <w:rsid w:val="00DC4033"/>
    <w:pPr>
      <w:spacing w:after="0" w:line="240" w:lineRule="auto"/>
    </w:pPr>
    <w:rPr>
      <w:color w:val="0072BC"/>
      <w:sz w:val="20"/>
      <w:szCs w:val="20"/>
    </w:rPr>
    <w:tblPr>
      <w:tblStyleRowBandSize w:val="1"/>
      <w:tblStyleColBandSize w:val="1"/>
      <w:tblInd w:w="0" w:type="nil"/>
    </w:tblPr>
    <w:tcPr>
      <w:shd w:val="clear" w:color="auto" w:fill="4D4D4D"/>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62626"/>
      </w:tcPr>
    </w:tblStylePr>
    <w:tblStylePr w:type="firstCol">
      <w:rPr>
        <w:rFonts w:cs="Times New Roman"/>
      </w:rPr>
      <w:tblPr/>
      <w:tcPr>
        <w:tcBorders>
          <w:top w:val="nil"/>
          <w:left w:val="nil"/>
          <w:bottom w:val="nil"/>
          <w:right w:val="single" w:sz="18" w:space="0" w:color="0072BC"/>
          <w:insideH w:val="nil"/>
          <w:insideV w:val="nil"/>
        </w:tcBorders>
        <w:shd w:val="clear" w:color="auto" w:fill="393939"/>
      </w:tcPr>
    </w:tblStylePr>
    <w:tblStylePr w:type="lastCol">
      <w:rPr>
        <w:rFonts w:cs="Times New Roman"/>
      </w:rPr>
      <w:tblPr/>
      <w:tcPr>
        <w:tcBorders>
          <w:top w:val="nil"/>
          <w:left w:val="single" w:sz="18" w:space="0" w:color="0072BC"/>
          <w:bottom w:val="nil"/>
          <w:right w:val="nil"/>
          <w:insideH w:val="nil"/>
          <w:insideV w:val="nil"/>
        </w:tcBorders>
        <w:shd w:val="clear" w:color="auto" w:fill="393939"/>
      </w:tcPr>
    </w:tblStylePr>
    <w:tblStylePr w:type="band1Vert">
      <w:rPr>
        <w:rFonts w:cs="Times New Roman"/>
      </w:rPr>
      <w:tblPr/>
      <w:tcPr>
        <w:tcBorders>
          <w:top w:val="nil"/>
          <w:left w:val="nil"/>
          <w:bottom w:val="nil"/>
          <w:right w:val="nil"/>
          <w:insideH w:val="nil"/>
          <w:insideV w:val="nil"/>
        </w:tcBorders>
        <w:shd w:val="clear" w:color="auto" w:fill="393939"/>
      </w:tcPr>
    </w:tblStylePr>
    <w:tblStylePr w:type="band1Horz">
      <w:rPr>
        <w:rFonts w:cs="Times New Roman"/>
      </w:rPr>
      <w:tblPr/>
      <w:tcPr>
        <w:tcBorders>
          <w:top w:val="nil"/>
          <w:left w:val="nil"/>
          <w:bottom w:val="nil"/>
          <w:right w:val="nil"/>
          <w:insideH w:val="nil"/>
          <w:insideV w:val="nil"/>
        </w:tcBorders>
        <w:shd w:val="clear" w:color="auto" w:fill="393939"/>
      </w:tcPr>
    </w:tblStylePr>
  </w:style>
  <w:style w:type="paragraph" w:styleId="Data">
    <w:name w:val="Date"/>
    <w:basedOn w:val="Normalny"/>
    <w:next w:val="Normalny"/>
    <w:link w:val="DataZnak"/>
    <w:uiPriority w:val="99"/>
    <w:semiHidden/>
    <w:rsid w:val="00DC4033"/>
    <w:rPr>
      <w:lang w:eastAsia="pl-PL"/>
    </w:rPr>
  </w:style>
  <w:style w:type="character" w:customStyle="1" w:styleId="DataZnak">
    <w:name w:val="Data Znak"/>
    <w:basedOn w:val="Domylnaczcionkaakapitu"/>
    <w:link w:val="Data"/>
    <w:uiPriority w:val="99"/>
    <w:semiHidden/>
    <w:locked/>
    <w:rsid w:val="00DC4033"/>
    <w:rPr>
      <w:rFonts w:eastAsia="MS Mincho"/>
      <w:sz w:val="24"/>
    </w:rPr>
  </w:style>
  <w:style w:type="paragraph" w:styleId="Mapadokumentu">
    <w:name w:val="Document Map"/>
    <w:basedOn w:val="Normalny"/>
    <w:link w:val="MapadokumentuZnak"/>
    <w:uiPriority w:val="99"/>
    <w:semiHidden/>
    <w:rsid w:val="00DC4033"/>
    <w:rPr>
      <w:rFonts w:ascii="Tahoma" w:hAnsi="Tahoma" w:cs="Tahoma"/>
      <w:sz w:val="16"/>
      <w:szCs w:val="16"/>
      <w:lang w:eastAsia="pl-PL"/>
    </w:rPr>
  </w:style>
  <w:style w:type="character" w:customStyle="1" w:styleId="MapadokumentuZnak">
    <w:name w:val="Mapa dokumentu Znak"/>
    <w:basedOn w:val="Domylnaczcionkaakapitu"/>
    <w:link w:val="Mapadokumentu"/>
    <w:uiPriority w:val="99"/>
    <w:semiHidden/>
    <w:locked/>
    <w:rsid w:val="00DC4033"/>
    <w:rPr>
      <w:rFonts w:ascii="Tahoma" w:eastAsia="MS Mincho" w:hAnsi="Tahoma"/>
      <w:sz w:val="16"/>
    </w:rPr>
  </w:style>
  <w:style w:type="paragraph" w:styleId="Podpise-mail">
    <w:name w:val="E-mail Signature"/>
    <w:basedOn w:val="Normalny"/>
    <w:link w:val="Podpise-mailZnak"/>
    <w:uiPriority w:val="99"/>
    <w:semiHidden/>
    <w:rsid w:val="00DC4033"/>
    <w:rPr>
      <w:lang w:eastAsia="pl-PL"/>
    </w:rPr>
  </w:style>
  <w:style w:type="character" w:customStyle="1" w:styleId="Podpise-mailZnak">
    <w:name w:val="Podpis e-mail Znak"/>
    <w:basedOn w:val="Domylnaczcionkaakapitu"/>
    <w:link w:val="Podpise-mail"/>
    <w:uiPriority w:val="99"/>
    <w:semiHidden/>
    <w:locked/>
    <w:rsid w:val="00DC4033"/>
    <w:rPr>
      <w:rFonts w:eastAsia="MS Mincho"/>
      <w:sz w:val="24"/>
    </w:rPr>
  </w:style>
  <w:style w:type="character" w:styleId="Odwoanieprzypisukocowego">
    <w:name w:val="endnote reference"/>
    <w:basedOn w:val="Domylnaczcionkaakapitu"/>
    <w:uiPriority w:val="99"/>
    <w:semiHidden/>
    <w:rsid w:val="00DC4033"/>
    <w:rPr>
      <w:rFonts w:cs="Times New Roman"/>
      <w:vertAlign w:val="superscript"/>
    </w:rPr>
  </w:style>
  <w:style w:type="paragraph" w:styleId="Tekstprzypisukocowego">
    <w:name w:val="endnote text"/>
    <w:basedOn w:val="Normalny"/>
    <w:link w:val="TekstprzypisukocowegoZnak"/>
    <w:uiPriority w:val="99"/>
    <w:semiHidden/>
    <w:rsid w:val="00DC4033"/>
    <w:rPr>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DC4033"/>
    <w:rPr>
      <w:rFonts w:eastAsia="MS Mincho"/>
      <w:sz w:val="20"/>
    </w:rPr>
  </w:style>
  <w:style w:type="paragraph" w:styleId="Adresnakopercie">
    <w:name w:val="envelope address"/>
    <w:basedOn w:val="Normalny"/>
    <w:uiPriority w:val="99"/>
    <w:semiHidden/>
    <w:rsid w:val="00DC4033"/>
    <w:pPr>
      <w:framePr w:w="7938" w:h="1985" w:hRule="exact" w:hSpace="141" w:wrap="auto" w:hAnchor="page" w:xAlign="center" w:yAlign="bottom"/>
      <w:ind w:left="2835"/>
    </w:pPr>
    <w:rPr>
      <w:rFonts w:eastAsia="MS Gothic"/>
    </w:rPr>
  </w:style>
  <w:style w:type="paragraph" w:styleId="Adreszwrotnynakopercie">
    <w:name w:val="envelope return"/>
    <w:basedOn w:val="Normalny"/>
    <w:uiPriority w:val="99"/>
    <w:semiHidden/>
    <w:rsid w:val="00DC4033"/>
    <w:rPr>
      <w:rFonts w:eastAsia="MS Gothic"/>
      <w:sz w:val="20"/>
      <w:szCs w:val="20"/>
    </w:rPr>
  </w:style>
  <w:style w:type="character" w:styleId="UyteHipercze">
    <w:name w:val="FollowedHyperlink"/>
    <w:basedOn w:val="Domylnaczcionkaakapitu"/>
    <w:uiPriority w:val="99"/>
    <w:semiHidden/>
    <w:rsid w:val="00DC4033"/>
    <w:rPr>
      <w:rFonts w:cs="Times New Roman"/>
      <w:color w:val="auto"/>
      <w:u w:val="single"/>
    </w:rPr>
  </w:style>
  <w:style w:type="character" w:styleId="HTML-akronim">
    <w:name w:val="HTML Acronym"/>
    <w:basedOn w:val="Domylnaczcionkaakapitu"/>
    <w:uiPriority w:val="99"/>
    <w:semiHidden/>
    <w:rsid w:val="00DC4033"/>
    <w:rPr>
      <w:rFonts w:cs="Times New Roman"/>
    </w:rPr>
  </w:style>
  <w:style w:type="paragraph" w:styleId="HTML-adres">
    <w:name w:val="HTML Address"/>
    <w:basedOn w:val="Normalny"/>
    <w:link w:val="HTML-adresZnak"/>
    <w:uiPriority w:val="99"/>
    <w:semiHidden/>
    <w:rsid w:val="00DC4033"/>
    <w:rPr>
      <w:i/>
      <w:iCs/>
      <w:lang w:eastAsia="pl-PL"/>
    </w:rPr>
  </w:style>
  <w:style w:type="character" w:customStyle="1" w:styleId="HTML-adresZnak">
    <w:name w:val="HTML - adres Znak"/>
    <w:basedOn w:val="Domylnaczcionkaakapitu"/>
    <w:link w:val="HTML-adres"/>
    <w:uiPriority w:val="99"/>
    <w:semiHidden/>
    <w:locked/>
    <w:rsid w:val="00DC4033"/>
    <w:rPr>
      <w:rFonts w:eastAsia="MS Mincho"/>
      <w:i/>
      <w:sz w:val="24"/>
    </w:rPr>
  </w:style>
  <w:style w:type="character" w:styleId="HTML-cytat">
    <w:name w:val="HTML Cite"/>
    <w:basedOn w:val="Domylnaczcionkaakapitu"/>
    <w:uiPriority w:val="99"/>
    <w:semiHidden/>
    <w:rsid w:val="00DC4033"/>
    <w:rPr>
      <w:rFonts w:cs="Times New Roman"/>
      <w:i/>
      <w:iCs/>
    </w:rPr>
  </w:style>
  <w:style w:type="character" w:styleId="HTML-kod">
    <w:name w:val="HTML Code"/>
    <w:basedOn w:val="Domylnaczcionkaakapitu"/>
    <w:uiPriority w:val="99"/>
    <w:semiHidden/>
    <w:rsid w:val="00DC4033"/>
    <w:rPr>
      <w:rFonts w:ascii="Consolas" w:hAnsi="Consolas" w:cs="Consolas"/>
      <w:sz w:val="20"/>
      <w:szCs w:val="20"/>
    </w:rPr>
  </w:style>
  <w:style w:type="character" w:styleId="HTML-definicja">
    <w:name w:val="HTML Definition"/>
    <w:basedOn w:val="Domylnaczcionkaakapitu"/>
    <w:uiPriority w:val="99"/>
    <w:semiHidden/>
    <w:rsid w:val="00DC4033"/>
    <w:rPr>
      <w:rFonts w:cs="Times New Roman"/>
      <w:i/>
      <w:iCs/>
    </w:rPr>
  </w:style>
  <w:style w:type="character" w:styleId="HTML-klawiatura">
    <w:name w:val="HTML Keyboard"/>
    <w:basedOn w:val="Domylnaczcionkaakapitu"/>
    <w:uiPriority w:val="99"/>
    <w:semiHidden/>
    <w:rsid w:val="00DC4033"/>
    <w:rPr>
      <w:rFonts w:ascii="Consolas" w:hAnsi="Consolas" w:cs="Consolas"/>
      <w:sz w:val="20"/>
      <w:szCs w:val="20"/>
    </w:rPr>
  </w:style>
  <w:style w:type="paragraph" w:styleId="HTML-wstpniesformatowany">
    <w:name w:val="HTML Preformatted"/>
    <w:basedOn w:val="Normalny"/>
    <w:link w:val="HTML-wstpniesformatowanyZnak"/>
    <w:uiPriority w:val="99"/>
    <w:semiHidden/>
    <w:rsid w:val="00DC4033"/>
    <w:rPr>
      <w:rFonts w:ascii="Consolas" w:hAnsi="Consolas" w:cs="Consolas"/>
      <w:sz w:val="20"/>
      <w:szCs w:val="20"/>
      <w:lang w:eastAsia="pl-PL"/>
    </w:rPr>
  </w:style>
  <w:style w:type="character" w:customStyle="1" w:styleId="HTML-wstpniesformatowanyZnak">
    <w:name w:val="HTML - wstępnie sformatowany Znak"/>
    <w:basedOn w:val="Domylnaczcionkaakapitu"/>
    <w:link w:val="HTML-wstpniesformatowany"/>
    <w:uiPriority w:val="99"/>
    <w:semiHidden/>
    <w:locked/>
    <w:rsid w:val="00DC4033"/>
    <w:rPr>
      <w:rFonts w:ascii="Consolas" w:eastAsia="MS Mincho" w:hAnsi="Consolas"/>
      <w:sz w:val="20"/>
    </w:rPr>
  </w:style>
  <w:style w:type="character" w:styleId="HTML-przykad">
    <w:name w:val="HTML Sample"/>
    <w:basedOn w:val="Domylnaczcionkaakapitu"/>
    <w:uiPriority w:val="99"/>
    <w:semiHidden/>
    <w:rsid w:val="00DC4033"/>
    <w:rPr>
      <w:rFonts w:ascii="Consolas" w:hAnsi="Consolas" w:cs="Consolas"/>
      <w:sz w:val="24"/>
      <w:szCs w:val="24"/>
    </w:rPr>
  </w:style>
  <w:style w:type="character" w:styleId="HTML-staaszeroko">
    <w:name w:val="HTML Typewriter"/>
    <w:basedOn w:val="Domylnaczcionkaakapitu"/>
    <w:uiPriority w:val="99"/>
    <w:semiHidden/>
    <w:rsid w:val="00DC4033"/>
    <w:rPr>
      <w:rFonts w:ascii="Consolas" w:hAnsi="Consolas" w:cs="Consolas"/>
      <w:sz w:val="20"/>
      <w:szCs w:val="20"/>
    </w:rPr>
  </w:style>
  <w:style w:type="character" w:styleId="HTML-zmienna">
    <w:name w:val="HTML Variable"/>
    <w:basedOn w:val="Domylnaczcionkaakapitu"/>
    <w:uiPriority w:val="99"/>
    <w:semiHidden/>
    <w:rsid w:val="00DC4033"/>
    <w:rPr>
      <w:rFonts w:cs="Times New Roman"/>
      <w:i/>
      <w:iCs/>
    </w:rPr>
  </w:style>
  <w:style w:type="paragraph" w:styleId="Indeks1">
    <w:name w:val="index 1"/>
    <w:basedOn w:val="Normalny"/>
    <w:next w:val="Normalny"/>
    <w:autoRedefine/>
    <w:uiPriority w:val="99"/>
    <w:semiHidden/>
    <w:rsid w:val="00DC4033"/>
    <w:pPr>
      <w:ind w:left="240" w:hanging="240"/>
    </w:pPr>
  </w:style>
  <w:style w:type="paragraph" w:styleId="Indeks2">
    <w:name w:val="index 2"/>
    <w:basedOn w:val="Normalny"/>
    <w:next w:val="Normalny"/>
    <w:autoRedefine/>
    <w:uiPriority w:val="99"/>
    <w:semiHidden/>
    <w:rsid w:val="00DC4033"/>
    <w:pPr>
      <w:ind w:left="480" w:hanging="240"/>
    </w:pPr>
  </w:style>
  <w:style w:type="paragraph" w:styleId="Indeks3">
    <w:name w:val="index 3"/>
    <w:basedOn w:val="Normalny"/>
    <w:next w:val="Normalny"/>
    <w:autoRedefine/>
    <w:uiPriority w:val="99"/>
    <w:semiHidden/>
    <w:rsid w:val="00DC4033"/>
    <w:pPr>
      <w:ind w:left="720" w:hanging="240"/>
    </w:pPr>
  </w:style>
  <w:style w:type="paragraph" w:styleId="Indeks4">
    <w:name w:val="index 4"/>
    <w:basedOn w:val="Normalny"/>
    <w:next w:val="Normalny"/>
    <w:autoRedefine/>
    <w:uiPriority w:val="99"/>
    <w:semiHidden/>
    <w:rsid w:val="00DC4033"/>
    <w:pPr>
      <w:ind w:left="960" w:hanging="240"/>
    </w:pPr>
  </w:style>
  <w:style w:type="paragraph" w:styleId="Indeks5">
    <w:name w:val="index 5"/>
    <w:basedOn w:val="Normalny"/>
    <w:next w:val="Normalny"/>
    <w:autoRedefine/>
    <w:uiPriority w:val="99"/>
    <w:semiHidden/>
    <w:rsid w:val="00DC4033"/>
    <w:pPr>
      <w:ind w:left="1200" w:hanging="240"/>
    </w:pPr>
  </w:style>
  <w:style w:type="paragraph" w:styleId="Indeks6">
    <w:name w:val="index 6"/>
    <w:basedOn w:val="Normalny"/>
    <w:next w:val="Normalny"/>
    <w:autoRedefine/>
    <w:uiPriority w:val="99"/>
    <w:semiHidden/>
    <w:rsid w:val="00DC4033"/>
    <w:pPr>
      <w:ind w:left="1440" w:hanging="240"/>
    </w:pPr>
  </w:style>
  <w:style w:type="paragraph" w:styleId="Indeks7">
    <w:name w:val="index 7"/>
    <w:basedOn w:val="Normalny"/>
    <w:next w:val="Normalny"/>
    <w:autoRedefine/>
    <w:uiPriority w:val="99"/>
    <w:semiHidden/>
    <w:rsid w:val="00DC4033"/>
    <w:pPr>
      <w:ind w:left="1680" w:hanging="240"/>
    </w:pPr>
  </w:style>
  <w:style w:type="paragraph" w:styleId="Indeks8">
    <w:name w:val="index 8"/>
    <w:basedOn w:val="Normalny"/>
    <w:next w:val="Normalny"/>
    <w:autoRedefine/>
    <w:uiPriority w:val="99"/>
    <w:semiHidden/>
    <w:rsid w:val="00DC4033"/>
    <w:pPr>
      <w:ind w:left="1920" w:hanging="240"/>
    </w:pPr>
  </w:style>
  <w:style w:type="paragraph" w:styleId="Indeks9">
    <w:name w:val="index 9"/>
    <w:basedOn w:val="Normalny"/>
    <w:next w:val="Normalny"/>
    <w:autoRedefine/>
    <w:uiPriority w:val="99"/>
    <w:semiHidden/>
    <w:rsid w:val="00DC4033"/>
    <w:pPr>
      <w:ind w:left="2160" w:hanging="240"/>
    </w:pPr>
  </w:style>
  <w:style w:type="paragraph" w:styleId="Nagwekindeksu">
    <w:name w:val="index heading"/>
    <w:basedOn w:val="Normalny"/>
    <w:next w:val="Indeks1"/>
    <w:uiPriority w:val="99"/>
    <w:semiHidden/>
    <w:rsid w:val="00DC4033"/>
    <w:rPr>
      <w:rFonts w:eastAsia="MS Gothic"/>
      <w:b/>
      <w:bCs/>
    </w:rPr>
  </w:style>
  <w:style w:type="table" w:styleId="Jasnasiatka">
    <w:name w:val="Light Grid"/>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Jasnasiatkaakcent1">
    <w:name w:val="Light Grid Accent 1"/>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Jasnasiatkaakcent2">
    <w:name w:val="Light Grid Accent 2"/>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Jasnasiatkaakcent3">
    <w:name w:val="Light Grid Accent 3"/>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Jasnasiatkaakcent4">
    <w:name w:val="Light Grid Accent 4"/>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Jasnasiatkaakcent5">
    <w:name w:val="Light Grid Accent 5"/>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Jasnasiatkaakcent6">
    <w:name w:val="Light Grid Accent 6"/>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Jasnalista">
    <w:name w:val="Light List"/>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0072BC"/>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Jasnalistaakcent1">
    <w:name w:val="Light List Accent 1"/>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0072BC"/>
        <w:left w:val="single" w:sz="8" w:space="0" w:color="0072BC"/>
        <w:bottom w:val="single" w:sz="8" w:space="0" w:color="0072BC"/>
        <w:right w:val="single" w:sz="8" w:space="0" w:color="0072BC"/>
      </w:tblBorders>
    </w:tblPr>
    <w:tblStylePr w:type="firstRow">
      <w:pPr>
        <w:spacing w:before="0" w:after="0"/>
      </w:pPr>
      <w:rPr>
        <w:rFonts w:cs="Times New Roman"/>
        <w:b/>
        <w:bCs/>
        <w:color w:val="0072BC"/>
      </w:rPr>
      <w:tblPr/>
      <w:tcPr>
        <w:shd w:val="clear" w:color="auto" w:fill="0072BC"/>
      </w:tcPr>
    </w:tblStylePr>
    <w:tblStylePr w:type="lastRow">
      <w:pPr>
        <w:spacing w:before="0" w:after="0"/>
      </w:pPr>
      <w:rPr>
        <w:rFonts w:cs="Times New Roman"/>
        <w:b/>
        <w:bCs/>
      </w:rPr>
      <w:tblPr/>
      <w:tcPr>
        <w:tcBorders>
          <w:top w:val="double" w:sz="6" w:space="0" w:color="0072BC"/>
          <w:left w:val="single" w:sz="8" w:space="0" w:color="0072BC"/>
          <w:bottom w:val="single" w:sz="8" w:space="0" w:color="0072BC"/>
          <w:right w:val="single" w:sz="8" w:space="0" w:color="0072B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tcBorders>
      </w:tcPr>
    </w:tblStylePr>
  </w:style>
  <w:style w:type="table" w:styleId="Jasnalistaakcent2">
    <w:name w:val="Light List Accent 2"/>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C00000"/>
        <w:left w:val="single" w:sz="8" w:space="0" w:color="C00000"/>
        <w:bottom w:val="single" w:sz="8" w:space="0" w:color="C00000"/>
        <w:right w:val="single" w:sz="8" w:space="0" w:color="C00000"/>
      </w:tblBorders>
    </w:tblPr>
    <w:tblStylePr w:type="firstRow">
      <w:pPr>
        <w:spacing w:before="0" w:after="0"/>
      </w:pPr>
      <w:rPr>
        <w:rFonts w:cs="Times New Roman"/>
        <w:b/>
        <w:bCs/>
        <w:color w:val="0072BC"/>
      </w:rPr>
      <w:tblPr/>
      <w:tcPr>
        <w:shd w:val="clear" w:color="auto" w:fill="C00000"/>
      </w:tcPr>
    </w:tblStylePr>
    <w:tblStylePr w:type="lastRow">
      <w:pPr>
        <w:spacing w:before="0" w:after="0"/>
      </w:pPr>
      <w:rPr>
        <w:rFonts w:cs="Times New Roman"/>
        <w:b/>
        <w:bCs/>
      </w:rPr>
      <w:tblPr/>
      <w:tcPr>
        <w:tcBorders>
          <w:top w:val="double" w:sz="6" w:space="0" w:color="C00000"/>
          <w:left w:val="single" w:sz="8" w:space="0" w:color="C00000"/>
          <w:bottom w:val="single" w:sz="8" w:space="0" w:color="C00000"/>
          <w:right w:val="single" w:sz="8" w:space="0" w:color="C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tcBorders>
      </w:tcPr>
    </w:tblStylePr>
  </w:style>
  <w:style w:type="table" w:styleId="Jasnalistaakcent3">
    <w:name w:val="Light List Accent 3"/>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5F5F5F"/>
        <w:left w:val="single" w:sz="8" w:space="0" w:color="5F5F5F"/>
        <w:bottom w:val="single" w:sz="8" w:space="0" w:color="5F5F5F"/>
        <w:right w:val="single" w:sz="8" w:space="0" w:color="5F5F5F"/>
      </w:tblBorders>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Jasnalistaakcent4">
    <w:name w:val="Light List Accent 4"/>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969696"/>
        <w:left w:val="single" w:sz="8" w:space="0" w:color="969696"/>
        <w:bottom w:val="single" w:sz="8" w:space="0" w:color="969696"/>
        <w:right w:val="single" w:sz="8" w:space="0" w:color="969696"/>
      </w:tblBorders>
    </w:tblPr>
    <w:tblStylePr w:type="firstRow">
      <w:pPr>
        <w:spacing w:before="0" w:after="0"/>
      </w:pPr>
      <w:rPr>
        <w:rFonts w:cs="Times New Roman"/>
        <w:b/>
        <w:bCs/>
        <w:color w:val="0072BC"/>
      </w:rPr>
      <w:tblPr/>
      <w:tcPr>
        <w:shd w:val="clear" w:color="auto" w:fill="969696"/>
      </w:tcPr>
    </w:tblStylePr>
    <w:tblStylePr w:type="lastRow">
      <w:pPr>
        <w:spacing w:before="0" w:after="0"/>
      </w:pPr>
      <w:rPr>
        <w:rFonts w:cs="Times New Roman"/>
        <w:b/>
        <w:bCs/>
      </w:rPr>
      <w:tblPr/>
      <w:tcPr>
        <w:tcBorders>
          <w:top w:val="double" w:sz="6" w:space="0" w:color="969696"/>
          <w:left w:val="single" w:sz="8" w:space="0" w:color="969696"/>
          <w:bottom w:val="single" w:sz="8" w:space="0" w:color="969696"/>
          <w:right w:val="single" w:sz="8" w:space="0" w:color="96969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tcBorders>
      </w:tcPr>
    </w:tblStylePr>
  </w:style>
  <w:style w:type="table" w:styleId="Jasnalistaakcent5">
    <w:name w:val="Light List Accent 5"/>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5F5F5F"/>
        <w:left w:val="single" w:sz="8" w:space="0" w:color="5F5F5F"/>
        <w:bottom w:val="single" w:sz="8" w:space="0" w:color="5F5F5F"/>
        <w:right w:val="single" w:sz="8" w:space="0" w:color="5F5F5F"/>
      </w:tblBorders>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Jasnalistaakcent6">
    <w:name w:val="Light List Accent 6"/>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4D4D4D"/>
        <w:left w:val="single" w:sz="8" w:space="0" w:color="4D4D4D"/>
        <w:bottom w:val="single" w:sz="8" w:space="0" w:color="4D4D4D"/>
        <w:right w:val="single" w:sz="8" w:space="0" w:color="4D4D4D"/>
      </w:tblBorders>
    </w:tblPr>
    <w:tblStylePr w:type="firstRow">
      <w:pPr>
        <w:spacing w:before="0" w:after="0"/>
      </w:pPr>
      <w:rPr>
        <w:rFonts w:cs="Times New Roman"/>
        <w:b/>
        <w:bCs/>
        <w:color w:val="0072BC"/>
      </w:rPr>
      <w:tblPr/>
      <w:tcPr>
        <w:shd w:val="clear" w:color="auto" w:fill="4D4D4D"/>
      </w:tcPr>
    </w:tblStylePr>
    <w:tblStylePr w:type="lastRow">
      <w:pPr>
        <w:spacing w:before="0" w:after="0"/>
      </w:pPr>
      <w:rPr>
        <w:rFonts w:cs="Times New Roman"/>
        <w:b/>
        <w:bCs/>
      </w:rPr>
      <w:tblPr/>
      <w:tcPr>
        <w:tcBorders>
          <w:top w:val="double" w:sz="6" w:space="0" w:color="4D4D4D"/>
          <w:left w:val="single" w:sz="8" w:space="0" w:color="4D4D4D"/>
          <w:bottom w:val="single" w:sz="8" w:space="0" w:color="4D4D4D"/>
          <w:right w:val="single" w:sz="8" w:space="0" w:color="4D4D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tcBorders>
      </w:tcPr>
    </w:tblStylePr>
  </w:style>
  <w:style w:type="table" w:styleId="Jasnecieniowanie">
    <w:name w:val="Light Shading"/>
    <w:basedOn w:val="Standardowy"/>
    <w:uiPriority w:val="99"/>
    <w:semiHidden/>
    <w:rsid w:val="00DC4033"/>
    <w:pPr>
      <w:spacing w:after="0" w:line="240" w:lineRule="auto"/>
    </w:pPr>
    <w:rPr>
      <w:color w:val="000000"/>
      <w:sz w:val="20"/>
      <w:szCs w:val="20"/>
    </w:rPr>
    <w:tblPr>
      <w:tblStyleRowBandSize w:val="1"/>
      <w:tblStyleColBandSize w:val="1"/>
      <w:tblInd w:w="0" w:type="nil"/>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Jasnecieniowanieakcent1">
    <w:name w:val="Light Shading Accent 1"/>
    <w:basedOn w:val="Standardowy"/>
    <w:uiPriority w:val="99"/>
    <w:semiHidden/>
    <w:rsid w:val="00DC4033"/>
    <w:pPr>
      <w:spacing w:after="0" w:line="240" w:lineRule="auto"/>
    </w:pPr>
    <w:rPr>
      <w:color w:val="00548C"/>
      <w:sz w:val="20"/>
      <w:szCs w:val="20"/>
    </w:rPr>
    <w:tblPr>
      <w:tblStyleRowBandSize w:val="1"/>
      <w:tblStyleColBandSize w:val="1"/>
      <w:tblInd w:w="0" w:type="nil"/>
      <w:tblBorders>
        <w:top w:val="single" w:sz="8" w:space="0" w:color="0072BC"/>
        <w:bottom w:val="single" w:sz="8" w:space="0" w:color="0072BC"/>
      </w:tblBorders>
    </w:tblPr>
    <w:tblStylePr w:type="fir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la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left w:val="nil"/>
          <w:right w:val="nil"/>
          <w:insideH w:val="nil"/>
          <w:insideV w:val="nil"/>
        </w:tcBorders>
        <w:shd w:val="clear" w:color="auto" w:fill="AFDFFF"/>
      </w:tcPr>
    </w:tblStylePr>
  </w:style>
  <w:style w:type="table" w:styleId="Jasnecieniowanieakcent2">
    <w:name w:val="Light Shading Accent 2"/>
    <w:basedOn w:val="Standardowy"/>
    <w:uiPriority w:val="99"/>
    <w:semiHidden/>
    <w:rsid w:val="00DC4033"/>
    <w:pPr>
      <w:spacing w:after="0" w:line="240" w:lineRule="auto"/>
    </w:pPr>
    <w:rPr>
      <w:color w:val="8F0000"/>
      <w:sz w:val="20"/>
      <w:szCs w:val="20"/>
    </w:rPr>
    <w:tblPr>
      <w:tblStyleRowBandSize w:val="1"/>
      <w:tblStyleColBandSize w:val="1"/>
      <w:tblInd w:w="0" w:type="nil"/>
      <w:tblBorders>
        <w:top w:val="single" w:sz="8" w:space="0" w:color="C00000"/>
        <w:bottom w:val="single" w:sz="8" w:space="0" w:color="C00000"/>
      </w:tblBorders>
    </w:tblPr>
    <w:tblStylePr w:type="fir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left w:val="nil"/>
          <w:right w:val="nil"/>
          <w:insideH w:val="nil"/>
          <w:insideV w:val="nil"/>
        </w:tcBorders>
        <w:shd w:val="clear" w:color="auto" w:fill="FFB0B0"/>
      </w:tcPr>
    </w:tblStylePr>
  </w:style>
  <w:style w:type="table" w:styleId="Jasnecieniowanieakcent3">
    <w:name w:val="Light Shading Accent 3"/>
    <w:basedOn w:val="Standardowy"/>
    <w:uiPriority w:val="99"/>
    <w:semiHidden/>
    <w:rsid w:val="00DC4033"/>
    <w:pPr>
      <w:spacing w:after="0" w:line="240" w:lineRule="auto"/>
    </w:pPr>
    <w:rPr>
      <w:color w:val="474747"/>
      <w:sz w:val="20"/>
      <w:szCs w:val="20"/>
    </w:rPr>
    <w:tblPr>
      <w:tblStyleRowBandSize w:val="1"/>
      <w:tblStyleColBandSize w:val="1"/>
      <w:tblInd w:w="0" w:type="nil"/>
      <w:tblBorders>
        <w:top w:val="single" w:sz="8" w:space="0" w:color="5F5F5F"/>
        <w:bottom w:val="single" w:sz="8" w:space="0" w:color="5F5F5F"/>
      </w:tblBorders>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Jasnecieniowanieakcent4">
    <w:name w:val="Light Shading Accent 4"/>
    <w:basedOn w:val="Standardowy"/>
    <w:uiPriority w:val="99"/>
    <w:semiHidden/>
    <w:rsid w:val="00DC4033"/>
    <w:pPr>
      <w:spacing w:after="0" w:line="240" w:lineRule="auto"/>
    </w:pPr>
    <w:rPr>
      <w:color w:val="707070"/>
      <w:sz w:val="20"/>
      <w:szCs w:val="20"/>
    </w:rPr>
    <w:tblPr>
      <w:tblStyleRowBandSize w:val="1"/>
      <w:tblStyleColBandSize w:val="1"/>
      <w:tblInd w:w="0" w:type="nil"/>
      <w:tblBorders>
        <w:top w:val="single" w:sz="8" w:space="0" w:color="969696"/>
        <w:bottom w:val="single" w:sz="8" w:space="0" w:color="969696"/>
      </w:tblBorders>
    </w:tblPr>
    <w:tblStylePr w:type="fir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la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left w:val="nil"/>
          <w:right w:val="nil"/>
          <w:insideH w:val="nil"/>
          <w:insideV w:val="nil"/>
        </w:tcBorders>
        <w:shd w:val="clear" w:color="auto" w:fill="E5E5E5"/>
      </w:tcPr>
    </w:tblStylePr>
  </w:style>
  <w:style w:type="table" w:styleId="Jasnecieniowanieakcent5">
    <w:name w:val="Light Shading Accent 5"/>
    <w:basedOn w:val="Standardowy"/>
    <w:uiPriority w:val="99"/>
    <w:semiHidden/>
    <w:rsid w:val="00DC4033"/>
    <w:pPr>
      <w:spacing w:after="0" w:line="240" w:lineRule="auto"/>
    </w:pPr>
    <w:rPr>
      <w:color w:val="474747"/>
      <w:sz w:val="20"/>
      <w:szCs w:val="20"/>
    </w:rPr>
    <w:tblPr>
      <w:tblStyleRowBandSize w:val="1"/>
      <w:tblStyleColBandSize w:val="1"/>
      <w:tblInd w:w="0" w:type="nil"/>
      <w:tblBorders>
        <w:top w:val="single" w:sz="8" w:space="0" w:color="5F5F5F"/>
        <w:bottom w:val="single" w:sz="8" w:space="0" w:color="5F5F5F"/>
      </w:tblBorders>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Jasnecieniowanieakcent6">
    <w:name w:val="Light Shading Accent 6"/>
    <w:basedOn w:val="Standardowy"/>
    <w:uiPriority w:val="99"/>
    <w:semiHidden/>
    <w:rsid w:val="00DC4033"/>
    <w:pPr>
      <w:spacing w:after="0" w:line="240" w:lineRule="auto"/>
    </w:pPr>
    <w:rPr>
      <w:color w:val="393939"/>
      <w:sz w:val="20"/>
      <w:szCs w:val="20"/>
    </w:rPr>
    <w:tblPr>
      <w:tblStyleRowBandSize w:val="1"/>
      <w:tblStyleColBandSize w:val="1"/>
      <w:tblInd w:w="0" w:type="nil"/>
      <w:tblBorders>
        <w:top w:val="single" w:sz="8" w:space="0" w:color="4D4D4D"/>
        <w:bottom w:val="single" w:sz="8" w:space="0" w:color="4D4D4D"/>
      </w:tblBorders>
    </w:tblPr>
    <w:tblStylePr w:type="fir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left w:val="nil"/>
          <w:right w:val="nil"/>
          <w:insideH w:val="nil"/>
          <w:insideV w:val="nil"/>
        </w:tcBorders>
        <w:shd w:val="clear" w:color="auto" w:fill="D3D3D3"/>
      </w:tcPr>
    </w:tblStylePr>
  </w:style>
  <w:style w:type="character" w:styleId="Numerwiersza">
    <w:name w:val="line number"/>
    <w:basedOn w:val="Domylnaczcionkaakapitu"/>
    <w:uiPriority w:val="99"/>
    <w:semiHidden/>
    <w:rsid w:val="00DC4033"/>
    <w:rPr>
      <w:rFonts w:cs="Times New Roman"/>
    </w:rPr>
  </w:style>
  <w:style w:type="paragraph" w:styleId="Lista">
    <w:name w:val="List"/>
    <w:basedOn w:val="Normalny"/>
    <w:uiPriority w:val="99"/>
    <w:semiHidden/>
    <w:rsid w:val="00DC4033"/>
    <w:pPr>
      <w:ind w:left="283" w:hanging="283"/>
    </w:pPr>
  </w:style>
  <w:style w:type="paragraph" w:styleId="Lista2">
    <w:name w:val="List 2"/>
    <w:basedOn w:val="Normalny"/>
    <w:uiPriority w:val="99"/>
    <w:semiHidden/>
    <w:rsid w:val="00DC4033"/>
    <w:pPr>
      <w:ind w:left="566" w:hanging="283"/>
    </w:pPr>
  </w:style>
  <w:style w:type="paragraph" w:styleId="Lista3">
    <w:name w:val="List 3"/>
    <w:basedOn w:val="Normalny"/>
    <w:uiPriority w:val="99"/>
    <w:semiHidden/>
    <w:rsid w:val="00DC4033"/>
    <w:pPr>
      <w:ind w:left="849" w:hanging="283"/>
    </w:pPr>
  </w:style>
  <w:style w:type="paragraph" w:styleId="Lista4">
    <w:name w:val="List 4"/>
    <w:basedOn w:val="Normalny"/>
    <w:uiPriority w:val="99"/>
    <w:semiHidden/>
    <w:rsid w:val="00DC4033"/>
    <w:pPr>
      <w:ind w:left="1132" w:hanging="283"/>
    </w:pPr>
  </w:style>
  <w:style w:type="paragraph" w:styleId="Lista5">
    <w:name w:val="List 5"/>
    <w:basedOn w:val="Normalny"/>
    <w:uiPriority w:val="99"/>
    <w:semiHidden/>
    <w:rsid w:val="00DC4033"/>
    <w:pPr>
      <w:ind w:left="1415" w:hanging="283"/>
    </w:pPr>
  </w:style>
  <w:style w:type="paragraph" w:styleId="Listapunktowana2">
    <w:name w:val="List Bullet 2"/>
    <w:basedOn w:val="Normalny"/>
    <w:uiPriority w:val="99"/>
    <w:semiHidden/>
    <w:rsid w:val="00DC4033"/>
    <w:pPr>
      <w:numPr>
        <w:numId w:val="11"/>
      </w:numPr>
      <w:tabs>
        <w:tab w:val="clear" w:pos="360"/>
        <w:tab w:val="num" w:pos="643"/>
      </w:tabs>
      <w:ind w:left="643"/>
    </w:pPr>
  </w:style>
  <w:style w:type="paragraph" w:styleId="Listapunktowana3">
    <w:name w:val="List Bullet 3"/>
    <w:basedOn w:val="Normalny"/>
    <w:uiPriority w:val="99"/>
    <w:semiHidden/>
    <w:rsid w:val="00DC4033"/>
    <w:pPr>
      <w:numPr>
        <w:numId w:val="12"/>
      </w:numPr>
      <w:tabs>
        <w:tab w:val="num" w:pos="926"/>
      </w:tabs>
      <w:ind w:left="926"/>
    </w:pPr>
  </w:style>
  <w:style w:type="paragraph" w:styleId="Listapunktowana4">
    <w:name w:val="List Bullet 4"/>
    <w:basedOn w:val="Normalny"/>
    <w:uiPriority w:val="99"/>
    <w:semiHidden/>
    <w:rsid w:val="00DC4033"/>
    <w:pPr>
      <w:numPr>
        <w:numId w:val="13"/>
      </w:numPr>
      <w:tabs>
        <w:tab w:val="num" w:pos="1209"/>
      </w:tabs>
      <w:ind w:left="1209"/>
    </w:pPr>
  </w:style>
  <w:style w:type="paragraph" w:styleId="Listapunktowana5">
    <w:name w:val="List Bullet 5"/>
    <w:basedOn w:val="Normalny"/>
    <w:uiPriority w:val="99"/>
    <w:semiHidden/>
    <w:rsid w:val="00DC4033"/>
    <w:pPr>
      <w:numPr>
        <w:numId w:val="14"/>
      </w:numPr>
      <w:tabs>
        <w:tab w:val="num" w:pos="1492"/>
      </w:tabs>
      <w:ind w:left="1492"/>
    </w:pPr>
  </w:style>
  <w:style w:type="paragraph" w:styleId="Lista-kontynuacja">
    <w:name w:val="List Continue"/>
    <w:basedOn w:val="Normalny"/>
    <w:uiPriority w:val="99"/>
    <w:semiHidden/>
    <w:rsid w:val="00DC4033"/>
    <w:pPr>
      <w:spacing w:after="120"/>
      <w:ind w:left="283"/>
    </w:pPr>
  </w:style>
  <w:style w:type="paragraph" w:styleId="Lista-kontynuacja2">
    <w:name w:val="List Continue 2"/>
    <w:basedOn w:val="Normalny"/>
    <w:uiPriority w:val="99"/>
    <w:semiHidden/>
    <w:rsid w:val="00DC4033"/>
    <w:pPr>
      <w:spacing w:after="120"/>
      <w:ind w:left="566"/>
    </w:pPr>
  </w:style>
  <w:style w:type="paragraph" w:styleId="Lista-kontynuacja3">
    <w:name w:val="List Continue 3"/>
    <w:basedOn w:val="Normalny"/>
    <w:uiPriority w:val="99"/>
    <w:semiHidden/>
    <w:rsid w:val="00DC4033"/>
    <w:pPr>
      <w:spacing w:after="120"/>
      <w:ind w:left="849"/>
    </w:pPr>
  </w:style>
  <w:style w:type="paragraph" w:styleId="Lista-kontynuacja4">
    <w:name w:val="List Continue 4"/>
    <w:basedOn w:val="Normalny"/>
    <w:uiPriority w:val="99"/>
    <w:semiHidden/>
    <w:rsid w:val="00DC4033"/>
    <w:pPr>
      <w:spacing w:after="120"/>
      <w:ind w:left="1132"/>
    </w:pPr>
  </w:style>
  <w:style w:type="paragraph" w:styleId="Lista-kontynuacja5">
    <w:name w:val="List Continue 5"/>
    <w:basedOn w:val="Normalny"/>
    <w:uiPriority w:val="99"/>
    <w:semiHidden/>
    <w:rsid w:val="00DC4033"/>
    <w:pPr>
      <w:spacing w:after="120"/>
      <w:ind w:left="1415"/>
    </w:pPr>
  </w:style>
  <w:style w:type="paragraph" w:styleId="Listanumerowana">
    <w:name w:val="List Number"/>
    <w:basedOn w:val="Normalny"/>
    <w:uiPriority w:val="99"/>
    <w:semiHidden/>
    <w:rsid w:val="00DC4033"/>
    <w:pPr>
      <w:tabs>
        <w:tab w:val="num" w:pos="360"/>
      </w:tabs>
      <w:ind w:left="360" w:hanging="360"/>
    </w:pPr>
  </w:style>
  <w:style w:type="paragraph" w:styleId="Listanumerowana2">
    <w:name w:val="List Number 2"/>
    <w:basedOn w:val="Normalny"/>
    <w:uiPriority w:val="99"/>
    <w:semiHidden/>
    <w:rsid w:val="00DC4033"/>
    <w:pPr>
      <w:numPr>
        <w:numId w:val="16"/>
      </w:numPr>
      <w:tabs>
        <w:tab w:val="clear" w:pos="360"/>
        <w:tab w:val="num" w:pos="643"/>
      </w:tabs>
      <w:ind w:left="643"/>
    </w:pPr>
  </w:style>
  <w:style w:type="paragraph" w:styleId="Listanumerowana3">
    <w:name w:val="List Number 3"/>
    <w:basedOn w:val="Normalny"/>
    <w:uiPriority w:val="99"/>
    <w:semiHidden/>
    <w:rsid w:val="00DC4033"/>
    <w:pPr>
      <w:numPr>
        <w:numId w:val="17"/>
      </w:numPr>
      <w:tabs>
        <w:tab w:val="num" w:pos="926"/>
      </w:tabs>
      <w:ind w:left="926"/>
    </w:pPr>
  </w:style>
  <w:style w:type="paragraph" w:styleId="Listanumerowana4">
    <w:name w:val="List Number 4"/>
    <w:basedOn w:val="Normalny"/>
    <w:uiPriority w:val="99"/>
    <w:semiHidden/>
    <w:rsid w:val="00DC4033"/>
    <w:pPr>
      <w:numPr>
        <w:numId w:val="18"/>
      </w:numPr>
      <w:tabs>
        <w:tab w:val="num" w:pos="1209"/>
      </w:tabs>
      <w:ind w:left="1209"/>
    </w:pPr>
  </w:style>
  <w:style w:type="paragraph" w:styleId="Listanumerowana5">
    <w:name w:val="List Number 5"/>
    <w:basedOn w:val="Normalny"/>
    <w:uiPriority w:val="99"/>
    <w:semiHidden/>
    <w:rsid w:val="00DC4033"/>
    <w:pPr>
      <w:numPr>
        <w:numId w:val="19"/>
      </w:numPr>
      <w:tabs>
        <w:tab w:val="num" w:pos="1492"/>
      </w:tabs>
      <w:ind w:left="1492"/>
    </w:pPr>
  </w:style>
  <w:style w:type="paragraph" w:styleId="Tekstmakra">
    <w:name w:val="macro"/>
    <w:link w:val="TekstmakraZnak"/>
    <w:uiPriority w:val="99"/>
    <w:semiHidden/>
    <w:rsid w:val="00DC4033"/>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MS Mincho" w:hAnsi="Consolas" w:cs="Consolas"/>
      <w:sz w:val="20"/>
      <w:szCs w:val="20"/>
      <w:lang w:eastAsia="en-US"/>
    </w:rPr>
  </w:style>
  <w:style w:type="character" w:customStyle="1" w:styleId="TekstmakraZnak">
    <w:name w:val="Tekst makra Znak"/>
    <w:basedOn w:val="Domylnaczcionkaakapitu"/>
    <w:link w:val="Tekstmakra"/>
    <w:uiPriority w:val="99"/>
    <w:semiHidden/>
    <w:locked/>
    <w:rsid w:val="00DC4033"/>
    <w:rPr>
      <w:rFonts w:ascii="Consolas" w:eastAsia="MS Mincho" w:hAnsi="Consolas"/>
      <w:lang w:val="pl-PL" w:eastAsia="en-US"/>
    </w:rPr>
  </w:style>
  <w:style w:type="table" w:styleId="redniasiatka1">
    <w:name w:val="Medium Grid 1"/>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redniasiatka1akcent1">
    <w:name w:val="Medium Grid 1 Accent 1"/>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rFonts w:cs="Times New Roman"/>
        <w:b/>
        <w:bCs/>
      </w:rPr>
    </w:tblStylePr>
    <w:tblStylePr w:type="lastRow">
      <w:rPr>
        <w:rFonts w:cs="Times New Roman"/>
        <w:b/>
        <w:bCs/>
      </w:rPr>
      <w:tblPr/>
      <w:tcPr>
        <w:tcBorders>
          <w:top w:val="single" w:sz="18" w:space="0" w:color="0D9F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redniasiatka1akcent2">
    <w:name w:val="Medium Grid 1 Accent 2"/>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rFonts w:cs="Times New Roman"/>
        <w:b/>
        <w:bCs/>
      </w:rPr>
    </w:tblStylePr>
    <w:tblStylePr w:type="lastRow">
      <w:rPr>
        <w:rFonts w:cs="Times New Roman"/>
        <w:b/>
        <w:bCs/>
      </w:rPr>
      <w:tblPr/>
      <w:tcPr>
        <w:tcBorders>
          <w:top w:val="single" w:sz="18" w:space="0" w:color="FF101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redniasiatka1akcent3">
    <w:name w:val="Medium Grid 1 Accent 3"/>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redniasiatka1akcent4">
    <w:name w:val="Medium Grid 1 Accent 4"/>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rFonts w:cs="Times New Roman"/>
        <w:b/>
        <w:bCs/>
      </w:rPr>
    </w:tblStylePr>
    <w:tblStylePr w:type="lastRow">
      <w:rPr>
        <w:rFonts w:cs="Times New Roman"/>
        <w:b/>
        <w:bCs/>
      </w:rPr>
      <w:tblPr/>
      <w:tcPr>
        <w:tcBorders>
          <w:top w:val="single" w:sz="18" w:space="0" w:color="B0B0B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redniasiatka1akcent5">
    <w:name w:val="Medium Grid 1 Accent 5"/>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redniasiatka1akcent6">
    <w:name w:val="Medium Grid 1 Accent 6"/>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rFonts w:cs="Times New Roman"/>
        <w:b/>
        <w:bCs/>
      </w:rPr>
    </w:tblStylePr>
    <w:tblStylePr w:type="lastRow">
      <w:rPr>
        <w:rFonts w:cs="Times New Roman"/>
        <w:b/>
        <w:bCs/>
      </w:rPr>
      <w:tblPr/>
      <w:tcPr>
        <w:tcBorders>
          <w:top w:val="single" w:sz="18" w:space="0" w:color="7979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redniasiatka2">
    <w:name w:val="Medium Grid 2"/>
    <w:basedOn w:val="Standardowy"/>
    <w:uiPriority w:val="99"/>
    <w:semiHidden/>
    <w:rsid w:val="00DC4033"/>
    <w:pPr>
      <w:spacing w:after="0" w:line="240" w:lineRule="auto"/>
    </w:pPr>
    <w:rPr>
      <w:rFonts w:eastAsia="MS Gothic"/>
      <w:color w:val="000000"/>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0072BC"/>
      </w:tcPr>
    </w:tblStylePr>
  </w:style>
  <w:style w:type="table" w:styleId="redniasiatka2akcent1">
    <w:name w:val="Medium Grid 2 Accent 1"/>
    <w:basedOn w:val="Standardowy"/>
    <w:uiPriority w:val="99"/>
    <w:semiHidden/>
    <w:rsid w:val="00DC4033"/>
    <w:pPr>
      <w:spacing w:after="0" w:line="240" w:lineRule="auto"/>
    </w:pPr>
    <w:rPr>
      <w:rFonts w:eastAsia="MS Gothic"/>
      <w:color w:val="000000"/>
      <w:sz w:val="20"/>
      <w:szCs w:val="20"/>
    </w:rPr>
    <w:tblPr>
      <w:tblStyleRowBandSize w:val="1"/>
      <w:tblStyleColBandSize w:val="1"/>
      <w:tblInd w:w="0" w:type="nil"/>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rFonts w:cs="Times New Roman"/>
        <w:b/>
        <w:bCs/>
        <w:color w:val="000000"/>
      </w:rPr>
      <w:tblPr/>
      <w:tcPr>
        <w:shd w:val="clear" w:color="auto" w:fill="DFF2F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BEE5FF"/>
      </w:tcPr>
    </w:tblStylePr>
    <w:tblStylePr w:type="band1Vert">
      <w:rPr>
        <w:rFonts w:cs="Times New Roman"/>
      </w:rPr>
      <w:tblPr/>
      <w:tcPr>
        <w:shd w:val="clear" w:color="auto" w:fill="5EBFFF"/>
      </w:tcPr>
    </w:tblStylePr>
    <w:tblStylePr w:type="band1Horz">
      <w:rPr>
        <w:rFonts w:cs="Times New Roman"/>
      </w:rPr>
      <w:tblPr/>
      <w:tcPr>
        <w:tcBorders>
          <w:insideH w:val="single" w:sz="6" w:space="0" w:color="0072BC"/>
          <w:insideV w:val="single" w:sz="6" w:space="0" w:color="0072BC"/>
        </w:tcBorders>
        <w:shd w:val="clear" w:color="auto" w:fill="5EBFFF"/>
      </w:tcPr>
    </w:tblStylePr>
    <w:tblStylePr w:type="nwCell">
      <w:rPr>
        <w:rFonts w:cs="Times New Roman"/>
      </w:rPr>
      <w:tblPr/>
      <w:tcPr>
        <w:shd w:val="clear" w:color="auto" w:fill="0072BC"/>
      </w:tcPr>
    </w:tblStylePr>
  </w:style>
  <w:style w:type="table" w:styleId="redniasiatka2akcent2">
    <w:name w:val="Medium Grid 2 Accent 2"/>
    <w:basedOn w:val="Standardowy"/>
    <w:uiPriority w:val="99"/>
    <w:semiHidden/>
    <w:rsid w:val="00DC4033"/>
    <w:pPr>
      <w:spacing w:after="0" w:line="240" w:lineRule="auto"/>
    </w:pPr>
    <w:rPr>
      <w:rFonts w:eastAsia="MS Gothic"/>
      <w:color w:val="000000"/>
      <w:sz w:val="20"/>
      <w:szCs w:val="20"/>
    </w:rPr>
    <w:tblPr>
      <w:tblStyleRowBandSize w:val="1"/>
      <w:tblStyleColBandSize w:val="1"/>
      <w:tblInd w:w="0" w:type="nil"/>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rFonts w:cs="Times New Roman"/>
        <w:b/>
        <w:bCs/>
        <w:color w:val="000000"/>
      </w:rPr>
      <w:tblPr/>
      <w:tcPr>
        <w:shd w:val="clear" w:color="auto" w:fill="FFDFD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FFBFBF"/>
      </w:tcPr>
    </w:tblStylePr>
    <w:tblStylePr w:type="band1Vert">
      <w:rPr>
        <w:rFonts w:cs="Times New Roman"/>
      </w:rPr>
      <w:tblPr/>
      <w:tcPr>
        <w:shd w:val="clear" w:color="auto" w:fill="FF6060"/>
      </w:tcPr>
    </w:tblStylePr>
    <w:tblStylePr w:type="band1Horz">
      <w:rPr>
        <w:rFonts w:cs="Times New Roman"/>
      </w:rPr>
      <w:tblPr/>
      <w:tcPr>
        <w:tcBorders>
          <w:insideH w:val="single" w:sz="6" w:space="0" w:color="C00000"/>
          <w:insideV w:val="single" w:sz="6" w:space="0" w:color="C00000"/>
        </w:tcBorders>
        <w:shd w:val="clear" w:color="auto" w:fill="FF6060"/>
      </w:tcPr>
    </w:tblStylePr>
    <w:tblStylePr w:type="nwCell">
      <w:rPr>
        <w:rFonts w:cs="Times New Roman"/>
      </w:rPr>
      <w:tblPr/>
      <w:tcPr>
        <w:shd w:val="clear" w:color="auto" w:fill="0072BC"/>
      </w:tcPr>
    </w:tblStylePr>
  </w:style>
  <w:style w:type="table" w:styleId="redniasiatka2akcent3">
    <w:name w:val="Medium Grid 2 Accent 3"/>
    <w:basedOn w:val="Standardowy"/>
    <w:uiPriority w:val="99"/>
    <w:semiHidden/>
    <w:rsid w:val="00DC4033"/>
    <w:pPr>
      <w:spacing w:after="0" w:line="240" w:lineRule="auto"/>
    </w:pPr>
    <w:rPr>
      <w:rFonts w:eastAsia="MS Gothic"/>
      <w:color w:val="000000"/>
      <w:sz w:val="20"/>
      <w:szCs w:val="20"/>
    </w:rPr>
    <w:tblPr>
      <w:tblStyleRowBandSize w:val="1"/>
      <w:tblStyleColBandSize w:val="1"/>
      <w:tblInd w:w="0" w:type="nil"/>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redniasiatka2akcent4">
    <w:name w:val="Medium Grid 2 Accent 4"/>
    <w:basedOn w:val="Standardowy"/>
    <w:uiPriority w:val="99"/>
    <w:semiHidden/>
    <w:rsid w:val="00DC4033"/>
    <w:pPr>
      <w:spacing w:after="0" w:line="240" w:lineRule="auto"/>
    </w:pPr>
    <w:rPr>
      <w:rFonts w:eastAsia="MS Gothic"/>
      <w:color w:val="000000"/>
      <w:sz w:val="20"/>
      <w:szCs w:val="20"/>
    </w:rPr>
    <w:tblPr>
      <w:tblStyleRowBandSize w:val="1"/>
      <w:tblStyleColBandSize w:val="1"/>
      <w:tblInd w:w="0" w:type="nil"/>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rFonts w:cs="Times New Roman"/>
        <w:b/>
        <w:bCs/>
        <w:color w:val="000000"/>
      </w:rPr>
      <w:tblPr/>
      <w:tcPr>
        <w:shd w:val="clear" w:color="auto" w:fill="F4F4F4"/>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EAEAEA"/>
      </w:tcPr>
    </w:tblStylePr>
    <w:tblStylePr w:type="band1Vert">
      <w:rPr>
        <w:rFonts w:cs="Times New Roman"/>
      </w:rPr>
      <w:tblPr/>
      <w:tcPr>
        <w:shd w:val="clear" w:color="auto" w:fill="CACACA"/>
      </w:tcPr>
    </w:tblStylePr>
    <w:tblStylePr w:type="band1Horz">
      <w:rPr>
        <w:rFonts w:cs="Times New Roman"/>
      </w:rPr>
      <w:tblPr/>
      <w:tcPr>
        <w:tcBorders>
          <w:insideH w:val="single" w:sz="6" w:space="0" w:color="969696"/>
          <w:insideV w:val="single" w:sz="6" w:space="0" w:color="969696"/>
        </w:tcBorders>
        <w:shd w:val="clear" w:color="auto" w:fill="CACACA"/>
      </w:tcPr>
    </w:tblStylePr>
    <w:tblStylePr w:type="nwCell">
      <w:rPr>
        <w:rFonts w:cs="Times New Roman"/>
      </w:rPr>
      <w:tblPr/>
      <w:tcPr>
        <w:shd w:val="clear" w:color="auto" w:fill="0072BC"/>
      </w:tcPr>
    </w:tblStylePr>
  </w:style>
  <w:style w:type="table" w:styleId="redniasiatka2akcent5">
    <w:name w:val="Medium Grid 2 Accent 5"/>
    <w:basedOn w:val="Standardowy"/>
    <w:uiPriority w:val="99"/>
    <w:semiHidden/>
    <w:rsid w:val="00DC4033"/>
    <w:pPr>
      <w:spacing w:after="0" w:line="240" w:lineRule="auto"/>
    </w:pPr>
    <w:rPr>
      <w:rFonts w:eastAsia="MS Gothic"/>
      <w:color w:val="000000"/>
      <w:sz w:val="20"/>
      <w:szCs w:val="20"/>
    </w:rPr>
    <w:tblPr>
      <w:tblStyleRowBandSize w:val="1"/>
      <w:tblStyleColBandSize w:val="1"/>
      <w:tblInd w:w="0" w:type="nil"/>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redniasiatka2akcent6">
    <w:name w:val="Medium Grid 2 Accent 6"/>
    <w:basedOn w:val="Standardowy"/>
    <w:uiPriority w:val="99"/>
    <w:semiHidden/>
    <w:rsid w:val="00DC4033"/>
    <w:pPr>
      <w:spacing w:after="0" w:line="240" w:lineRule="auto"/>
    </w:pPr>
    <w:rPr>
      <w:rFonts w:eastAsia="MS Gothic"/>
      <w:color w:val="000000"/>
      <w:sz w:val="20"/>
      <w:szCs w:val="20"/>
    </w:rPr>
    <w:tblPr>
      <w:tblStyleRowBandSize w:val="1"/>
      <w:tblStyleColBandSize w:val="1"/>
      <w:tblInd w:w="0" w:type="nil"/>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rFonts w:cs="Times New Roman"/>
        <w:b/>
        <w:bCs/>
        <w:color w:val="000000"/>
      </w:rPr>
      <w:tblPr/>
      <w:tcPr>
        <w:shd w:val="clear" w:color="auto" w:fill="ED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BDBDB"/>
      </w:tcPr>
    </w:tblStylePr>
    <w:tblStylePr w:type="band1Vert">
      <w:rPr>
        <w:rFonts w:cs="Times New Roman"/>
      </w:rPr>
      <w:tblPr/>
      <w:tcPr>
        <w:shd w:val="clear" w:color="auto" w:fill="A6A6A6"/>
      </w:tcPr>
    </w:tblStylePr>
    <w:tblStylePr w:type="band1Horz">
      <w:rPr>
        <w:rFonts w:cs="Times New Roman"/>
      </w:rPr>
      <w:tblPr/>
      <w:tcPr>
        <w:tcBorders>
          <w:insideH w:val="single" w:sz="6" w:space="0" w:color="4D4D4D"/>
          <w:insideV w:val="single" w:sz="6" w:space="0" w:color="4D4D4D"/>
        </w:tcBorders>
        <w:shd w:val="clear" w:color="auto" w:fill="A6A6A6"/>
      </w:tcPr>
    </w:tblStylePr>
    <w:tblStylePr w:type="nwCell">
      <w:rPr>
        <w:rFonts w:cs="Times New Roman"/>
      </w:rPr>
      <w:tblPr/>
      <w:tcPr>
        <w:shd w:val="clear" w:color="auto" w:fill="0072BC"/>
      </w:tcPr>
    </w:tblStylePr>
  </w:style>
  <w:style w:type="table" w:styleId="redniasiatka3">
    <w:name w:val="Medium Grid 3"/>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redniasiatka3akcent1">
    <w:name w:val="Medium Grid 3 Accent 1"/>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redniasiatka3akcent2">
    <w:name w:val="Medium Grid 3 Accent 2"/>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redniasiatka3akcent3">
    <w:name w:val="Medium Grid 3 Accent 3"/>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redniasiatka3akcent4">
    <w:name w:val="Medium Grid 3 Accent 4"/>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redniasiatka3akcent5">
    <w:name w:val="Medium Grid 3 Accent 5"/>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redniasiatka3akcent6">
    <w:name w:val="Medium Grid 3 Accent 6"/>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rednialista1">
    <w:name w:val="Medium List 1"/>
    <w:basedOn w:val="Standardowy"/>
    <w:uiPriority w:val="99"/>
    <w:semiHidden/>
    <w:rsid w:val="00DC4033"/>
    <w:pPr>
      <w:spacing w:after="0" w:line="240" w:lineRule="auto"/>
    </w:pPr>
    <w:rPr>
      <w:color w:val="000000"/>
      <w:sz w:val="20"/>
      <w:szCs w:val="20"/>
    </w:rPr>
    <w:tblPr>
      <w:tblStyleRowBandSize w:val="1"/>
      <w:tblStyleColBandSize w:val="1"/>
      <w:tblInd w:w="0" w:type="nil"/>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rFonts w:cs="Times New Roman"/>
        <w:b/>
        <w:bCs/>
        <w:color w:val="C6C6C6"/>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rednialista1akcent1">
    <w:name w:val="Medium List 1 Accent 1"/>
    <w:basedOn w:val="Standardowy"/>
    <w:uiPriority w:val="99"/>
    <w:semiHidden/>
    <w:rsid w:val="00DC4033"/>
    <w:pPr>
      <w:spacing w:after="0" w:line="240" w:lineRule="auto"/>
    </w:pPr>
    <w:rPr>
      <w:color w:val="000000"/>
      <w:sz w:val="20"/>
      <w:szCs w:val="20"/>
    </w:rPr>
    <w:tblPr>
      <w:tblStyleRowBandSize w:val="1"/>
      <w:tblStyleColBandSize w:val="1"/>
      <w:tblInd w:w="0" w:type="nil"/>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rFonts w:cs="Times New Roman"/>
        <w:b/>
        <w:bCs/>
        <w:color w:val="C6C6C6"/>
      </w:rPr>
      <w:tblPr/>
      <w:tcPr>
        <w:tcBorders>
          <w:top w:val="single" w:sz="8" w:space="0" w:color="0072BC"/>
          <w:bottom w:val="single" w:sz="8" w:space="0" w:color="0072BC"/>
        </w:tcBorders>
      </w:tcPr>
    </w:tblStylePr>
    <w:tblStylePr w:type="firstCol">
      <w:rPr>
        <w:rFonts w:cs="Times New Roman"/>
        <w:b/>
        <w:bCs/>
      </w:rPr>
    </w:tblStylePr>
    <w:tblStylePr w:type="lastCol">
      <w:rPr>
        <w:rFonts w:cs="Times New Roman"/>
        <w:b/>
        <w:bCs/>
      </w:rPr>
      <w:tblPr/>
      <w:tcPr>
        <w:tcBorders>
          <w:top w:val="single" w:sz="8" w:space="0" w:color="0072BC"/>
          <w:bottom w:val="single" w:sz="8" w:space="0" w:color="0072BC"/>
        </w:tcBorders>
      </w:tcPr>
    </w:tblStylePr>
    <w:tblStylePr w:type="band1Vert">
      <w:rPr>
        <w:rFonts w:cs="Times New Roman"/>
      </w:rPr>
      <w:tblPr/>
      <w:tcPr>
        <w:shd w:val="clear" w:color="auto" w:fill="AFDFFF"/>
      </w:tcPr>
    </w:tblStylePr>
    <w:tblStylePr w:type="band1Horz">
      <w:rPr>
        <w:rFonts w:cs="Times New Roman"/>
      </w:rPr>
      <w:tblPr/>
      <w:tcPr>
        <w:shd w:val="clear" w:color="auto" w:fill="AFDFFF"/>
      </w:tcPr>
    </w:tblStylePr>
  </w:style>
  <w:style w:type="table" w:styleId="rednialista1akcent2">
    <w:name w:val="Medium List 1 Accent 2"/>
    <w:basedOn w:val="Standardowy"/>
    <w:uiPriority w:val="99"/>
    <w:semiHidden/>
    <w:rsid w:val="00DC4033"/>
    <w:pPr>
      <w:spacing w:after="0" w:line="240" w:lineRule="auto"/>
    </w:pPr>
    <w:rPr>
      <w:color w:val="000000"/>
      <w:sz w:val="20"/>
      <w:szCs w:val="20"/>
    </w:rPr>
    <w:tblPr>
      <w:tblStyleRowBandSize w:val="1"/>
      <w:tblStyleColBandSize w:val="1"/>
      <w:tblInd w:w="0" w:type="nil"/>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rFonts w:cs="Times New Roman"/>
        <w:b/>
        <w:bCs/>
        <w:color w:val="C6C6C6"/>
      </w:rPr>
      <w:tblPr/>
      <w:tcPr>
        <w:tcBorders>
          <w:top w:val="single" w:sz="8" w:space="0" w:color="C00000"/>
          <w:bottom w:val="single" w:sz="8" w:space="0" w:color="C00000"/>
        </w:tcBorders>
      </w:tcPr>
    </w:tblStylePr>
    <w:tblStylePr w:type="firstCol">
      <w:rPr>
        <w:rFonts w:cs="Times New Roman"/>
        <w:b/>
        <w:bCs/>
      </w:rPr>
    </w:tblStylePr>
    <w:tblStylePr w:type="lastCol">
      <w:rPr>
        <w:rFonts w:cs="Times New Roman"/>
        <w:b/>
        <w:bCs/>
      </w:rPr>
      <w:tblPr/>
      <w:tcPr>
        <w:tcBorders>
          <w:top w:val="single" w:sz="8" w:space="0" w:color="C00000"/>
          <w:bottom w:val="single" w:sz="8" w:space="0" w:color="C00000"/>
        </w:tcBorders>
      </w:tcPr>
    </w:tblStylePr>
    <w:tblStylePr w:type="band1Vert">
      <w:rPr>
        <w:rFonts w:cs="Times New Roman"/>
      </w:rPr>
      <w:tblPr/>
      <w:tcPr>
        <w:shd w:val="clear" w:color="auto" w:fill="FFB0B0"/>
      </w:tcPr>
    </w:tblStylePr>
    <w:tblStylePr w:type="band1Horz">
      <w:rPr>
        <w:rFonts w:cs="Times New Roman"/>
      </w:rPr>
      <w:tblPr/>
      <w:tcPr>
        <w:shd w:val="clear" w:color="auto" w:fill="FFB0B0"/>
      </w:tcPr>
    </w:tblStylePr>
  </w:style>
  <w:style w:type="table" w:styleId="rednialista1akcent3">
    <w:name w:val="Medium List 1 Accent 3"/>
    <w:basedOn w:val="Standardowy"/>
    <w:uiPriority w:val="99"/>
    <w:semiHidden/>
    <w:rsid w:val="00DC4033"/>
    <w:pPr>
      <w:spacing w:after="0" w:line="240" w:lineRule="auto"/>
    </w:pPr>
    <w:rPr>
      <w:color w:val="000000"/>
      <w:sz w:val="20"/>
      <w:szCs w:val="20"/>
    </w:rPr>
    <w:tblPr>
      <w:tblStyleRowBandSize w:val="1"/>
      <w:tblStyleColBandSize w:val="1"/>
      <w:tblInd w:w="0" w:type="nil"/>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rednialista1akcent4">
    <w:name w:val="Medium List 1 Accent 4"/>
    <w:basedOn w:val="Standardowy"/>
    <w:uiPriority w:val="99"/>
    <w:semiHidden/>
    <w:rsid w:val="00DC4033"/>
    <w:pPr>
      <w:spacing w:after="0" w:line="240" w:lineRule="auto"/>
    </w:pPr>
    <w:rPr>
      <w:color w:val="000000"/>
      <w:sz w:val="20"/>
      <w:szCs w:val="20"/>
    </w:rPr>
    <w:tblPr>
      <w:tblStyleRowBandSize w:val="1"/>
      <w:tblStyleColBandSize w:val="1"/>
      <w:tblInd w:w="0" w:type="nil"/>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rFonts w:cs="Times New Roman"/>
        <w:b/>
        <w:bCs/>
        <w:color w:val="C6C6C6"/>
      </w:rPr>
      <w:tblPr/>
      <w:tcPr>
        <w:tcBorders>
          <w:top w:val="single" w:sz="8" w:space="0" w:color="969696"/>
          <w:bottom w:val="single" w:sz="8" w:space="0" w:color="969696"/>
        </w:tcBorders>
      </w:tcPr>
    </w:tblStylePr>
    <w:tblStylePr w:type="firstCol">
      <w:rPr>
        <w:rFonts w:cs="Times New Roman"/>
        <w:b/>
        <w:bCs/>
      </w:rPr>
    </w:tblStylePr>
    <w:tblStylePr w:type="lastCol">
      <w:rPr>
        <w:rFonts w:cs="Times New Roman"/>
        <w:b/>
        <w:bCs/>
      </w:rPr>
      <w:tblPr/>
      <w:tcPr>
        <w:tcBorders>
          <w:top w:val="single" w:sz="8" w:space="0" w:color="969696"/>
          <w:bottom w:val="single" w:sz="8" w:space="0" w:color="969696"/>
        </w:tcBorders>
      </w:tcPr>
    </w:tblStylePr>
    <w:tblStylePr w:type="band1Vert">
      <w:rPr>
        <w:rFonts w:cs="Times New Roman"/>
      </w:rPr>
      <w:tblPr/>
      <w:tcPr>
        <w:shd w:val="clear" w:color="auto" w:fill="E5E5E5"/>
      </w:tcPr>
    </w:tblStylePr>
    <w:tblStylePr w:type="band1Horz">
      <w:rPr>
        <w:rFonts w:cs="Times New Roman"/>
      </w:rPr>
      <w:tblPr/>
      <w:tcPr>
        <w:shd w:val="clear" w:color="auto" w:fill="E5E5E5"/>
      </w:tcPr>
    </w:tblStylePr>
  </w:style>
  <w:style w:type="table" w:styleId="rednialista1akcent5">
    <w:name w:val="Medium List 1 Accent 5"/>
    <w:basedOn w:val="Standardowy"/>
    <w:uiPriority w:val="99"/>
    <w:semiHidden/>
    <w:rsid w:val="00DC4033"/>
    <w:pPr>
      <w:spacing w:after="0" w:line="240" w:lineRule="auto"/>
    </w:pPr>
    <w:rPr>
      <w:color w:val="000000"/>
      <w:sz w:val="20"/>
      <w:szCs w:val="20"/>
    </w:rPr>
    <w:tblPr>
      <w:tblStyleRowBandSize w:val="1"/>
      <w:tblStyleColBandSize w:val="1"/>
      <w:tblInd w:w="0" w:type="nil"/>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rednialista1akcent6">
    <w:name w:val="Medium List 1 Accent 6"/>
    <w:basedOn w:val="Standardowy"/>
    <w:uiPriority w:val="99"/>
    <w:semiHidden/>
    <w:rsid w:val="00DC4033"/>
    <w:pPr>
      <w:spacing w:after="0" w:line="240" w:lineRule="auto"/>
    </w:pPr>
    <w:rPr>
      <w:color w:val="000000"/>
      <w:sz w:val="20"/>
      <w:szCs w:val="20"/>
    </w:rPr>
    <w:tblPr>
      <w:tblStyleRowBandSize w:val="1"/>
      <w:tblStyleColBandSize w:val="1"/>
      <w:tblInd w:w="0" w:type="nil"/>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rFonts w:cs="Times New Roman"/>
        <w:b/>
        <w:bCs/>
        <w:color w:val="C6C6C6"/>
      </w:rPr>
      <w:tblPr/>
      <w:tcPr>
        <w:tcBorders>
          <w:top w:val="single" w:sz="8" w:space="0" w:color="4D4D4D"/>
          <w:bottom w:val="single" w:sz="8" w:space="0" w:color="4D4D4D"/>
        </w:tcBorders>
      </w:tcPr>
    </w:tblStylePr>
    <w:tblStylePr w:type="firstCol">
      <w:rPr>
        <w:rFonts w:cs="Times New Roman"/>
        <w:b/>
        <w:bCs/>
      </w:rPr>
    </w:tblStylePr>
    <w:tblStylePr w:type="lastCol">
      <w:rPr>
        <w:rFonts w:cs="Times New Roman"/>
        <w:b/>
        <w:bCs/>
      </w:rPr>
      <w:tblPr/>
      <w:tcPr>
        <w:tcBorders>
          <w:top w:val="single" w:sz="8" w:space="0" w:color="4D4D4D"/>
          <w:bottom w:val="single" w:sz="8" w:space="0" w:color="4D4D4D"/>
        </w:tcBorders>
      </w:tcPr>
    </w:tblStylePr>
    <w:tblStylePr w:type="band1Vert">
      <w:rPr>
        <w:rFonts w:cs="Times New Roman"/>
      </w:rPr>
      <w:tblPr/>
      <w:tcPr>
        <w:shd w:val="clear" w:color="auto" w:fill="D3D3D3"/>
      </w:tcPr>
    </w:tblStylePr>
    <w:tblStylePr w:type="band1Horz">
      <w:rPr>
        <w:rFonts w:cs="Times New Roman"/>
      </w:rPr>
      <w:tblPr/>
      <w:tcPr>
        <w:shd w:val="clear" w:color="auto" w:fill="D3D3D3"/>
      </w:tcPr>
    </w:tblStylePr>
  </w:style>
  <w:style w:type="table" w:styleId="rednialista2">
    <w:name w:val="Medium List 2"/>
    <w:basedOn w:val="Standardowy"/>
    <w:uiPriority w:val="99"/>
    <w:semiHidden/>
    <w:rsid w:val="00DC4033"/>
    <w:pPr>
      <w:spacing w:after="0" w:line="240" w:lineRule="auto"/>
    </w:pPr>
    <w:rPr>
      <w:rFonts w:eastAsia="MS Gothic"/>
      <w:color w:val="000000"/>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0072BC"/>
      </w:tcPr>
    </w:tblStylePr>
    <w:tblStylePr w:type="lastRow">
      <w:rPr>
        <w:rFonts w:cs="Times New Roman"/>
      </w:rPr>
      <w:tblPr/>
      <w:tcPr>
        <w:tcBorders>
          <w:top w:val="single" w:sz="8" w:space="0" w:color="0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0000"/>
          <w:insideH w:val="nil"/>
          <w:insideV w:val="nil"/>
        </w:tcBorders>
        <w:shd w:val="clear" w:color="auto" w:fill="0072BC"/>
      </w:tcPr>
    </w:tblStylePr>
    <w:tblStylePr w:type="lastCol">
      <w:rPr>
        <w:rFonts w:cs="Times New Roman"/>
      </w:rPr>
      <w:tblPr/>
      <w:tcPr>
        <w:tcBorders>
          <w:top w:val="nil"/>
          <w:left w:val="single" w:sz="8" w:space="0" w:color="0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rednialista2akcent1">
    <w:name w:val="Medium List 2 Accent 1"/>
    <w:basedOn w:val="Standardowy"/>
    <w:uiPriority w:val="99"/>
    <w:semiHidden/>
    <w:rsid w:val="00DC4033"/>
    <w:pPr>
      <w:spacing w:after="0" w:line="240" w:lineRule="auto"/>
    </w:pPr>
    <w:rPr>
      <w:rFonts w:eastAsia="MS Gothic"/>
      <w:color w:val="000000"/>
      <w:sz w:val="20"/>
      <w:szCs w:val="20"/>
    </w:rPr>
    <w:tblPr>
      <w:tblStyleRowBandSize w:val="1"/>
      <w:tblStyleColBandSize w:val="1"/>
      <w:tblInd w:w="0" w:type="nil"/>
      <w:tblBorders>
        <w:top w:val="single" w:sz="8" w:space="0" w:color="0072BC"/>
        <w:left w:val="single" w:sz="8" w:space="0" w:color="0072BC"/>
        <w:bottom w:val="single" w:sz="8" w:space="0" w:color="0072BC"/>
        <w:right w:val="single" w:sz="8" w:space="0" w:color="0072BC"/>
      </w:tblBorders>
    </w:tblPr>
    <w:tblStylePr w:type="firstRow">
      <w:rPr>
        <w:rFonts w:cs="Times New Roman"/>
        <w:sz w:val="24"/>
        <w:szCs w:val="24"/>
      </w:rPr>
      <w:tblPr/>
      <w:tcPr>
        <w:tcBorders>
          <w:top w:val="nil"/>
          <w:left w:val="nil"/>
          <w:bottom w:val="single" w:sz="24" w:space="0" w:color="0072BC"/>
          <w:right w:val="nil"/>
          <w:insideH w:val="nil"/>
          <w:insideV w:val="nil"/>
        </w:tcBorders>
        <w:shd w:val="clear" w:color="auto" w:fill="0072BC"/>
      </w:tcPr>
    </w:tblStylePr>
    <w:tblStylePr w:type="lastRow">
      <w:rPr>
        <w:rFonts w:cs="Times New Roman"/>
      </w:rPr>
      <w:tblPr/>
      <w:tcPr>
        <w:tcBorders>
          <w:top w:val="single" w:sz="8" w:space="0" w:color="0072BC"/>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72BC"/>
          <w:insideH w:val="nil"/>
          <w:insideV w:val="nil"/>
        </w:tcBorders>
        <w:shd w:val="clear" w:color="auto" w:fill="0072BC"/>
      </w:tcPr>
    </w:tblStylePr>
    <w:tblStylePr w:type="lastCol">
      <w:rPr>
        <w:rFonts w:cs="Times New Roman"/>
      </w:rPr>
      <w:tblPr/>
      <w:tcPr>
        <w:tcBorders>
          <w:top w:val="nil"/>
          <w:left w:val="single" w:sz="8" w:space="0" w:color="0072BC"/>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top w:val="nil"/>
          <w:bottom w:val="nil"/>
          <w:insideH w:val="nil"/>
          <w:insideV w:val="nil"/>
        </w:tcBorders>
        <w:shd w:val="clear" w:color="auto" w:fill="AFDFFF"/>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rednialista2akcent2">
    <w:name w:val="Medium List 2 Accent 2"/>
    <w:basedOn w:val="Standardowy"/>
    <w:uiPriority w:val="99"/>
    <w:semiHidden/>
    <w:rsid w:val="00DC4033"/>
    <w:pPr>
      <w:spacing w:after="0" w:line="240" w:lineRule="auto"/>
    </w:pPr>
    <w:rPr>
      <w:rFonts w:eastAsia="MS Gothic"/>
      <w:color w:val="000000"/>
      <w:sz w:val="20"/>
      <w:szCs w:val="20"/>
    </w:rPr>
    <w:tblPr>
      <w:tblStyleRowBandSize w:val="1"/>
      <w:tblStyleColBandSize w:val="1"/>
      <w:tblInd w:w="0" w:type="nil"/>
      <w:tblBorders>
        <w:top w:val="single" w:sz="8" w:space="0" w:color="C00000"/>
        <w:left w:val="single" w:sz="8" w:space="0" w:color="C00000"/>
        <w:bottom w:val="single" w:sz="8" w:space="0" w:color="C00000"/>
        <w:right w:val="single" w:sz="8" w:space="0" w:color="C00000"/>
      </w:tblBorders>
    </w:tblPr>
    <w:tblStylePr w:type="firstRow">
      <w:rPr>
        <w:rFonts w:cs="Times New Roman"/>
        <w:sz w:val="24"/>
        <w:szCs w:val="24"/>
      </w:rPr>
      <w:tblPr/>
      <w:tcPr>
        <w:tcBorders>
          <w:top w:val="nil"/>
          <w:left w:val="nil"/>
          <w:bottom w:val="single" w:sz="24" w:space="0" w:color="C00000"/>
          <w:right w:val="nil"/>
          <w:insideH w:val="nil"/>
          <w:insideV w:val="nil"/>
        </w:tcBorders>
        <w:shd w:val="clear" w:color="auto" w:fill="0072BC"/>
      </w:tcPr>
    </w:tblStylePr>
    <w:tblStylePr w:type="lastRow">
      <w:rPr>
        <w:rFonts w:cs="Times New Roman"/>
      </w:rPr>
      <w:tblPr/>
      <w:tcPr>
        <w:tcBorders>
          <w:top w:val="single" w:sz="8" w:space="0" w:color="C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C00000"/>
          <w:insideH w:val="nil"/>
          <w:insideV w:val="nil"/>
        </w:tcBorders>
        <w:shd w:val="clear" w:color="auto" w:fill="0072BC"/>
      </w:tcPr>
    </w:tblStylePr>
    <w:tblStylePr w:type="lastCol">
      <w:rPr>
        <w:rFonts w:cs="Times New Roman"/>
      </w:rPr>
      <w:tblPr/>
      <w:tcPr>
        <w:tcBorders>
          <w:top w:val="nil"/>
          <w:left w:val="single" w:sz="8" w:space="0" w:color="C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top w:val="nil"/>
          <w:bottom w:val="nil"/>
          <w:insideH w:val="nil"/>
          <w:insideV w:val="nil"/>
        </w:tcBorders>
        <w:shd w:val="clear" w:color="auto" w:fill="FFB0B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rednialista2akcent3">
    <w:name w:val="Medium List 2 Accent 3"/>
    <w:basedOn w:val="Standardowy"/>
    <w:uiPriority w:val="99"/>
    <w:semiHidden/>
    <w:rsid w:val="00DC4033"/>
    <w:pPr>
      <w:spacing w:after="0" w:line="240" w:lineRule="auto"/>
    </w:pPr>
    <w:rPr>
      <w:rFonts w:eastAsia="MS Gothic"/>
      <w:color w:val="000000"/>
      <w:sz w:val="20"/>
      <w:szCs w:val="20"/>
    </w:rPr>
    <w:tblPr>
      <w:tblStyleRowBandSize w:val="1"/>
      <w:tblStyleColBandSize w:val="1"/>
      <w:tblInd w:w="0" w:type="nil"/>
      <w:tblBorders>
        <w:top w:val="single" w:sz="8" w:space="0" w:color="5F5F5F"/>
        <w:left w:val="single" w:sz="8" w:space="0" w:color="5F5F5F"/>
        <w:bottom w:val="single" w:sz="8" w:space="0" w:color="5F5F5F"/>
        <w:right w:val="single" w:sz="8" w:space="0" w:color="5F5F5F"/>
      </w:tblBorders>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rednialista2akcent4">
    <w:name w:val="Medium List 2 Accent 4"/>
    <w:basedOn w:val="Standardowy"/>
    <w:uiPriority w:val="99"/>
    <w:semiHidden/>
    <w:rsid w:val="00DC4033"/>
    <w:pPr>
      <w:spacing w:after="0" w:line="240" w:lineRule="auto"/>
    </w:pPr>
    <w:rPr>
      <w:rFonts w:eastAsia="MS Gothic"/>
      <w:color w:val="000000"/>
      <w:sz w:val="20"/>
      <w:szCs w:val="20"/>
    </w:rPr>
    <w:tblPr>
      <w:tblStyleRowBandSize w:val="1"/>
      <w:tblStyleColBandSize w:val="1"/>
      <w:tblInd w:w="0" w:type="nil"/>
      <w:tblBorders>
        <w:top w:val="single" w:sz="8" w:space="0" w:color="969696"/>
        <w:left w:val="single" w:sz="8" w:space="0" w:color="969696"/>
        <w:bottom w:val="single" w:sz="8" w:space="0" w:color="969696"/>
        <w:right w:val="single" w:sz="8" w:space="0" w:color="969696"/>
      </w:tblBorders>
    </w:tblPr>
    <w:tblStylePr w:type="firstRow">
      <w:rPr>
        <w:rFonts w:cs="Times New Roman"/>
        <w:sz w:val="24"/>
        <w:szCs w:val="24"/>
      </w:rPr>
      <w:tblPr/>
      <w:tcPr>
        <w:tcBorders>
          <w:top w:val="nil"/>
          <w:left w:val="nil"/>
          <w:bottom w:val="single" w:sz="24" w:space="0" w:color="969696"/>
          <w:right w:val="nil"/>
          <w:insideH w:val="nil"/>
          <w:insideV w:val="nil"/>
        </w:tcBorders>
        <w:shd w:val="clear" w:color="auto" w:fill="0072BC"/>
      </w:tcPr>
    </w:tblStylePr>
    <w:tblStylePr w:type="lastRow">
      <w:rPr>
        <w:rFonts w:cs="Times New Roman"/>
      </w:rPr>
      <w:tblPr/>
      <w:tcPr>
        <w:tcBorders>
          <w:top w:val="single" w:sz="8" w:space="0" w:color="969696"/>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969696"/>
          <w:insideH w:val="nil"/>
          <w:insideV w:val="nil"/>
        </w:tcBorders>
        <w:shd w:val="clear" w:color="auto" w:fill="0072BC"/>
      </w:tcPr>
    </w:tblStylePr>
    <w:tblStylePr w:type="lastCol">
      <w:rPr>
        <w:rFonts w:cs="Times New Roman"/>
      </w:rPr>
      <w:tblPr/>
      <w:tcPr>
        <w:tcBorders>
          <w:top w:val="nil"/>
          <w:left w:val="single" w:sz="8" w:space="0" w:color="969696"/>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top w:val="nil"/>
          <w:bottom w:val="nil"/>
          <w:insideH w:val="nil"/>
          <w:insideV w:val="nil"/>
        </w:tcBorders>
        <w:shd w:val="clear" w:color="auto" w:fill="E5E5E5"/>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rednialista2akcent5">
    <w:name w:val="Medium List 2 Accent 5"/>
    <w:basedOn w:val="Standardowy"/>
    <w:uiPriority w:val="99"/>
    <w:semiHidden/>
    <w:rsid w:val="00DC4033"/>
    <w:pPr>
      <w:spacing w:after="0" w:line="240" w:lineRule="auto"/>
    </w:pPr>
    <w:rPr>
      <w:rFonts w:eastAsia="MS Gothic"/>
      <w:color w:val="000000"/>
      <w:sz w:val="20"/>
      <w:szCs w:val="20"/>
    </w:rPr>
    <w:tblPr>
      <w:tblStyleRowBandSize w:val="1"/>
      <w:tblStyleColBandSize w:val="1"/>
      <w:tblInd w:w="0" w:type="nil"/>
      <w:tblBorders>
        <w:top w:val="single" w:sz="8" w:space="0" w:color="5F5F5F"/>
        <w:left w:val="single" w:sz="8" w:space="0" w:color="5F5F5F"/>
        <w:bottom w:val="single" w:sz="8" w:space="0" w:color="5F5F5F"/>
        <w:right w:val="single" w:sz="8" w:space="0" w:color="5F5F5F"/>
      </w:tblBorders>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rednialista2akcent6">
    <w:name w:val="Medium List 2 Accent 6"/>
    <w:basedOn w:val="Standardowy"/>
    <w:uiPriority w:val="99"/>
    <w:semiHidden/>
    <w:rsid w:val="00DC4033"/>
    <w:pPr>
      <w:spacing w:after="0" w:line="240" w:lineRule="auto"/>
    </w:pPr>
    <w:rPr>
      <w:rFonts w:eastAsia="MS Gothic"/>
      <w:color w:val="000000"/>
      <w:sz w:val="20"/>
      <w:szCs w:val="20"/>
    </w:rPr>
    <w:tblPr>
      <w:tblStyleRowBandSize w:val="1"/>
      <w:tblStyleColBandSize w:val="1"/>
      <w:tblInd w:w="0" w:type="nil"/>
      <w:tblBorders>
        <w:top w:val="single" w:sz="8" w:space="0" w:color="4D4D4D"/>
        <w:left w:val="single" w:sz="8" w:space="0" w:color="4D4D4D"/>
        <w:bottom w:val="single" w:sz="8" w:space="0" w:color="4D4D4D"/>
        <w:right w:val="single" w:sz="8" w:space="0" w:color="4D4D4D"/>
      </w:tblBorders>
    </w:tblPr>
    <w:tblStylePr w:type="firstRow">
      <w:rPr>
        <w:rFonts w:cs="Times New Roman"/>
        <w:sz w:val="24"/>
        <w:szCs w:val="24"/>
      </w:rPr>
      <w:tblPr/>
      <w:tcPr>
        <w:tcBorders>
          <w:top w:val="nil"/>
          <w:left w:val="nil"/>
          <w:bottom w:val="single" w:sz="24" w:space="0" w:color="4D4D4D"/>
          <w:right w:val="nil"/>
          <w:insideH w:val="nil"/>
          <w:insideV w:val="nil"/>
        </w:tcBorders>
        <w:shd w:val="clear" w:color="auto" w:fill="0072BC"/>
      </w:tcPr>
    </w:tblStylePr>
    <w:tblStylePr w:type="lastRow">
      <w:rPr>
        <w:rFonts w:cs="Times New Roman"/>
      </w:rPr>
      <w:tblPr/>
      <w:tcPr>
        <w:tcBorders>
          <w:top w:val="single" w:sz="8" w:space="0" w:color="4D4D4D"/>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4D4D4D"/>
          <w:insideH w:val="nil"/>
          <w:insideV w:val="nil"/>
        </w:tcBorders>
        <w:shd w:val="clear" w:color="auto" w:fill="0072BC"/>
      </w:tcPr>
    </w:tblStylePr>
    <w:tblStylePr w:type="lastCol">
      <w:rPr>
        <w:rFonts w:cs="Times New Roman"/>
      </w:rPr>
      <w:tblPr/>
      <w:tcPr>
        <w:tcBorders>
          <w:top w:val="nil"/>
          <w:left w:val="single" w:sz="8" w:space="0" w:color="4D4D4D"/>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top w:val="nil"/>
          <w:bottom w:val="nil"/>
          <w:insideH w:val="nil"/>
          <w:insideV w:val="nil"/>
        </w:tcBorders>
        <w:shd w:val="clear" w:color="auto" w:fill="D3D3D3"/>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redniecieniowanie1">
    <w:name w:val="Medium Shading 1"/>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redniecieniowanie1akcent1">
    <w:name w:val="Medium Shading 1 Accent 1"/>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pPr>
      <w:rPr>
        <w:rFonts w:cs="Times New Roman"/>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pPr>
      <w:rPr>
        <w:rFonts w:cs="Times New Roman"/>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DFFF"/>
      </w:tcPr>
    </w:tblStylePr>
    <w:tblStylePr w:type="band1Horz">
      <w:rPr>
        <w:rFonts w:cs="Times New Roman"/>
      </w:rPr>
      <w:tblPr/>
      <w:tcPr>
        <w:tcBorders>
          <w:insideH w:val="nil"/>
          <w:insideV w:val="nil"/>
        </w:tcBorders>
        <w:shd w:val="clear" w:color="auto" w:fill="AFDFFF"/>
      </w:tcPr>
    </w:tblStylePr>
    <w:tblStylePr w:type="band2Horz">
      <w:rPr>
        <w:rFonts w:cs="Times New Roman"/>
      </w:rPr>
      <w:tblPr/>
      <w:tcPr>
        <w:tcBorders>
          <w:insideH w:val="nil"/>
          <w:insideV w:val="nil"/>
        </w:tcBorders>
      </w:tcPr>
    </w:tblStylePr>
  </w:style>
  <w:style w:type="table" w:styleId="redniecieniowanie1akcent2">
    <w:name w:val="Medium Shading 1 Accent 2"/>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pPr>
      <w:rPr>
        <w:rFonts w:cs="Times New Roman"/>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rFonts w:cs="Times New Roman"/>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B0B0"/>
      </w:tcPr>
    </w:tblStylePr>
    <w:tblStylePr w:type="band1Horz">
      <w:rPr>
        <w:rFonts w:cs="Times New Roman"/>
      </w:rPr>
      <w:tblPr/>
      <w:tcPr>
        <w:tcBorders>
          <w:insideH w:val="nil"/>
          <w:insideV w:val="nil"/>
        </w:tcBorders>
        <w:shd w:val="clear" w:color="auto" w:fill="FFB0B0"/>
      </w:tcPr>
    </w:tblStylePr>
    <w:tblStylePr w:type="band2Horz">
      <w:rPr>
        <w:rFonts w:cs="Times New Roman"/>
      </w:rPr>
      <w:tblPr/>
      <w:tcPr>
        <w:tcBorders>
          <w:insideH w:val="nil"/>
          <w:insideV w:val="nil"/>
        </w:tcBorders>
      </w:tcPr>
    </w:tblStylePr>
  </w:style>
  <w:style w:type="table" w:styleId="redniecieniowanie1akcent3">
    <w:name w:val="Medium Shading 1 Accent 3"/>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redniecieniowanie1akcent4">
    <w:name w:val="Medium Shading 1 Accent 4"/>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pPr>
      <w:rPr>
        <w:rFonts w:cs="Times New Roman"/>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pPr>
      <w:rPr>
        <w:rFonts w:cs="Times New Roman"/>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E5E5"/>
      </w:tcPr>
    </w:tblStylePr>
    <w:tblStylePr w:type="band1Horz">
      <w:rPr>
        <w:rFonts w:cs="Times New Roman"/>
      </w:rPr>
      <w:tblPr/>
      <w:tcPr>
        <w:tcBorders>
          <w:insideH w:val="nil"/>
          <w:insideV w:val="nil"/>
        </w:tcBorders>
        <w:shd w:val="clear" w:color="auto" w:fill="E5E5E5"/>
      </w:tcPr>
    </w:tblStylePr>
    <w:tblStylePr w:type="band2Horz">
      <w:rPr>
        <w:rFonts w:cs="Times New Roman"/>
      </w:rPr>
      <w:tblPr/>
      <w:tcPr>
        <w:tcBorders>
          <w:insideH w:val="nil"/>
          <w:insideV w:val="nil"/>
        </w:tcBorders>
      </w:tcPr>
    </w:tblStylePr>
  </w:style>
  <w:style w:type="table" w:styleId="redniecieniowanie1akcent5">
    <w:name w:val="Medium Shading 1 Accent 5"/>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redniecieniowanie1akcent6">
    <w:name w:val="Medium Shading 1 Accent 6"/>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pPr>
      <w:rPr>
        <w:rFonts w:cs="Times New Roman"/>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pPr>
      <w:rPr>
        <w:rFonts w:cs="Times New Roman"/>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3D3"/>
      </w:tcPr>
    </w:tblStylePr>
    <w:tblStylePr w:type="band1Horz">
      <w:rPr>
        <w:rFonts w:cs="Times New Roman"/>
      </w:rPr>
      <w:tblPr/>
      <w:tcPr>
        <w:tcBorders>
          <w:insideH w:val="nil"/>
          <w:insideV w:val="nil"/>
        </w:tcBorders>
        <w:shd w:val="clear" w:color="auto" w:fill="D3D3D3"/>
      </w:tcPr>
    </w:tblStylePr>
    <w:tblStylePr w:type="band2Horz">
      <w:rPr>
        <w:rFonts w:cs="Times New Roman"/>
      </w:rPr>
      <w:tblPr/>
      <w:tcPr>
        <w:tcBorders>
          <w:insideH w:val="nil"/>
          <w:insideV w:val="nil"/>
        </w:tcBorders>
      </w:tcPr>
    </w:tblStylePr>
  </w:style>
  <w:style w:type="table" w:styleId="redniecieniowanie2">
    <w:name w:val="Medium Shading 2"/>
    <w:basedOn w:val="Standardowy"/>
    <w:uiPriority w:val="99"/>
    <w:semiHidden/>
    <w:rsid w:val="00DC4033"/>
    <w:pPr>
      <w:spacing w:after="0" w:line="240" w:lineRule="auto"/>
    </w:pPr>
    <w:rPr>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0072BC"/>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99"/>
    <w:semiHidden/>
    <w:rsid w:val="00DC4033"/>
    <w:pPr>
      <w:spacing w:after="0" w:line="240" w:lineRule="auto"/>
    </w:pPr>
    <w:rPr>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72BC"/>
      </w:tcPr>
    </w:tblStylePr>
    <w:tblStylePr w:type="lastCol">
      <w:rPr>
        <w:rFonts w:cs="Times New Roman"/>
        <w:b/>
        <w:bCs/>
        <w:color w:val="0072BC"/>
      </w:rPr>
      <w:tblPr/>
      <w:tcPr>
        <w:tcBorders>
          <w:left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99"/>
    <w:semiHidden/>
    <w:rsid w:val="00DC4033"/>
    <w:pPr>
      <w:spacing w:after="0" w:line="240" w:lineRule="auto"/>
    </w:pPr>
    <w:rPr>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C00000"/>
      </w:tcPr>
    </w:tblStylePr>
    <w:tblStylePr w:type="lastCol">
      <w:rPr>
        <w:rFonts w:cs="Times New Roman"/>
        <w:b/>
        <w:bCs/>
        <w:color w:val="0072BC"/>
      </w:rPr>
      <w:tblPr/>
      <w:tcPr>
        <w:tcBorders>
          <w:left w:val="nil"/>
          <w:right w:val="nil"/>
          <w:insideH w:val="nil"/>
          <w:insideV w:val="nil"/>
        </w:tcBorders>
        <w:shd w:val="clear" w:color="auto" w:fill="C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99"/>
    <w:semiHidden/>
    <w:rsid w:val="00DC4033"/>
    <w:pPr>
      <w:spacing w:after="0" w:line="240" w:lineRule="auto"/>
    </w:pPr>
    <w:rPr>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99"/>
    <w:semiHidden/>
    <w:rsid w:val="00DC4033"/>
    <w:pPr>
      <w:spacing w:after="0" w:line="240" w:lineRule="auto"/>
    </w:pPr>
    <w:rPr>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969696"/>
      </w:tcPr>
    </w:tblStylePr>
    <w:tblStylePr w:type="lastCol">
      <w:rPr>
        <w:rFonts w:cs="Times New Roman"/>
        <w:b/>
        <w:bCs/>
        <w:color w:val="0072BC"/>
      </w:rPr>
      <w:tblPr/>
      <w:tcPr>
        <w:tcBorders>
          <w:left w:val="nil"/>
          <w:right w:val="nil"/>
          <w:insideH w:val="nil"/>
          <w:insideV w:val="nil"/>
        </w:tcBorders>
        <w:shd w:val="clear" w:color="auto" w:fill="969696"/>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99"/>
    <w:semiHidden/>
    <w:rsid w:val="00DC4033"/>
    <w:pPr>
      <w:spacing w:after="0" w:line="240" w:lineRule="auto"/>
    </w:pPr>
    <w:rPr>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99"/>
    <w:semiHidden/>
    <w:rsid w:val="00DC4033"/>
    <w:pPr>
      <w:spacing w:after="0" w:line="240" w:lineRule="auto"/>
    </w:pPr>
    <w:rPr>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4D4D4D"/>
      </w:tcPr>
    </w:tblStylePr>
    <w:tblStylePr w:type="lastCol">
      <w:rPr>
        <w:rFonts w:cs="Times New Roman"/>
        <w:b/>
        <w:bCs/>
        <w:color w:val="0072BC"/>
      </w:rPr>
      <w:tblPr/>
      <w:tcPr>
        <w:tcBorders>
          <w:left w:val="nil"/>
          <w:right w:val="nil"/>
          <w:insideH w:val="nil"/>
          <w:insideV w:val="nil"/>
        </w:tcBorders>
        <w:shd w:val="clear" w:color="auto" w:fill="4D4D4D"/>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paragraph" w:styleId="Nagwekwiadomoci">
    <w:name w:val="Message Header"/>
    <w:basedOn w:val="Normalny"/>
    <w:link w:val="NagwekwiadomociZnak"/>
    <w:uiPriority w:val="99"/>
    <w:semiHidden/>
    <w:rsid w:val="00DC4033"/>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lang w:eastAsia="pl-PL"/>
    </w:rPr>
  </w:style>
  <w:style w:type="character" w:customStyle="1" w:styleId="NagwekwiadomociZnak">
    <w:name w:val="Nagłówek wiadomości Znak"/>
    <w:basedOn w:val="Domylnaczcionkaakapitu"/>
    <w:link w:val="Nagwekwiadomoci"/>
    <w:uiPriority w:val="99"/>
    <w:semiHidden/>
    <w:locked/>
    <w:rsid w:val="00DC4033"/>
    <w:rPr>
      <w:rFonts w:ascii="Times New Roman" w:eastAsia="MS Gothic" w:hAnsi="Times New Roman"/>
      <w:sz w:val="24"/>
      <w:shd w:val="pct20" w:color="auto" w:fill="auto"/>
    </w:rPr>
  </w:style>
  <w:style w:type="paragraph" w:styleId="NormalnyWeb">
    <w:name w:val="Normal (Web)"/>
    <w:basedOn w:val="Normalny"/>
    <w:uiPriority w:val="99"/>
    <w:semiHidden/>
    <w:rsid w:val="00DC4033"/>
  </w:style>
  <w:style w:type="paragraph" w:styleId="Wcicienormalne">
    <w:name w:val="Normal Indent"/>
    <w:basedOn w:val="Normalny"/>
    <w:uiPriority w:val="99"/>
    <w:semiHidden/>
    <w:rsid w:val="00DC4033"/>
    <w:pPr>
      <w:ind w:left="720"/>
    </w:pPr>
  </w:style>
  <w:style w:type="paragraph" w:styleId="Nagweknotatki">
    <w:name w:val="Note Heading"/>
    <w:basedOn w:val="Normalny"/>
    <w:next w:val="Normalny"/>
    <w:link w:val="NagweknotatkiZnak"/>
    <w:uiPriority w:val="99"/>
    <w:semiHidden/>
    <w:rsid w:val="00DC4033"/>
    <w:rPr>
      <w:lang w:eastAsia="pl-PL"/>
    </w:rPr>
  </w:style>
  <w:style w:type="character" w:customStyle="1" w:styleId="NagweknotatkiZnak">
    <w:name w:val="Nagłówek notatki Znak"/>
    <w:basedOn w:val="Domylnaczcionkaakapitu"/>
    <w:link w:val="Nagweknotatki"/>
    <w:uiPriority w:val="99"/>
    <w:semiHidden/>
    <w:locked/>
    <w:rsid w:val="00DC4033"/>
    <w:rPr>
      <w:rFonts w:eastAsia="MS Mincho"/>
      <w:sz w:val="24"/>
    </w:rPr>
  </w:style>
  <w:style w:type="character" w:styleId="Tekstzastpczy">
    <w:name w:val="Placeholder Text"/>
    <w:basedOn w:val="Domylnaczcionkaakapitu"/>
    <w:uiPriority w:val="99"/>
    <w:semiHidden/>
    <w:rsid w:val="0045649E"/>
    <w:rPr>
      <w:rFonts w:cs="Times New Roman"/>
      <w:color w:val="auto"/>
      <w:shd w:val="clear" w:color="auto" w:fill="DFDFDF"/>
    </w:rPr>
  </w:style>
  <w:style w:type="paragraph" w:styleId="Zwykytekst">
    <w:name w:val="Plain Text"/>
    <w:basedOn w:val="Normalny"/>
    <w:link w:val="ZwykytekstZnak"/>
    <w:uiPriority w:val="99"/>
    <w:semiHidden/>
    <w:rsid w:val="00DC4033"/>
    <w:rPr>
      <w:rFonts w:ascii="Consolas" w:hAnsi="Consolas" w:cs="Consolas"/>
      <w:sz w:val="21"/>
      <w:szCs w:val="21"/>
      <w:lang w:eastAsia="pl-PL"/>
    </w:rPr>
  </w:style>
  <w:style w:type="character" w:customStyle="1" w:styleId="ZwykytekstZnak">
    <w:name w:val="Zwykły tekst Znak"/>
    <w:basedOn w:val="Domylnaczcionkaakapitu"/>
    <w:link w:val="Zwykytekst"/>
    <w:uiPriority w:val="99"/>
    <w:semiHidden/>
    <w:locked/>
    <w:rsid w:val="00DC4033"/>
    <w:rPr>
      <w:rFonts w:ascii="Consolas" w:eastAsia="MS Mincho" w:hAnsi="Consolas"/>
      <w:sz w:val="21"/>
    </w:rPr>
  </w:style>
  <w:style w:type="paragraph" w:styleId="Zwrotgrzecznociowy">
    <w:name w:val="Salutation"/>
    <w:basedOn w:val="Normalny"/>
    <w:next w:val="Normalny"/>
    <w:link w:val="ZwrotgrzecznociowyZnak"/>
    <w:uiPriority w:val="99"/>
    <w:semiHidden/>
    <w:rsid w:val="00DC4033"/>
    <w:rPr>
      <w:lang w:eastAsia="pl-PL"/>
    </w:rPr>
  </w:style>
  <w:style w:type="character" w:customStyle="1" w:styleId="ZwrotgrzecznociowyZnak">
    <w:name w:val="Zwrot grzecznościowy Znak"/>
    <w:basedOn w:val="Domylnaczcionkaakapitu"/>
    <w:link w:val="Zwrotgrzecznociowy"/>
    <w:uiPriority w:val="99"/>
    <w:semiHidden/>
    <w:locked/>
    <w:rsid w:val="00DC4033"/>
    <w:rPr>
      <w:rFonts w:eastAsia="MS Mincho"/>
      <w:sz w:val="24"/>
    </w:rPr>
  </w:style>
  <w:style w:type="paragraph" w:styleId="Podpis">
    <w:name w:val="Signature"/>
    <w:basedOn w:val="Normalny"/>
    <w:link w:val="PodpisZnak"/>
    <w:uiPriority w:val="99"/>
    <w:semiHidden/>
    <w:rsid w:val="00DC4033"/>
    <w:pPr>
      <w:ind w:left="4252"/>
    </w:pPr>
    <w:rPr>
      <w:lang w:eastAsia="pl-PL"/>
    </w:rPr>
  </w:style>
  <w:style w:type="character" w:customStyle="1" w:styleId="PodpisZnak">
    <w:name w:val="Podpis Znak"/>
    <w:basedOn w:val="Domylnaczcionkaakapitu"/>
    <w:link w:val="Podpis"/>
    <w:uiPriority w:val="99"/>
    <w:semiHidden/>
    <w:locked/>
    <w:rsid w:val="00DC4033"/>
    <w:rPr>
      <w:rFonts w:eastAsia="MS Mincho"/>
      <w:sz w:val="24"/>
    </w:rPr>
  </w:style>
  <w:style w:type="table" w:styleId="Tabela-Efekty3W1">
    <w:name w:val="Table 3D effects 1"/>
    <w:basedOn w:val="Standardowy"/>
    <w:uiPriority w:val="99"/>
    <w:semiHidden/>
    <w:rsid w:val="00DC4033"/>
    <w:pPr>
      <w:spacing w:after="0" w:line="240" w:lineRule="auto"/>
      <w:jc w:val="both"/>
    </w:pPr>
    <w:rPr>
      <w:sz w:val="20"/>
      <w:szCs w:val="20"/>
    </w:rPr>
    <w:tblPr>
      <w:tblInd w:w="0" w:type="nil"/>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semiHidden/>
    <w:rsid w:val="00DC4033"/>
    <w:pPr>
      <w:spacing w:after="0" w:line="240" w:lineRule="auto"/>
      <w:jc w:val="both"/>
    </w:pPr>
    <w:rPr>
      <w:sz w:val="20"/>
      <w:szCs w:val="20"/>
    </w:rPr>
    <w:tblPr>
      <w:tblStyleRowBandSize w:val="1"/>
      <w:tblInd w:w="0" w:type="nil"/>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fekty3W3">
    <w:name w:val="Table 3D effects 3"/>
    <w:basedOn w:val="Standardowy"/>
    <w:uiPriority w:val="99"/>
    <w:semiHidden/>
    <w:rsid w:val="00DC4033"/>
    <w:pPr>
      <w:spacing w:after="0" w:line="240" w:lineRule="auto"/>
      <w:jc w:val="both"/>
    </w:pPr>
    <w:rPr>
      <w:sz w:val="20"/>
      <w:szCs w:val="20"/>
    </w:rPr>
    <w:tblPr>
      <w:tblStyleRowBandSize w:val="1"/>
      <w:tblStyleColBandSize w:val="1"/>
      <w:tblInd w:w="0" w:type="nil"/>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rsid w:val="00DC4033"/>
    <w:pPr>
      <w:spacing w:after="0" w:line="240" w:lineRule="auto"/>
      <w:jc w:val="both"/>
    </w:pPr>
    <w:rPr>
      <w:sz w:val="20"/>
      <w:szCs w:val="20"/>
    </w:rPr>
    <w:tblPr>
      <w:tblInd w:w="0" w:type="nil"/>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rsid w:val="00DC4033"/>
    <w:pPr>
      <w:spacing w:after="0" w:line="240" w:lineRule="auto"/>
      <w:jc w:val="both"/>
    </w:pPr>
    <w:rPr>
      <w:sz w:val="20"/>
      <w:szCs w:val="20"/>
    </w:rPr>
    <w:tblPr>
      <w:tblInd w:w="0" w:type="nil"/>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rsid w:val="00DC4033"/>
    <w:pPr>
      <w:spacing w:after="0" w:line="240" w:lineRule="auto"/>
      <w:jc w:val="both"/>
    </w:pPr>
    <w:rPr>
      <w:color w:val="00008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rsid w:val="00DC4033"/>
    <w:pPr>
      <w:spacing w:after="0" w:line="240" w:lineRule="auto"/>
      <w:jc w:val="both"/>
    </w:pPr>
    <w:rPr>
      <w:sz w:val="20"/>
      <w:szCs w:val="20"/>
    </w:rPr>
    <w:tblPr>
      <w:tblInd w:w="0" w:type="nil"/>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rsid w:val="00DC4033"/>
    <w:pPr>
      <w:spacing w:after="0" w:line="240" w:lineRule="auto"/>
      <w:jc w:val="both"/>
    </w:pPr>
    <w:rPr>
      <w:color w:val="FFFFFF"/>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rsid w:val="00DC4033"/>
    <w:pPr>
      <w:spacing w:after="0" w:line="240" w:lineRule="auto"/>
      <w:jc w:val="both"/>
    </w:pPr>
    <w:rPr>
      <w:sz w:val="20"/>
      <w:szCs w:val="20"/>
    </w:rPr>
    <w:tblPr>
      <w:tblInd w:w="0" w:type="nil"/>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rsid w:val="00DC4033"/>
    <w:pPr>
      <w:spacing w:after="0" w:line="240" w:lineRule="auto"/>
      <w:jc w:val="both"/>
    </w:pPr>
    <w:rPr>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rsid w:val="00DC4033"/>
    <w:pPr>
      <w:spacing w:after="0" w:line="240" w:lineRule="auto"/>
      <w:jc w:val="both"/>
    </w:pPr>
    <w:rPr>
      <w:b/>
      <w:bCs/>
      <w:sz w:val="20"/>
      <w:szCs w:val="20"/>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rsid w:val="00DC4033"/>
    <w:pPr>
      <w:spacing w:after="0" w:line="240" w:lineRule="auto"/>
      <w:jc w:val="both"/>
    </w:pPr>
    <w:rPr>
      <w:b/>
      <w:bCs/>
      <w:sz w:val="20"/>
      <w:szCs w:val="20"/>
    </w:rPr>
    <w:tblPr>
      <w:tblStyleColBandSize w:val="1"/>
      <w:tblInd w:w="0" w:type="nil"/>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rsid w:val="00DC4033"/>
    <w:pPr>
      <w:spacing w:after="0" w:line="240" w:lineRule="auto"/>
      <w:jc w:val="both"/>
    </w:pPr>
    <w:rPr>
      <w:b/>
      <w:bCs/>
      <w:sz w:val="20"/>
      <w:szCs w:val="20"/>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rsid w:val="00DC4033"/>
    <w:pPr>
      <w:spacing w:after="0" w:line="240" w:lineRule="auto"/>
      <w:jc w:val="both"/>
    </w:pPr>
    <w:rPr>
      <w:sz w:val="20"/>
      <w:szCs w:val="20"/>
    </w:rPr>
    <w:tblPr>
      <w:tblStyleColBandSize w:val="1"/>
      <w:tblInd w:w="0" w:type="nil"/>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a-Kolumnowy5">
    <w:name w:val="Table Columns 5"/>
    <w:basedOn w:val="Standardowy"/>
    <w:uiPriority w:val="99"/>
    <w:semiHidden/>
    <w:rsid w:val="00DC4033"/>
    <w:pPr>
      <w:spacing w:after="0" w:line="240" w:lineRule="auto"/>
      <w:jc w:val="both"/>
    </w:pPr>
    <w:rPr>
      <w:sz w:val="20"/>
      <w:szCs w:val="20"/>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a-Wspczesny">
    <w:name w:val="Table Contemporary"/>
    <w:basedOn w:val="Standardowy"/>
    <w:uiPriority w:val="99"/>
    <w:semiHidden/>
    <w:rsid w:val="00DC4033"/>
    <w:pPr>
      <w:spacing w:after="0" w:line="240" w:lineRule="auto"/>
      <w:jc w:val="both"/>
    </w:pPr>
    <w:rPr>
      <w:sz w:val="20"/>
      <w:szCs w:val="20"/>
    </w:rPr>
    <w:tblPr>
      <w:tblStyleRowBandSize w:val="1"/>
      <w:tblInd w:w="0" w:type="nil"/>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rsid w:val="00DC4033"/>
    <w:pPr>
      <w:spacing w:after="0" w:line="240" w:lineRule="auto"/>
      <w:jc w:val="both"/>
    </w:pPr>
    <w:rPr>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Siatka1">
    <w:name w:val="Table Grid 1"/>
    <w:basedOn w:val="Standardowy"/>
    <w:uiPriority w:val="99"/>
    <w:semiHidden/>
    <w:rsid w:val="00DC4033"/>
    <w:pPr>
      <w:spacing w:after="0" w:line="240" w:lineRule="auto"/>
      <w:jc w:val="both"/>
    </w:pPr>
    <w:rPr>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a-Siatka2">
    <w:name w:val="Table Grid 2"/>
    <w:basedOn w:val="Standardowy"/>
    <w:uiPriority w:val="99"/>
    <w:semiHidden/>
    <w:rsid w:val="00DC4033"/>
    <w:pPr>
      <w:spacing w:after="0" w:line="240" w:lineRule="auto"/>
      <w:jc w:val="both"/>
    </w:pPr>
    <w:rPr>
      <w:sz w:val="20"/>
      <w:szCs w:val="20"/>
    </w:rPr>
    <w:tblPr>
      <w:tblInd w:w="0" w:type="nil"/>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a-Siatka3">
    <w:name w:val="Table Grid 3"/>
    <w:basedOn w:val="Standardowy"/>
    <w:uiPriority w:val="99"/>
    <w:semiHidden/>
    <w:rsid w:val="00DC4033"/>
    <w:pPr>
      <w:spacing w:after="0" w:line="240" w:lineRule="auto"/>
      <w:jc w:val="both"/>
    </w:pPr>
    <w:rPr>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a-Siatka4">
    <w:name w:val="Table Grid 4"/>
    <w:basedOn w:val="Standardowy"/>
    <w:uiPriority w:val="99"/>
    <w:semiHidden/>
    <w:rsid w:val="00DC4033"/>
    <w:pPr>
      <w:spacing w:after="0" w:line="240" w:lineRule="auto"/>
      <w:jc w:val="both"/>
    </w:pPr>
    <w:rPr>
      <w:sz w:val="20"/>
      <w:szCs w:val="20"/>
    </w:rPr>
    <w:tblPr>
      <w:tblInd w:w="0" w:type="nil"/>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rsid w:val="00DC4033"/>
    <w:pPr>
      <w:spacing w:after="0" w:line="240" w:lineRule="auto"/>
      <w:jc w:val="both"/>
    </w:pPr>
    <w:rPr>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Siatka6">
    <w:name w:val="Table Grid 6"/>
    <w:basedOn w:val="Standardowy"/>
    <w:uiPriority w:val="99"/>
    <w:semiHidden/>
    <w:rsid w:val="00DC4033"/>
    <w:pPr>
      <w:spacing w:after="0" w:line="240" w:lineRule="auto"/>
      <w:jc w:val="both"/>
    </w:pPr>
    <w:rPr>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Siatka7">
    <w:name w:val="Table Grid 7"/>
    <w:basedOn w:val="Standardowy"/>
    <w:uiPriority w:val="99"/>
    <w:semiHidden/>
    <w:rsid w:val="00DC4033"/>
    <w:pPr>
      <w:spacing w:after="0" w:line="240" w:lineRule="auto"/>
      <w:jc w:val="both"/>
    </w:pPr>
    <w:rPr>
      <w:b/>
      <w:bCs/>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Siatka8">
    <w:name w:val="Table Grid 8"/>
    <w:basedOn w:val="Standardowy"/>
    <w:uiPriority w:val="99"/>
    <w:semiHidden/>
    <w:rsid w:val="00DC4033"/>
    <w:pPr>
      <w:spacing w:after="0" w:line="240" w:lineRule="auto"/>
      <w:jc w:val="both"/>
    </w:pPr>
    <w:rPr>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a-Lista1">
    <w:name w:val="Table List 1"/>
    <w:basedOn w:val="Standardowy"/>
    <w:uiPriority w:val="99"/>
    <w:semiHidden/>
    <w:rsid w:val="00DC4033"/>
    <w:pPr>
      <w:spacing w:after="0" w:line="240" w:lineRule="auto"/>
      <w:jc w:val="both"/>
    </w:pPr>
    <w:rPr>
      <w:sz w:val="20"/>
      <w:szCs w:val="20"/>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Lista2">
    <w:name w:val="Table List 2"/>
    <w:basedOn w:val="Standardowy"/>
    <w:uiPriority w:val="99"/>
    <w:semiHidden/>
    <w:rsid w:val="00DC4033"/>
    <w:pPr>
      <w:spacing w:after="0" w:line="240" w:lineRule="auto"/>
      <w:jc w:val="both"/>
    </w:pPr>
    <w:rPr>
      <w:sz w:val="20"/>
      <w:szCs w:val="20"/>
    </w:rPr>
    <w:tblPr>
      <w:tblStyleRowBandSize w:val="2"/>
      <w:tblInd w:w="0" w:type="nil"/>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Lista3">
    <w:name w:val="Table List 3"/>
    <w:basedOn w:val="Standardowy"/>
    <w:uiPriority w:val="99"/>
    <w:semiHidden/>
    <w:rsid w:val="00DC4033"/>
    <w:pPr>
      <w:spacing w:after="0" w:line="240" w:lineRule="auto"/>
      <w:jc w:val="both"/>
    </w:pPr>
    <w:rPr>
      <w:sz w:val="20"/>
      <w:szCs w:val="20"/>
    </w:rPr>
    <w:tblPr>
      <w:tblInd w:w="0" w:type="nil"/>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rsid w:val="00DC4033"/>
    <w:pPr>
      <w:spacing w:after="0" w:line="240" w:lineRule="auto"/>
      <w:jc w:val="both"/>
    </w:pPr>
    <w:rPr>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rsid w:val="00DC4033"/>
    <w:pPr>
      <w:spacing w:after="0" w:line="240" w:lineRule="auto"/>
      <w:jc w:val="both"/>
    </w:pPr>
    <w:rPr>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a-Lista6">
    <w:name w:val="Table List 6"/>
    <w:basedOn w:val="Standardowy"/>
    <w:uiPriority w:val="99"/>
    <w:semiHidden/>
    <w:rsid w:val="00DC4033"/>
    <w:pPr>
      <w:spacing w:after="0" w:line="240" w:lineRule="auto"/>
      <w:jc w:val="both"/>
    </w:pPr>
    <w:rPr>
      <w:sz w:val="20"/>
      <w:szCs w:val="20"/>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rsid w:val="00DC4033"/>
    <w:pPr>
      <w:spacing w:after="0" w:line="240" w:lineRule="auto"/>
      <w:jc w:val="both"/>
    </w:pPr>
    <w:rPr>
      <w:sz w:val="20"/>
      <w:szCs w:val="20"/>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rsid w:val="00DC4033"/>
    <w:pPr>
      <w:spacing w:after="0" w:line="240" w:lineRule="auto"/>
      <w:jc w:val="both"/>
    </w:pPr>
    <w:rPr>
      <w:sz w:val="20"/>
      <w:szCs w:val="20"/>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uiPriority w:val="99"/>
    <w:semiHidden/>
    <w:rsid w:val="00DC4033"/>
    <w:pPr>
      <w:ind w:left="240" w:hanging="240"/>
    </w:pPr>
  </w:style>
  <w:style w:type="paragraph" w:styleId="Spisilustracji">
    <w:name w:val="table of figures"/>
    <w:basedOn w:val="Normalny"/>
    <w:next w:val="Normalny"/>
    <w:uiPriority w:val="99"/>
    <w:semiHidden/>
    <w:rsid w:val="00DC4033"/>
  </w:style>
  <w:style w:type="table" w:styleId="Tabela-Profesjonalny">
    <w:name w:val="Table Professional"/>
    <w:basedOn w:val="Standardowy"/>
    <w:uiPriority w:val="99"/>
    <w:semiHidden/>
    <w:rsid w:val="00DC4033"/>
    <w:pPr>
      <w:spacing w:after="0" w:line="240" w:lineRule="auto"/>
      <w:jc w:val="both"/>
    </w:pPr>
    <w:rPr>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rsid w:val="00DC4033"/>
    <w:pPr>
      <w:spacing w:after="0" w:line="240" w:lineRule="auto"/>
      <w:jc w:val="both"/>
    </w:pPr>
    <w:rPr>
      <w:sz w:val="20"/>
      <w:szCs w:val="20"/>
    </w:rPr>
    <w:tblPr>
      <w:tblInd w:w="0" w:type="nil"/>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rsid w:val="00DC4033"/>
    <w:pPr>
      <w:spacing w:after="0" w:line="240" w:lineRule="auto"/>
      <w:jc w:val="both"/>
    </w:pPr>
    <w:rPr>
      <w:sz w:val="20"/>
      <w:szCs w:val="20"/>
    </w:rPr>
    <w:tblPr>
      <w:tblInd w:w="0" w:type="nil"/>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rsid w:val="00DC4033"/>
    <w:pPr>
      <w:spacing w:after="0" w:line="240" w:lineRule="auto"/>
      <w:jc w:val="both"/>
    </w:pPr>
    <w:rPr>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rsid w:val="00DC4033"/>
    <w:pPr>
      <w:spacing w:after="0" w:line="240" w:lineRule="auto"/>
      <w:jc w:val="both"/>
    </w:pPr>
    <w:rPr>
      <w:sz w:val="20"/>
      <w:szCs w:val="20"/>
    </w:rPr>
    <w:tblPr>
      <w:tblStyleRowBandSize w:val="1"/>
      <w:tblInd w:w="0" w:type="nil"/>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Delikatny2">
    <w:name w:val="Table Subtle 2"/>
    <w:basedOn w:val="Standardowy"/>
    <w:uiPriority w:val="99"/>
    <w:semiHidden/>
    <w:rsid w:val="00DC4033"/>
    <w:pPr>
      <w:spacing w:after="0" w:line="240" w:lineRule="auto"/>
      <w:jc w:val="both"/>
    </w:pPr>
    <w:rPr>
      <w:sz w:val="20"/>
      <w:szCs w:val="20"/>
    </w:rPr>
    <w:tblPr>
      <w:tblInd w:w="0" w:type="nil"/>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Motyw">
    <w:name w:val="Table Theme"/>
    <w:basedOn w:val="Standardowy"/>
    <w:uiPriority w:val="99"/>
    <w:semiHidden/>
    <w:rsid w:val="00DC4033"/>
    <w:pPr>
      <w:spacing w:after="0" w:line="240" w:lineRule="auto"/>
      <w:jc w:val="both"/>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rsid w:val="00DC4033"/>
    <w:pPr>
      <w:spacing w:after="0" w:line="240" w:lineRule="auto"/>
      <w:jc w:val="both"/>
    </w:pPr>
    <w:rPr>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rsid w:val="00DC4033"/>
    <w:pPr>
      <w:spacing w:after="0" w:line="240" w:lineRule="auto"/>
      <w:jc w:val="both"/>
    </w:pPr>
    <w:rPr>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rsid w:val="00DC4033"/>
    <w:pPr>
      <w:spacing w:after="0" w:line="240" w:lineRule="auto"/>
      <w:jc w:val="both"/>
    </w:pPr>
    <w:rPr>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pistreci6">
    <w:name w:val="toc 6"/>
    <w:basedOn w:val="Normalny"/>
    <w:next w:val="Normalny"/>
    <w:autoRedefine/>
    <w:uiPriority w:val="99"/>
    <w:semiHidden/>
    <w:rsid w:val="0045649E"/>
    <w:pPr>
      <w:tabs>
        <w:tab w:val="right" w:leader="dot" w:pos="7371"/>
      </w:tabs>
      <w:spacing w:after="60" w:line="240" w:lineRule="exact"/>
      <w:ind w:left="2041" w:right="567" w:hanging="340"/>
    </w:pPr>
    <w:rPr>
      <w:sz w:val="20"/>
      <w:szCs w:val="20"/>
    </w:rPr>
  </w:style>
  <w:style w:type="paragraph" w:styleId="Spistreci7">
    <w:name w:val="toc 7"/>
    <w:basedOn w:val="Normalny"/>
    <w:next w:val="Normalny"/>
    <w:autoRedefine/>
    <w:uiPriority w:val="99"/>
    <w:semiHidden/>
    <w:rsid w:val="0045649E"/>
    <w:pPr>
      <w:tabs>
        <w:tab w:val="right" w:leader="dot" w:pos="7371"/>
      </w:tabs>
      <w:spacing w:after="60" w:line="240" w:lineRule="exact"/>
      <w:ind w:left="2381" w:right="567" w:hanging="340"/>
    </w:pPr>
    <w:rPr>
      <w:sz w:val="20"/>
      <w:szCs w:val="20"/>
    </w:rPr>
  </w:style>
  <w:style w:type="paragraph" w:styleId="Spistreci8">
    <w:name w:val="toc 8"/>
    <w:basedOn w:val="Normalny"/>
    <w:next w:val="Normalny"/>
    <w:autoRedefine/>
    <w:uiPriority w:val="99"/>
    <w:semiHidden/>
    <w:rsid w:val="00DC4033"/>
    <w:pPr>
      <w:spacing w:after="100"/>
      <w:ind w:left="1680"/>
    </w:pPr>
  </w:style>
  <w:style w:type="paragraph" w:styleId="Spistreci9">
    <w:name w:val="toc 9"/>
    <w:basedOn w:val="Normalny"/>
    <w:next w:val="Normalny"/>
    <w:autoRedefine/>
    <w:uiPriority w:val="99"/>
    <w:semiHidden/>
    <w:rsid w:val="00DC4033"/>
    <w:pPr>
      <w:spacing w:after="100"/>
      <w:ind w:left="1920"/>
    </w:pPr>
  </w:style>
  <w:style w:type="paragraph" w:customStyle="1" w:styleId="OpiH1">
    <w:name w:val="Opi_H_1"/>
    <w:basedOn w:val="ECHRHeading2"/>
    <w:uiPriority w:val="99"/>
    <w:rsid w:val="000F10FB"/>
    <w:pPr>
      <w:ind w:left="635" w:hanging="357"/>
      <w:outlineLvl w:val="2"/>
    </w:pPr>
  </w:style>
  <w:style w:type="paragraph" w:customStyle="1" w:styleId="OpiHa0">
    <w:name w:val="Opi_H_a"/>
    <w:basedOn w:val="ECHRHeading3"/>
    <w:uiPriority w:val="99"/>
    <w:rsid w:val="000F10FB"/>
    <w:pPr>
      <w:ind w:left="833" w:hanging="357"/>
      <w:outlineLvl w:val="3"/>
    </w:pPr>
    <w:rPr>
      <w:b/>
      <w:bCs/>
      <w:i w:val="0"/>
      <w:iCs w:val="0"/>
      <w:sz w:val="20"/>
      <w:szCs w:val="20"/>
    </w:rPr>
  </w:style>
  <w:style w:type="paragraph" w:customStyle="1" w:styleId="ECHRFooter">
    <w:name w:val="ECHR_Footer"/>
    <w:aliases w:val="Footer_ECHR"/>
    <w:basedOn w:val="Stopka"/>
    <w:uiPriority w:val="99"/>
    <w:semiHidden/>
    <w:rsid w:val="0045649E"/>
    <w:pPr>
      <w:jc w:val="left"/>
    </w:pPr>
    <w:rPr>
      <w:sz w:val="8"/>
      <w:szCs w:val="8"/>
    </w:rPr>
  </w:style>
  <w:style w:type="paragraph" w:customStyle="1" w:styleId="ECHRFooterLine">
    <w:name w:val="ECHR_Footer_Line"/>
    <w:aliases w:val="Footer_Line"/>
    <w:basedOn w:val="Normalny"/>
    <w:next w:val="ECHRFooter"/>
    <w:uiPriority w:val="99"/>
    <w:semiHidden/>
    <w:rsid w:val="0045649E"/>
    <w:pPr>
      <w:pBdr>
        <w:top w:val="single" w:sz="6" w:space="1" w:color="5F5F5F"/>
      </w:pBdr>
      <w:tabs>
        <w:tab w:val="center" w:pos="4536"/>
        <w:tab w:val="right" w:pos="9696"/>
      </w:tabs>
      <w:ind w:left="-680" w:right="-680"/>
      <w:jc w:val="left"/>
    </w:pPr>
    <w:rPr>
      <w:color w:val="5F5F5F"/>
    </w:rPr>
  </w:style>
  <w:style w:type="paragraph" w:customStyle="1" w:styleId="ECHRTitleCentre2">
    <w:name w:val="ECHR_Title_Centre_2"/>
    <w:aliases w:val="Dec_H_Case"/>
    <w:basedOn w:val="Normalny"/>
    <w:next w:val="ECHRPara"/>
    <w:uiPriority w:val="99"/>
    <w:rsid w:val="000F10FB"/>
    <w:pPr>
      <w:spacing w:after="240"/>
      <w:jc w:val="center"/>
      <w:outlineLvl w:val="0"/>
    </w:pPr>
  </w:style>
  <w:style w:type="paragraph" w:customStyle="1" w:styleId="OpiHi">
    <w:name w:val="Opi_H_i"/>
    <w:basedOn w:val="ECHRHeading4"/>
    <w:uiPriority w:val="99"/>
    <w:rsid w:val="000F10FB"/>
    <w:pPr>
      <w:ind w:left="1037" w:hanging="357"/>
      <w:outlineLvl w:val="4"/>
    </w:pPr>
    <w:rPr>
      <w:b w:val="0"/>
      <w:bCs w:val="0"/>
      <w:i/>
      <w:iCs/>
    </w:rPr>
  </w:style>
  <w:style w:type="paragraph" w:customStyle="1" w:styleId="DummyStyle">
    <w:name w:val="Dummy_Style"/>
    <w:basedOn w:val="Normalny"/>
    <w:uiPriority w:val="99"/>
    <w:semiHidden/>
    <w:rsid w:val="000F10FB"/>
    <w:rPr>
      <w:color w:val="00B050"/>
    </w:rPr>
  </w:style>
  <w:style w:type="paragraph" w:customStyle="1" w:styleId="JuHeaderLandscape">
    <w:name w:val="Ju_Header_Landscape"/>
    <w:basedOn w:val="ECHRHeader"/>
    <w:uiPriority w:val="99"/>
    <w:rsid w:val="000F10FB"/>
    <w:pPr>
      <w:tabs>
        <w:tab w:val="clear" w:pos="3686"/>
        <w:tab w:val="clear" w:pos="7371"/>
        <w:tab w:val="center" w:pos="6146"/>
        <w:tab w:val="right" w:pos="12293"/>
      </w:tabs>
    </w:pPr>
  </w:style>
  <w:style w:type="character" w:customStyle="1" w:styleId="JuNames0">
    <w:name w:val="Ju_Names"/>
    <w:uiPriority w:val="99"/>
    <w:rsid w:val="00AE484E"/>
    <w:rPr>
      <w:smallCaps/>
    </w:rPr>
  </w:style>
  <w:style w:type="character" w:customStyle="1" w:styleId="ECHRParaChar">
    <w:name w:val="ECHR_Para Char"/>
    <w:aliases w:val="Ju_Para Char"/>
    <w:link w:val="ECHRPara"/>
    <w:uiPriority w:val="99"/>
    <w:locked/>
    <w:rsid w:val="00AE484E"/>
    <w:rPr>
      <w:rFonts w:eastAsia="MS Mincho"/>
      <w:sz w:val="24"/>
    </w:rPr>
  </w:style>
  <w:style w:type="character" w:customStyle="1" w:styleId="JuHAChar">
    <w:name w:val="Ju_H_A Char"/>
    <w:link w:val="ECHRHeading2"/>
    <w:uiPriority w:val="99"/>
    <w:locked/>
    <w:rsid w:val="00AE484E"/>
    <w:rPr>
      <w:rFonts w:ascii="Times New Roman" w:eastAsia="MS Gothic" w:hAnsi="Times New Roman"/>
      <w:b/>
      <w:sz w:val="26"/>
    </w:rPr>
  </w:style>
  <w:style w:type="paragraph" w:styleId="Poprawka">
    <w:name w:val="Revision"/>
    <w:hidden/>
    <w:uiPriority w:val="99"/>
    <w:semiHidden/>
    <w:rsid w:val="0087128D"/>
    <w:pPr>
      <w:spacing w:after="0" w:line="240" w:lineRule="auto"/>
    </w:pPr>
    <w:rPr>
      <w:sz w:val="24"/>
      <w:szCs w:val="24"/>
      <w:lang w:eastAsia="fr-FR"/>
    </w:rPr>
  </w:style>
  <w:style w:type="character" w:customStyle="1" w:styleId="s4f807e54">
    <w:name w:val="s4f807e54"/>
    <w:uiPriority w:val="99"/>
    <w:rsid w:val="00FB770D"/>
  </w:style>
  <w:style w:type="paragraph" w:customStyle="1" w:styleId="s50c0b1c7">
    <w:name w:val="s50c0b1c7"/>
    <w:basedOn w:val="Normalny"/>
    <w:uiPriority w:val="99"/>
    <w:rsid w:val="001E7FA6"/>
    <w:pPr>
      <w:spacing w:before="100" w:beforeAutospacing="1" w:after="100" w:afterAutospacing="1"/>
      <w:jc w:val="left"/>
    </w:pPr>
    <w:rPr>
      <w:rFonts w:eastAsia="Times New Roman"/>
      <w:lang w:eastAsia="pl-PL"/>
    </w:rPr>
  </w:style>
  <w:style w:type="character" w:customStyle="1" w:styleId="s3aeeab2">
    <w:name w:val="s3aeeab2"/>
    <w:uiPriority w:val="99"/>
    <w:rsid w:val="001E7FA6"/>
    <w:rPr>
      <w:lang w:val="pl-PL" w:eastAsia="pl-PL"/>
    </w:rPr>
  </w:style>
  <w:style w:type="character" w:customStyle="1" w:styleId="sfbbfee58">
    <w:name w:val="sfbbfee58"/>
    <w:uiPriority w:val="99"/>
    <w:rsid w:val="001E7FA6"/>
    <w:rPr>
      <w:lang w:val="pl-PL" w:eastAsia="pl-PL"/>
    </w:rPr>
  </w:style>
  <w:style w:type="character" w:customStyle="1" w:styleId="tlid-translation">
    <w:name w:val="tlid-translation"/>
    <w:uiPriority w:val="99"/>
    <w:rsid w:val="0020201A"/>
  </w:style>
  <w:style w:type="numbering" w:customStyle="1" w:styleId="ArticleSection">
    <w:name w:val="Article / Section"/>
    <w:pPr>
      <w:numPr>
        <w:numId w:val="43"/>
      </w:numPr>
    </w:pPr>
  </w:style>
  <w:style w:type="numbering" w:styleId="1ai">
    <w:name w:val="Outline List 1"/>
    <w:basedOn w:val="Bezlisty"/>
    <w:uiPriority w:val="99"/>
    <w:semiHidden/>
    <w:unhideWhenUsed/>
    <w:pPr>
      <w:numPr>
        <w:numId w:val="42"/>
      </w:numPr>
    </w:pPr>
  </w:style>
  <w:style w:type="numbering" w:styleId="111111">
    <w:name w:val="Outline List 2"/>
    <w:basedOn w:val="Bezlisty"/>
    <w:uiPriority w:val="99"/>
    <w:semiHidden/>
    <w:unhideWhenUsed/>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45649E"/>
    <w:pPr>
      <w:spacing w:after="0" w:line="240" w:lineRule="auto"/>
      <w:jc w:val="both"/>
    </w:pPr>
    <w:rPr>
      <w:rFonts w:eastAsia="MS Mincho"/>
      <w:sz w:val="24"/>
      <w:szCs w:val="24"/>
      <w:lang w:eastAsia="en-US"/>
    </w:rPr>
  </w:style>
  <w:style w:type="paragraph" w:styleId="Nagwek1">
    <w:name w:val="heading 1"/>
    <w:basedOn w:val="Normalny"/>
    <w:next w:val="Normalny"/>
    <w:link w:val="Nagwek1Znak"/>
    <w:uiPriority w:val="99"/>
    <w:qFormat/>
    <w:rsid w:val="0045649E"/>
    <w:pPr>
      <w:spacing w:before="480"/>
      <w:outlineLvl w:val="0"/>
    </w:pPr>
    <w:rPr>
      <w:rFonts w:eastAsia="MS Gothic"/>
      <w:b/>
      <w:bCs/>
      <w:color w:val="333333"/>
      <w:sz w:val="28"/>
      <w:szCs w:val="28"/>
      <w:lang w:eastAsia="pl-PL"/>
    </w:rPr>
  </w:style>
  <w:style w:type="paragraph" w:styleId="Nagwek2">
    <w:name w:val="heading 2"/>
    <w:basedOn w:val="Normalny"/>
    <w:next w:val="Normalny"/>
    <w:link w:val="Nagwek2Znak"/>
    <w:uiPriority w:val="99"/>
    <w:qFormat/>
    <w:rsid w:val="0045649E"/>
    <w:pPr>
      <w:spacing w:before="200"/>
      <w:outlineLvl w:val="1"/>
    </w:pPr>
    <w:rPr>
      <w:rFonts w:eastAsia="MS Gothic"/>
      <w:b/>
      <w:bCs/>
      <w:color w:val="4D4D4D"/>
      <w:sz w:val="26"/>
      <w:szCs w:val="26"/>
      <w:lang w:eastAsia="pl-PL"/>
    </w:rPr>
  </w:style>
  <w:style w:type="paragraph" w:styleId="Nagwek3">
    <w:name w:val="heading 3"/>
    <w:basedOn w:val="Normalny"/>
    <w:next w:val="Normalny"/>
    <w:link w:val="Nagwek3Znak"/>
    <w:uiPriority w:val="99"/>
    <w:qFormat/>
    <w:rsid w:val="0045649E"/>
    <w:pPr>
      <w:spacing w:before="200" w:line="271" w:lineRule="auto"/>
      <w:outlineLvl w:val="2"/>
    </w:pPr>
    <w:rPr>
      <w:rFonts w:eastAsia="MS Gothic"/>
      <w:b/>
      <w:bCs/>
      <w:color w:val="5F5F5F"/>
      <w:lang w:eastAsia="pl-PL"/>
    </w:rPr>
  </w:style>
  <w:style w:type="paragraph" w:styleId="Nagwek4">
    <w:name w:val="heading 4"/>
    <w:basedOn w:val="Normalny"/>
    <w:next w:val="Normalny"/>
    <w:link w:val="Nagwek4Znak"/>
    <w:uiPriority w:val="99"/>
    <w:qFormat/>
    <w:rsid w:val="0045649E"/>
    <w:pPr>
      <w:spacing w:before="200"/>
      <w:outlineLvl w:val="3"/>
    </w:pPr>
    <w:rPr>
      <w:rFonts w:eastAsia="MS Gothic"/>
      <w:b/>
      <w:bCs/>
      <w:i/>
      <w:iCs/>
      <w:color w:val="777777"/>
      <w:lang w:eastAsia="pl-PL"/>
    </w:rPr>
  </w:style>
  <w:style w:type="paragraph" w:styleId="Nagwek5">
    <w:name w:val="heading 5"/>
    <w:basedOn w:val="Normalny"/>
    <w:next w:val="Normalny"/>
    <w:link w:val="Nagwek5Znak"/>
    <w:uiPriority w:val="99"/>
    <w:qFormat/>
    <w:rsid w:val="000F10FB"/>
    <w:pPr>
      <w:spacing w:before="200"/>
      <w:outlineLvl w:val="4"/>
    </w:pPr>
    <w:rPr>
      <w:rFonts w:eastAsia="MS Gothic"/>
      <w:b/>
      <w:bCs/>
      <w:color w:val="808080"/>
      <w:sz w:val="20"/>
      <w:szCs w:val="20"/>
      <w:lang w:eastAsia="pl-PL"/>
    </w:rPr>
  </w:style>
  <w:style w:type="paragraph" w:styleId="Nagwek6">
    <w:name w:val="heading 6"/>
    <w:basedOn w:val="Normalny"/>
    <w:next w:val="Normalny"/>
    <w:link w:val="Nagwek6Znak"/>
    <w:uiPriority w:val="99"/>
    <w:qFormat/>
    <w:rsid w:val="0045649E"/>
    <w:pPr>
      <w:spacing w:line="271" w:lineRule="auto"/>
      <w:outlineLvl w:val="5"/>
    </w:pPr>
    <w:rPr>
      <w:rFonts w:eastAsia="MS Gothic"/>
      <w:b/>
      <w:bCs/>
      <w:i/>
      <w:iCs/>
      <w:color w:val="7F7F7F"/>
      <w:lang w:eastAsia="pl-PL"/>
    </w:rPr>
  </w:style>
  <w:style w:type="paragraph" w:styleId="Nagwek7">
    <w:name w:val="heading 7"/>
    <w:basedOn w:val="Normalny"/>
    <w:next w:val="Normalny"/>
    <w:link w:val="Nagwek7Znak"/>
    <w:uiPriority w:val="99"/>
    <w:qFormat/>
    <w:rsid w:val="000F10FB"/>
    <w:pPr>
      <w:outlineLvl w:val="6"/>
    </w:pPr>
    <w:rPr>
      <w:rFonts w:eastAsia="MS Gothic"/>
      <w:i/>
      <w:iCs/>
      <w:sz w:val="20"/>
      <w:szCs w:val="20"/>
      <w:lang w:eastAsia="pl-PL"/>
    </w:rPr>
  </w:style>
  <w:style w:type="paragraph" w:styleId="Nagwek8">
    <w:name w:val="heading 8"/>
    <w:basedOn w:val="Normalny"/>
    <w:next w:val="Normalny"/>
    <w:link w:val="Nagwek8Znak"/>
    <w:uiPriority w:val="99"/>
    <w:qFormat/>
    <w:rsid w:val="000F10FB"/>
    <w:pPr>
      <w:outlineLvl w:val="7"/>
    </w:pPr>
    <w:rPr>
      <w:rFonts w:eastAsia="MS Gothic"/>
      <w:sz w:val="20"/>
      <w:szCs w:val="20"/>
      <w:lang w:eastAsia="pl-PL"/>
    </w:rPr>
  </w:style>
  <w:style w:type="paragraph" w:styleId="Nagwek9">
    <w:name w:val="heading 9"/>
    <w:basedOn w:val="Normalny"/>
    <w:next w:val="Normalny"/>
    <w:link w:val="Nagwek9Znak"/>
    <w:uiPriority w:val="99"/>
    <w:qFormat/>
    <w:rsid w:val="000F10FB"/>
    <w:pPr>
      <w:outlineLvl w:val="8"/>
    </w:pPr>
    <w:rPr>
      <w:rFonts w:eastAsia="MS Gothic"/>
      <w:i/>
      <w:iCs/>
      <w:spacing w:val="5"/>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semiHidden/>
    <w:locked/>
    <w:rsid w:val="0045649E"/>
    <w:rPr>
      <w:rFonts w:ascii="Times New Roman" w:eastAsia="MS Gothic" w:hAnsi="Times New Roman"/>
      <w:b/>
      <w:color w:val="333333"/>
      <w:sz w:val="28"/>
    </w:rPr>
  </w:style>
  <w:style w:type="character" w:customStyle="1" w:styleId="Nagwek2Znak">
    <w:name w:val="Nagłówek 2 Znak"/>
    <w:basedOn w:val="Domylnaczcionkaakapitu"/>
    <w:link w:val="Nagwek2"/>
    <w:uiPriority w:val="99"/>
    <w:semiHidden/>
    <w:locked/>
    <w:rsid w:val="0045649E"/>
    <w:rPr>
      <w:rFonts w:ascii="Times New Roman" w:eastAsia="MS Gothic" w:hAnsi="Times New Roman"/>
      <w:b/>
      <w:color w:val="4D4D4D"/>
      <w:sz w:val="26"/>
    </w:rPr>
  </w:style>
  <w:style w:type="character" w:customStyle="1" w:styleId="Nagwek3Znak">
    <w:name w:val="Nagłówek 3 Znak"/>
    <w:basedOn w:val="Domylnaczcionkaakapitu"/>
    <w:link w:val="Nagwek3"/>
    <w:uiPriority w:val="99"/>
    <w:semiHidden/>
    <w:locked/>
    <w:rsid w:val="0045649E"/>
    <w:rPr>
      <w:rFonts w:ascii="Times New Roman" w:eastAsia="MS Gothic" w:hAnsi="Times New Roman"/>
      <w:b/>
      <w:color w:val="5F5F5F"/>
      <w:sz w:val="24"/>
    </w:rPr>
  </w:style>
  <w:style w:type="character" w:customStyle="1" w:styleId="Nagwek4Znak">
    <w:name w:val="Nagłówek 4 Znak"/>
    <w:basedOn w:val="Domylnaczcionkaakapitu"/>
    <w:link w:val="Nagwek4"/>
    <w:uiPriority w:val="99"/>
    <w:semiHidden/>
    <w:locked/>
    <w:rsid w:val="0045649E"/>
    <w:rPr>
      <w:rFonts w:ascii="Times New Roman" w:eastAsia="MS Gothic" w:hAnsi="Times New Roman"/>
      <w:b/>
      <w:i/>
      <w:color w:val="777777"/>
      <w:sz w:val="24"/>
    </w:rPr>
  </w:style>
  <w:style w:type="character" w:customStyle="1" w:styleId="Nagwek5Znak">
    <w:name w:val="Nagłówek 5 Znak"/>
    <w:basedOn w:val="Domylnaczcionkaakapitu"/>
    <w:link w:val="Nagwek5"/>
    <w:uiPriority w:val="99"/>
    <w:semiHidden/>
    <w:locked/>
    <w:rsid w:val="000F10FB"/>
    <w:rPr>
      <w:rFonts w:ascii="Times New Roman" w:eastAsia="MS Gothic" w:hAnsi="Times New Roman"/>
      <w:b/>
      <w:color w:val="808080"/>
    </w:rPr>
  </w:style>
  <w:style w:type="character" w:customStyle="1" w:styleId="Nagwek6Znak">
    <w:name w:val="Nagłówek 6 Znak"/>
    <w:basedOn w:val="Domylnaczcionkaakapitu"/>
    <w:link w:val="Nagwek6"/>
    <w:uiPriority w:val="99"/>
    <w:semiHidden/>
    <w:locked/>
    <w:rsid w:val="0045649E"/>
    <w:rPr>
      <w:rFonts w:ascii="Times New Roman" w:eastAsia="MS Gothic" w:hAnsi="Times New Roman"/>
      <w:b/>
      <w:i/>
      <w:color w:val="7F7F7F"/>
      <w:sz w:val="24"/>
    </w:rPr>
  </w:style>
  <w:style w:type="character" w:customStyle="1" w:styleId="Nagwek7Znak">
    <w:name w:val="Nagłówek 7 Znak"/>
    <w:basedOn w:val="Domylnaczcionkaakapitu"/>
    <w:link w:val="Nagwek7"/>
    <w:uiPriority w:val="99"/>
    <w:semiHidden/>
    <w:locked/>
    <w:rsid w:val="000F10FB"/>
    <w:rPr>
      <w:rFonts w:ascii="Times New Roman" w:eastAsia="MS Gothic" w:hAnsi="Times New Roman"/>
      <w:i/>
    </w:rPr>
  </w:style>
  <w:style w:type="character" w:customStyle="1" w:styleId="Nagwek8Znak">
    <w:name w:val="Nagłówek 8 Znak"/>
    <w:basedOn w:val="Domylnaczcionkaakapitu"/>
    <w:link w:val="Nagwek8"/>
    <w:uiPriority w:val="99"/>
    <w:semiHidden/>
    <w:locked/>
    <w:rsid w:val="000F10FB"/>
    <w:rPr>
      <w:rFonts w:ascii="Times New Roman" w:eastAsia="MS Gothic" w:hAnsi="Times New Roman"/>
      <w:sz w:val="20"/>
    </w:rPr>
  </w:style>
  <w:style w:type="character" w:customStyle="1" w:styleId="Nagwek9Znak">
    <w:name w:val="Nagłówek 9 Znak"/>
    <w:basedOn w:val="Domylnaczcionkaakapitu"/>
    <w:link w:val="Nagwek9"/>
    <w:uiPriority w:val="99"/>
    <w:semiHidden/>
    <w:locked/>
    <w:rsid w:val="000F10FB"/>
    <w:rPr>
      <w:rFonts w:ascii="Times New Roman" w:eastAsia="MS Gothic" w:hAnsi="Times New Roman"/>
      <w:i/>
      <w:spacing w:val="5"/>
      <w:sz w:val="20"/>
    </w:rPr>
  </w:style>
  <w:style w:type="paragraph" w:styleId="Tekstdymka">
    <w:name w:val="Balloon Text"/>
    <w:basedOn w:val="Normalny"/>
    <w:link w:val="TekstdymkaZnak"/>
    <w:uiPriority w:val="99"/>
    <w:semiHidden/>
    <w:rsid w:val="0045649E"/>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locked/>
    <w:rsid w:val="0045649E"/>
    <w:rPr>
      <w:rFonts w:ascii="Tahoma" w:eastAsia="MS Mincho" w:hAnsi="Tahoma"/>
      <w:sz w:val="16"/>
    </w:rPr>
  </w:style>
  <w:style w:type="character" w:styleId="Tytuksiki">
    <w:name w:val="Book Title"/>
    <w:basedOn w:val="Domylnaczcionkaakapitu"/>
    <w:uiPriority w:val="99"/>
    <w:qFormat/>
    <w:rsid w:val="000F10FB"/>
    <w:rPr>
      <w:rFonts w:cs="Times New Roman"/>
      <w:i/>
      <w:iCs/>
      <w:smallCaps/>
      <w:spacing w:val="5"/>
    </w:rPr>
  </w:style>
  <w:style w:type="paragraph" w:customStyle="1" w:styleId="ECHRHeader">
    <w:name w:val="ECHR_Header"/>
    <w:aliases w:val="Ju_Header"/>
    <w:basedOn w:val="Nagwek"/>
    <w:uiPriority w:val="99"/>
    <w:rsid w:val="000F10FB"/>
    <w:pPr>
      <w:tabs>
        <w:tab w:val="clear" w:pos="4536"/>
        <w:tab w:val="clear" w:pos="9072"/>
        <w:tab w:val="center" w:pos="3686"/>
        <w:tab w:val="right" w:pos="7371"/>
      </w:tabs>
      <w:jc w:val="left"/>
    </w:pPr>
    <w:rPr>
      <w:sz w:val="18"/>
      <w:szCs w:val="18"/>
    </w:rPr>
  </w:style>
  <w:style w:type="paragraph" w:customStyle="1" w:styleId="JuAppQuestion">
    <w:name w:val="Ju_App_Question"/>
    <w:basedOn w:val="Normalny"/>
    <w:uiPriority w:val="99"/>
    <w:semiHidden/>
    <w:rsid w:val="000F10FB"/>
    <w:pPr>
      <w:numPr>
        <w:numId w:val="15"/>
      </w:numPr>
      <w:tabs>
        <w:tab w:val="num" w:pos="720"/>
      </w:tabs>
      <w:ind w:left="720"/>
      <w:jc w:val="left"/>
    </w:pPr>
    <w:rPr>
      <w:b/>
      <w:bCs/>
    </w:rPr>
  </w:style>
  <w:style w:type="character" w:styleId="Pogrubienie">
    <w:name w:val="Strong"/>
    <w:basedOn w:val="Domylnaczcionkaakapitu"/>
    <w:uiPriority w:val="99"/>
    <w:qFormat/>
    <w:rsid w:val="000F10FB"/>
    <w:rPr>
      <w:rFonts w:cs="Times New Roman"/>
      <w:b/>
      <w:bCs/>
    </w:rPr>
  </w:style>
  <w:style w:type="paragraph" w:styleId="Bezodstpw">
    <w:name w:val="No Spacing"/>
    <w:basedOn w:val="Normalny"/>
    <w:link w:val="BezodstpwZnak"/>
    <w:uiPriority w:val="99"/>
    <w:qFormat/>
    <w:rsid w:val="000F10FB"/>
    <w:rPr>
      <w:sz w:val="20"/>
      <w:szCs w:val="20"/>
      <w:lang w:eastAsia="pl-PL"/>
    </w:rPr>
  </w:style>
  <w:style w:type="character" w:customStyle="1" w:styleId="BezodstpwZnak">
    <w:name w:val="Bez odstępów Znak"/>
    <w:link w:val="Bezodstpw"/>
    <w:uiPriority w:val="99"/>
    <w:semiHidden/>
    <w:locked/>
    <w:rsid w:val="000F10FB"/>
    <w:rPr>
      <w:rFonts w:eastAsia="MS Mincho"/>
    </w:rPr>
  </w:style>
  <w:style w:type="paragraph" w:customStyle="1" w:styleId="ECHRParaQuote">
    <w:name w:val="ECHR_Para_Quote"/>
    <w:aliases w:val="Ju_Quot,Para_Quote"/>
    <w:basedOn w:val="Normalny"/>
    <w:uiPriority w:val="99"/>
    <w:rsid w:val="000F10FB"/>
    <w:pPr>
      <w:spacing w:before="120" w:after="120"/>
      <w:ind w:left="425" w:firstLine="142"/>
    </w:pPr>
    <w:rPr>
      <w:sz w:val="20"/>
      <w:szCs w:val="20"/>
    </w:rPr>
  </w:style>
  <w:style w:type="paragraph" w:customStyle="1" w:styleId="OpiPara">
    <w:name w:val="Opi_Para"/>
    <w:basedOn w:val="ECHRPara"/>
    <w:uiPriority w:val="99"/>
    <w:rsid w:val="000F10FB"/>
  </w:style>
  <w:style w:type="paragraph" w:customStyle="1" w:styleId="JuParaSub">
    <w:name w:val="Ju_Para_Sub"/>
    <w:basedOn w:val="ECHRPara"/>
    <w:uiPriority w:val="99"/>
    <w:rsid w:val="000F10FB"/>
    <w:pPr>
      <w:ind w:left="284"/>
    </w:pPr>
  </w:style>
  <w:style w:type="paragraph" w:customStyle="1" w:styleId="OpiParaSub">
    <w:name w:val="Opi_Para_Sub"/>
    <w:basedOn w:val="JuParaSub"/>
    <w:uiPriority w:val="99"/>
    <w:rsid w:val="000F10FB"/>
  </w:style>
  <w:style w:type="paragraph" w:customStyle="1" w:styleId="OpiQuot">
    <w:name w:val="Opi_Quot"/>
    <w:basedOn w:val="ECHRParaQuote"/>
    <w:uiPriority w:val="99"/>
    <w:rsid w:val="000F10FB"/>
  </w:style>
  <w:style w:type="paragraph" w:customStyle="1" w:styleId="ECHRTitleCentre3">
    <w:name w:val="ECHR_Title_Centre_3"/>
    <w:aliases w:val="Ju_H_Article"/>
    <w:basedOn w:val="Normalny"/>
    <w:next w:val="ECHRParaQuote"/>
    <w:uiPriority w:val="99"/>
    <w:rsid w:val="000F10FB"/>
    <w:pPr>
      <w:keepNext/>
      <w:keepLines/>
      <w:spacing w:before="240" w:after="120"/>
      <w:jc w:val="center"/>
      <w:outlineLvl w:val="3"/>
    </w:pPr>
    <w:rPr>
      <w:b/>
      <w:bCs/>
      <w:sz w:val="20"/>
      <w:szCs w:val="20"/>
    </w:rPr>
  </w:style>
  <w:style w:type="paragraph" w:customStyle="1" w:styleId="ECHRTitleCentre1">
    <w:name w:val="ECHR_Title_Centre_1"/>
    <w:aliases w:val="Opi_H_Head"/>
    <w:basedOn w:val="Normalny"/>
    <w:next w:val="OpiPara"/>
    <w:uiPriority w:val="99"/>
    <w:rsid w:val="000F10FB"/>
    <w:pPr>
      <w:keepNext/>
      <w:keepLines/>
      <w:spacing w:after="240"/>
      <w:jc w:val="center"/>
      <w:outlineLvl w:val="0"/>
    </w:pPr>
    <w:rPr>
      <w:sz w:val="28"/>
      <w:szCs w:val="28"/>
    </w:rPr>
  </w:style>
  <w:style w:type="paragraph" w:customStyle="1" w:styleId="OpiQuotSub">
    <w:name w:val="Opi_Quot_Sub"/>
    <w:basedOn w:val="JuQuotSub"/>
    <w:uiPriority w:val="99"/>
    <w:rsid w:val="000F10FB"/>
  </w:style>
  <w:style w:type="paragraph" w:customStyle="1" w:styleId="ECHRTitle1">
    <w:name w:val="ECHR_Title_1"/>
    <w:aliases w:val="Ju_H_Head"/>
    <w:basedOn w:val="Normalny"/>
    <w:next w:val="ECHRPara"/>
    <w:uiPriority w:val="99"/>
    <w:rsid w:val="000F10FB"/>
    <w:pPr>
      <w:keepNext/>
      <w:keepLines/>
      <w:spacing w:before="720" w:after="240"/>
      <w:outlineLvl w:val="0"/>
    </w:pPr>
    <w:rPr>
      <w:sz w:val="28"/>
      <w:szCs w:val="28"/>
    </w:rPr>
  </w:style>
  <w:style w:type="paragraph" w:customStyle="1" w:styleId="JuTitle">
    <w:name w:val="Ju_Title"/>
    <w:basedOn w:val="Normalny"/>
    <w:next w:val="ECHRPara"/>
    <w:uiPriority w:val="99"/>
    <w:semiHidden/>
    <w:rsid w:val="000F10FB"/>
    <w:pPr>
      <w:spacing w:before="720" w:after="240"/>
      <w:jc w:val="center"/>
      <w:outlineLvl w:val="0"/>
    </w:pPr>
    <w:rPr>
      <w:b/>
      <w:bCs/>
      <w:caps/>
    </w:rPr>
  </w:style>
  <w:style w:type="paragraph" w:customStyle="1" w:styleId="JuSigned">
    <w:name w:val="Ju_Signed"/>
    <w:basedOn w:val="Normalny"/>
    <w:next w:val="JuParaLast"/>
    <w:uiPriority w:val="99"/>
    <w:rsid w:val="000F10FB"/>
    <w:pPr>
      <w:tabs>
        <w:tab w:val="center" w:pos="851"/>
        <w:tab w:val="center" w:pos="6407"/>
      </w:tabs>
      <w:spacing w:before="720"/>
      <w:jc w:val="left"/>
    </w:pPr>
  </w:style>
  <w:style w:type="paragraph" w:styleId="Tytu">
    <w:name w:val="Title"/>
    <w:basedOn w:val="Normalny"/>
    <w:next w:val="Normalny"/>
    <w:link w:val="TytuZnak"/>
    <w:uiPriority w:val="99"/>
    <w:qFormat/>
    <w:rsid w:val="000F10FB"/>
    <w:pPr>
      <w:pBdr>
        <w:bottom w:val="single" w:sz="4" w:space="1" w:color="auto"/>
      </w:pBdr>
    </w:pPr>
    <w:rPr>
      <w:rFonts w:eastAsia="MS Gothic"/>
      <w:spacing w:val="5"/>
      <w:sz w:val="52"/>
      <w:szCs w:val="52"/>
      <w:lang w:eastAsia="pl-PL"/>
    </w:rPr>
  </w:style>
  <w:style w:type="character" w:customStyle="1" w:styleId="TytuZnak">
    <w:name w:val="Tytuł Znak"/>
    <w:basedOn w:val="Domylnaczcionkaakapitu"/>
    <w:link w:val="Tytu"/>
    <w:uiPriority w:val="99"/>
    <w:semiHidden/>
    <w:locked/>
    <w:rsid w:val="000F10FB"/>
    <w:rPr>
      <w:rFonts w:ascii="Times New Roman" w:eastAsia="MS Gothic" w:hAnsi="Times New Roman"/>
      <w:spacing w:val="5"/>
      <w:sz w:val="52"/>
    </w:rPr>
  </w:style>
  <w:style w:type="paragraph" w:customStyle="1" w:styleId="JuQuotSub">
    <w:name w:val="Ju_Quot_Sub"/>
    <w:basedOn w:val="ECHRParaQuote"/>
    <w:uiPriority w:val="99"/>
    <w:rsid w:val="000F10FB"/>
    <w:pPr>
      <w:ind w:left="567"/>
    </w:pPr>
  </w:style>
  <w:style w:type="character" w:customStyle="1" w:styleId="JUNAMES">
    <w:name w:val="JU_NAMES"/>
    <w:uiPriority w:val="99"/>
    <w:rsid w:val="000F10FB"/>
    <w:rPr>
      <w:smallCaps/>
    </w:rPr>
  </w:style>
  <w:style w:type="paragraph" w:customStyle="1" w:styleId="JuInitialled">
    <w:name w:val="Ju_Initialled"/>
    <w:basedOn w:val="Normalny"/>
    <w:uiPriority w:val="99"/>
    <w:rsid w:val="000F10FB"/>
    <w:pPr>
      <w:tabs>
        <w:tab w:val="center" w:pos="6407"/>
      </w:tabs>
      <w:spacing w:before="720"/>
      <w:jc w:val="right"/>
    </w:pPr>
  </w:style>
  <w:style w:type="paragraph" w:customStyle="1" w:styleId="OpiHA">
    <w:name w:val="Opi_H_A"/>
    <w:basedOn w:val="ECHRHeading1"/>
    <w:next w:val="OpiPara"/>
    <w:uiPriority w:val="99"/>
    <w:rsid w:val="000F10FB"/>
    <w:pPr>
      <w:tabs>
        <w:tab w:val="clear" w:pos="357"/>
      </w:tabs>
      <w:outlineLvl w:val="1"/>
    </w:pPr>
    <w:rPr>
      <w:b/>
      <w:bCs/>
    </w:rPr>
  </w:style>
  <w:style w:type="paragraph" w:customStyle="1" w:styleId="JuCourt">
    <w:name w:val="Ju_Court"/>
    <w:basedOn w:val="Normalny"/>
    <w:next w:val="Normalny"/>
    <w:uiPriority w:val="99"/>
    <w:rsid w:val="000F10FB"/>
    <w:pPr>
      <w:tabs>
        <w:tab w:val="left" w:pos="907"/>
        <w:tab w:val="left" w:pos="1701"/>
        <w:tab w:val="right" w:pos="7371"/>
      </w:tabs>
      <w:spacing w:before="240"/>
      <w:ind w:left="397" w:hanging="397"/>
      <w:jc w:val="left"/>
    </w:pPr>
  </w:style>
  <w:style w:type="paragraph" w:customStyle="1" w:styleId="ECHRHeading1">
    <w:name w:val="ECHR_Heading_1"/>
    <w:aliases w:val="Ju_H_I_Roman"/>
    <w:basedOn w:val="Nagwek1"/>
    <w:next w:val="ECHRPara"/>
    <w:uiPriority w:val="99"/>
    <w:rsid w:val="000F10FB"/>
    <w:pPr>
      <w:keepNext/>
      <w:keepLines/>
      <w:tabs>
        <w:tab w:val="left" w:pos="357"/>
      </w:tabs>
      <w:spacing w:before="360" w:after="240"/>
      <w:ind w:left="357" w:hanging="357"/>
    </w:pPr>
    <w:rPr>
      <w:b w:val="0"/>
      <w:bCs w:val="0"/>
      <w:color w:val="auto"/>
      <w:sz w:val="24"/>
      <w:szCs w:val="24"/>
    </w:rPr>
  </w:style>
  <w:style w:type="paragraph" w:customStyle="1" w:styleId="ECHRHeading2">
    <w:name w:val="ECHR_Heading_2"/>
    <w:aliases w:val="Ju_H_A,Head_2"/>
    <w:basedOn w:val="Nagwek2"/>
    <w:next w:val="ECHRPara"/>
    <w:link w:val="JuHAChar"/>
    <w:uiPriority w:val="99"/>
    <w:rsid w:val="000F10FB"/>
    <w:pPr>
      <w:keepNext/>
      <w:keepLines/>
      <w:tabs>
        <w:tab w:val="left" w:pos="584"/>
      </w:tabs>
      <w:spacing w:before="360" w:after="240"/>
      <w:ind w:left="584" w:hanging="352"/>
    </w:pPr>
    <w:rPr>
      <w:color w:val="auto"/>
    </w:rPr>
  </w:style>
  <w:style w:type="paragraph" w:customStyle="1" w:styleId="ECHRHeading3">
    <w:name w:val="ECHR_Heading_3"/>
    <w:aliases w:val="Ju_H_1.,Head_3,Ju_H_1"/>
    <w:basedOn w:val="Nagwek3"/>
    <w:next w:val="ECHRPara"/>
    <w:uiPriority w:val="99"/>
    <w:rsid w:val="000F10FB"/>
    <w:pPr>
      <w:keepNext/>
      <w:keepLines/>
      <w:tabs>
        <w:tab w:val="left" w:pos="731"/>
      </w:tabs>
      <w:spacing w:before="240" w:after="120" w:line="240" w:lineRule="auto"/>
      <w:ind w:left="732" w:hanging="301"/>
    </w:pPr>
    <w:rPr>
      <w:b w:val="0"/>
      <w:bCs w:val="0"/>
      <w:i/>
      <w:iCs/>
      <w:color w:val="auto"/>
    </w:rPr>
  </w:style>
  <w:style w:type="paragraph" w:styleId="Nagwek">
    <w:name w:val="header"/>
    <w:basedOn w:val="Normalny"/>
    <w:link w:val="NagwekZnak"/>
    <w:uiPriority w:val="99"/>
    <w:semiHidden/>
    <w:rsid w:val="0045649E"/>
    <w:pPr>
      <w:tabs>
        <w:tab w:val="center" w:pos="4536"/>
        <w:tab w:val="right" w:pos="9072"/>
      </w:tabs>
    </w:pPr>
    <w:rPr>
      <w:rFonts w:eastAsia="Times New Roman"/>
      <w:lang w:eastAsia="pl-PL"/>
    </w:rPr>
  </w:style>
  <w:style w:type="character" w:customStyle="1" w:styleId="NagwekZnak">
    <w:name w:val="Nagłówek Znak"/>
    <w:basedOn w:val="Domylnaczcionkaakapitu"/>
    <w:link w:val="Nagwek"/>
    <w:uiPriority w:val="99"/>
    <w:locked/>
    <w:rsid w:val="0045649E"/>
    <w:rPr>
      <w:sz w:val="24"/>
    </w:rPr>
  </w:style>
  <w:style w:type="paragraph" w:customStyle="1" w:styleId="ECHRHeading4">
    <w:name w:val="ECHR_Heading_4"/>
    <w:aliases w:val="Ju_H_a"/>
    <w:basedOn w:val="Nagwek4"/>
    <w:next w:val="ECHRPara"/>
    <w:uiPriority w:val="99"/>
    <w:rsid w:val="000F10FB"/>
    <w:pPr>
      <w:keepNext/>
      <w:keepLines/>
      <w:tabs>
        <w:tab w:val="left" w:pos="975"/>
      </w:tabs>
      <w:spacing w:before="240" w:after="120"/>
      <w:ind w:left="975" w:hanging="340"/>
    </w:pPr>
    <w:rPr>
      <w:i w:val="0"/>
      <w:iCs w:val="0"/>
      <w:color w:val="auto"/>
      <w:sz w:val="20"/>
      <w:szCs w:val="20"/>
    </w:rPr>
  </w:style>
  <w:style w:type="paragraph" w:customStyle="1" w:styleId="ECHRHeading5">
    <w:name w:val="ECHR_Heading_5"/>
    <w:aliases w:val="Ju_H_i,Head_5"/>
    <w:basedOn w:val="Nagwek5"/>
    <w:next w:val="ECHRPara"/>
    <w:uiPriority w:val="99"/>
    <w:rsid w:val="000F10FB"/>
    <w:pPr>
      <w:keepNext/>
      <w:keepLines/>
      <w:tabs>
        <w:tab w:val="left" w:pos="1191"/>
      </w:tabs>
      <w:spacing w:before="240" w:after="120"/>
      <w:ind w:left="1190" w:hanging="357"/>
    </w:pPr>
    <w:rPr>
      <w:b w:val="0"/>
      <w:bCs w:val="0"/>
      <w:i/>
      <w:iCs/>
      <w:color w:val="auto"/>
    </w:rPr>
  </w:style>
  <w:style w:type="paragraph" w:customStyle="1" w:styleId="ECHRHeading6">
    <w:name w:val="ECHR_Heading_6"/>
    <w:aliases w:val="Ju_H_alpha"/>
    <w:basedOn w:val="Nagwek6"/>
    <w:next w:val="ECHRPara"/>
    <w:uiPriority w:val="99"/>
    <w:rsid w:val="000F10FB"/>
    <w:pPr>
      <w:keepNext/>
      <w:keepLines/>
      <w:tabs>
        <w:tab w:val="left" w:pos="1372"/>
      </w:tabs>
      <w:spacing w:before="240" w:after="120" w:line="240" w:lineRule="auto"/>
      <w:ind w:left="1373" w:hanging="335"/>
    </w:pPr>
    <w:rPr>
      <w:b w:val="0"/>
      <w:bCs w:val="0"/>
      <w:color w:val="auto"/>
      <w:sz w:val="20"/>
      <w:szCs w:val="20"/>
    </w:rPr>
  </w:style>
  <w:style w:type="paragraph" w:customStyle="1" w:styleId="ECHRHeading7">
    <w:name w:val="ECHR_Heading_7"/>
    <w:aliases w:val="Ju_H_–"/>
    <w:basedOn w:val="Nagwek7"/>
    <w:next w:val="ECHRPara"/>
    <w:uiPriority w:val="99"/>
    <w:rsid w:val="000F10FB"/>
    <w:pPr>
      <w:keepNext/>
      <w:keepLines/>
      <w:spacing w:before="240" w:after="120"/>
      <w:ind w:left="1236"/>
    </w:pPr>
  </w:style>
  <w:style w:type="paragraph" w:customStyle="1" w:styleId="JuParaLast">
    <w:name w:val="Ju_Para_Last"/>
    <w:basedOn w:val="Normalny"/>
    <w:next w:val="ECHRPara"/>
    <w:uiPriority w:val="99"/>
    <w:rsid w:val="000F10FB"/>
    <w:pPr>
      <w:keepNext/>
      <w:keepLines/>
      <w:spacing w:before="240"/>
      <w:ind w:firstLine="284"/>
    </w:pPr>
  </w:style>
  <w:style w:type="paragraph" w:customStyle="1" w:styleId="ECHRDecisionBody">
    <w:name w:val="ECHR_Decision_Body"/>
    <w:aliases w:val="Ju_Judges"/>
    <w:basedOn w:val="Normalny"/>
    <w:uiPriority w:val="99"/>
    <w:rsid w:val="000F10FB"/>
    <w:pPr>
      <w:tabs>
        <w:tab w:val="left" w:pos="567"/>
        <w:tab w:val="left" w:pos="1134"/>
      </w:tabs>
      <w:jc w:val="left"/>
    </w:pPr>
  </w:style>
  <w:style w:type="paragraph" w:customStyle="1" w:styleId="JuList">
    <w:name w:val="Ju_List"/>
    <w:basedOn w:val="Normalny"/>
    <w:uiPriority w:val="99"/>
    <w:rsid w:val="000F10FB"/>
    <w:pPr>
      <w:ind w:left="340" w:hanging="340"/>
    </w:pPr>
  </w:style>
  <w:style w:type="character" w:customStyle="1" w:styleId="JuITMark">
    <w:name w:val="Ju_ITMark"/>
    <w:uiPriority w:val="99"/>
    <w:rsid w:val="000F10FB"/>
    <w:rPr>
      <w:color w:val="auto"/>
      <w:sz w:val="14"/>
      <w:shd w:val="clear" w:color="auto" w:fill="BEE5FF"/>
    </w:rPr>
  </w:style>
  <w:style w:type="paragraph" w:customStyle="1" w:styleId="OpiTranslation">
    <w:name w:val="Opi_Translation"/>
    <w:basedOn w:val="Normalny"/>
    <w:next w:val="OpiPara"/>
    <w:uiPriority w:val="99"/>
    <w:rsid w:val="000F10FB"/>
    <w:pPr>
      <w:jc w:val="center"/>
      <w:outlineLvl w:val="0"/>
    </w:pPr>
    <w:rPr>
      <w:i/>
      <w:iCs/>
    </w:rPr>
  </w:style>
  <w:style w:type="character" w:styleId="Wyrnieniedelikatne">
    <w:name w:val="Subtle Emphasis"/>
    <w:basedOn w:val="Domylnaczcionkaakapitu"/>
    <w:uiPriority w:val="99"/>
    <w:qFormat/>
    <w:rsid w:val="000F10FB"/>
    <w:rPr>
      <w:rFonts w:cs="Times New Roman"/>
      <w:i/>
      <w:iCs/>
    </w:rPr>
  </w:style>
  <w:style w:type="paragraph" w:customStyle="1" w:styleId="DecHTitle">
    <w:name w:val="Dec_H_Title"/>
    <w:basedOn w:val="ECHRTitleCentre1"/>
    <w:uiPriority w:val="99"/>
    <w:semiHidden/>
    <w:rsid w:val="000F10FB"/>
  </w:style>
  <w:style w:type="table" w:customStyle="1" w:styleId="ECHRTable">
    <w:name w:val="ECHR_Table"/>
    <w:uiPriority w:val="99"/>
    <w:rsid w:val="00860B03"/>
    <w:pPr>
      <w:spacing w:after="0" w:line="240" w:lineRule="auto"/>
    </w:pPr>
    <w:rPr>
      <w:sz w:val="20"/>
      <w:szCs w:val="20"/>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table" w:customStyle="1" w:styleId="ECHRTableBoxHeader">
    <w:name w:val="ECHR_Table_Box_Header"/>
    <w:uiPriority w:val="99"/>
    <w:rsid w:val="004C086C"/>
    <w:pPr>
      <w:spacing w:after="0" w:line="240" w:lineRule="auto"/>
    </w:pPr>
    <w:rPr>
      <w:rFonts w:ascii="Verdana" w:hAnsi="Verdana" w:cs="Verdana"/>
      <w:sz w:val="20"/>
      <w:szCs w:val="20"/>
    </w:rPr>
    <w:tblPr>
      <w:tblCellMar>
        <w:top w:w="57" w:type="dxa"/>
        <w:left w:w="57" w:type="dxa"/>
        <w:bottom w:w="57" w:type="dxa"/>
        <w:right w:w="57" w:type="dxa"/>
      </w:tblCellMar>
    </w:tblPr>
    <w:tcPr>
      <w:shd w:val="clear" w:color="auto" w:fill="F8F8F8"/>
    </w:tcPr>
  </w:style>
  <w:style w:type="paragraph" w:customStyle="1" w:styleId="DecList">
    <w:name w:val="Dec_List"/>
    <w:basedOn w:val="Normalny"/>
    <w:uiPriority w:val="99"/>
    <w:semiHidden/>
    <w:rsid w:val="000F10FB"/>
    <w:pPr>
      <w:spacing w:before="240"/>
      <w:ind w:left="284"/>
    </w:pPr>
  </w:style>
  <w:style w:type="paragraph" w:customStyle="1" w:styleId="JuLista">
    <w:name w:val="Ju_List_a"/>
    <w:basedOn w:val="JuList"/>
    <w:uiPriority w:val="99"/>
    <w:rsid w:val="000F10FB"/>
    <w:pPr>
      <w:ind w:left="346" w:firstLine="0"/>
    </w:pPr>
  </w:style>
  <w:style w:type="paragraph" w:customStyle="1" w:styleId="JuListi">
    <w:name w:val="Ju_List_i"/>
    <w:basedOn w:val="Normalny"/>
    <w:next w:val="JuLista"/>
    <w:uiPriority w:val="99"/>
    <w:rsid w:val="000F10FB"/>
    <w:pPr>
      <w:ind w:left="794"/>
    </w:pPr>
  </w:style>
  <w:style w:type="character" w:styleId="Uwydatnienie">
    <w:name w:val="Emphasis"/>
    <w:basedOn w:val="Domylnaczcionkaakapitu"/>
    <w:uiPriority w:val="99"/>
    <w:qFormat/>
    <w:rsid w:val="000F10FB"/>
    <w:rPr>
      <w:rFonts w:cs="Times New Roman"/>
      <w:b/>
      <w:bCs/>
      <w:i/>
      <w:iCs/>
      <w:spacing w:val="10"/>
      <w:shd w:val="clear" w:color="auto" w:fill="auto"/>
    </w:rPr>
  </w:style>
  <w:style w:type="paragraph" w:styleId="Stopka">
    <w:name w:val="footer"/>
    <w:basedOn w:val="Normalny"/>
    <w:link w:val="StopkaZnak"/>
    <w:uiPriority w:val="99"/>
    <w:semiHidden/>
    <w:rsid w:val="0045649E"/>
    <w:pPr>
      <w:tabs>
        <w:tab w:val="center" w:pos="4536"/>
        <w:tab w:val="right" w:pos="9696"/>
      </w:tabs>
      <w:ind w:left="-680" w:right="-680"/>
    </w:pPr>
    <w:rPr>
      <w:rFonts w:eastAsia="Times New Roman"/>
      <w:lang w:eastAsia="pl-PL"/>
    </w:rPr>
  </w:style>
  <w:style w:type="character" w:customStyle="1" w:styleId="StopkaZnak">
    <w:name w:val="Stopka Znak"/>
    <w:basedOn w:val="Domylnaczcionkaakapitu"/>
    <w:link w:val="Stopka"/>
    <w:uiPriority w:val="99"/>
    <w:semiHidden/>
    <w:locked/>
    <w:rsid w:val="0045649E"/>
    <w:rPr>
      <w:sz w:val="24"/>
    </w:rPr>
  </w:style>
  <w:style w:type="character" w:styleId="Odwoanieprzypisudolnego">
    <w:name w:val="footnote reference"/>
    <w:basedOn w:val="Domylnaczcionkaakapitu"/>
    <w:uiPriority w:val="99"/>
    <w:semiHidden/>
    <w:rsid w:val="0045649E"/>
    <w:rPr>
      <w:rFonts w:cs="Times New Roman"/>
      <w:vertAlign w:val="superscript"/>
    </w:rPr>
  </w:style>
  <w:style w:type="paragraph" w:styleId="Tekstprzypisudolnego">
    <w:name w:val="footnote text"/>
    <w:basedOn w:val="Normalny"/>
    <w:link w:val="TekstprzypisudolnegoZnak"/>
    <w:uiPriority w:val="99"/>
    <w:semiHidden/>
    <w:rsid w:val="0045649E"/>
    <w:rPr>
      <w:sz w:val="20"/>
      <w:szCs w:val="20"/>
      <w:lang w:eastAsia="pl-PL"/>
    </w:rPr>
  </w:style>
  <w:style w:type="character" w:customStyle="1" w:styleId="TekstprzypisudolnegoZnak">
    <w:name w:val="Tekst przypisu dolnego Znak"/>
    <w:basedOn w:val="Domylnaczcionkaakapitu"/>
    <w:link w:val="Tekstprzypisudolnego"/>
    <w:uiPriority w:val="99"/>
    <w:locked/>
    <w:rsid w:val="0045649E"/>
    <w:rPr>
      <w:rFonts w:eastAsia="MS Mincho"/>
      <w:sz w:val="20"/>
    </w:rPr>
  </w:style>
  <w:style w:type="character" w:styleId="Hipercze">
    <w:name w:val="Hyperlink"/>
    <w:basedOn w:val="Domylnaczcionkaakapitu"/>
    <w:uiPriority w:val="99"/>
    <w:semiHidden/>
    <w:rsid w:val="0045649E"/>
    <w:rPr>
      <w:rFonts w:cs="Times New Roman"/>
      <w:color w:val="0072BC"/>
      <w:u w:val="single"/>
    </w:rPr>
  </w:style>
  <w:style w:type="character" w:styleId="Wyrnienieintensywne">
    <w:name w:val="Intense Emphasis"/>
    <w:basedOn w:val="Domylnaczcionkaakapitu"/>
    <w:uiPriority w:val="99"/>
    <w:qFormat/>
    <w:rsid w:val="000F10FB"/>
    <w:rPr>
      <w:rFonts w:cs="Times New Roman"/>
      <w:b/>
      <w:bCs/>
    </w:rPr>
  </w:style>
  <w:style w:type="paragraph" w:styleId="Cytatintensywny">
    <w:name w:val="Intense Quote"/>
    <w:basedOn w:val="Normalny"/>
    <w:next w:val="Normalny"/>
    <w:link w:val="CytatintensywnyZnak"/>
    <w:uiPriority w:val="99"/>
    <w:qFormat/>
    <w:rsid w:val="000F10FB"/>
    <w:pPr>
      <w:pBdr>
        <w:bottom w:val="single" w:sz="4" w:space="1" w:color="auto"/>
      </w:pBdr>
      <w:spacing w:before="200" w:after="280"/>
      <w:ind w:left="1008" w:right="1152"/>
    </w:pPr>
    <w:rPr>
      <w:b/>
      <w:bCs/>
      <w:i/>
      <w:iCs/>
      <w:sz w:val="20"/>
      <w:szCs w:val="20"/>
      <w:lang w:eastAsia="pl-PL"/>
    </w:rPr>
  </w:style>
  <w:style w:type="character" w:customStyle="1" w:styleId="CytatintensywnyZnak">
    <w:name w:val="Cytat intensywny Znak"/>
    <w:basedOn w:val="Domylnaczcionkaakapitu"/>
    <w:link w:val="Cytatintensywny"/>
    <w:uiPriority w:val="99"/>
    <w:semiHidden/>
    <w:locked/>
    <w:rsid w:val="000F10FB"/>
    <w:rPr>
      <w:rFonts w:eastAsia="MS Mincho"/>
      <w:b/>
      <w:i/>
    </w:rPr>
  </w:style>
  <w:style w:type="character" w:styleId="Odwoanieintensywne">
    <w:name w:val="Intense Reference"/>
    <w:basedOn w:val="Domylnaczcionkaakapitu"/>
    <w:uiPriority w:val="99"/>
    <w:qFormat/>
    <w:rsid w:val="000F10FB"/>
    <w:rPr>
      <w:rFonts w:cs="Times New Roman"/>
      <w:smallCaps/>
      <w:spacing w:val="5"/>
      <w:u w:val="single"/>
    </w:rPr>
  </w:style>
  <w:style w:type="paragraph" w:styleId="Akapitzlist">
    <w:name w:val="List Paragraph"/>
    <w:basedOn w:val="Normalny"/>
    <w:uiPriority w:val="99"/>
    <w:qFormat/>
    <w:rsid w:val="000F10FB"/>
    <w:pPr>
      <w:ind w:left="720"/>
    </w:pPr>
  </w:style>
  <w:style w:type="table" w:customStyle="1" w:styleId="LtrTableAddress">
    <w:name w:val="Ltr_Table_Address"/>
    <w:uiPriority w:val="99"/>
    <w:rsid w:val="001E6F32"/>
    <w:pPr>
      <w:spacing w:after="0" w:line="240" w:lineRule="auto"/>
    </w:pPr>
    <w:rPr>
      <w:sz w:val="20"/>
      <w:szCs w:val="20"/>
    </w:rPr>
    <w:tblPr>
      <w:tblCellMar>
        <w:top w:w="0" w:type="dxa"/>
        <w:left w:w="108" w:type="dxa"/>
        <w:bottom w:w="0" w:type="dxa"/>
        <w:right w:w="108" w:type="dxa"/>
      </w:tblCellMar>
    </w:tblPr>
  </w:style>
  <w:style w:type="paragraph" w:styleId="Cytat">
    <w:name w:val="Quote"/>
    <w:basedOn w:val="Normalny"/>
    <w:next w:val="Normalny"/>
    <w:link w:val="CytatZnak"/>
    <w:uiPriority w:val="99"/>
    <w:qFormat/>
    <w:rsid w:val="000F10FB"/>
    <w:pPr>
      <w:spacing w:before="200"/>
      <w:ind w:left="360" w:right="360"/>
    </w:pPr>
    <w:rPr>
      <w:i/>
      <w:iCs/>
      <w:sz w:val="20"/>
      <w:szCs w:val="20"/>
      <w:lang w:eastAsia="pl-PL"/>
    </w:rPr>
  </w:style>
  <w:style w:type="character" w:customStyle="1" w:styleId="CytatZnak">
    <w:name w:val="Cytat Znak"/>
    <w:basedOn w:val="Domylnaczcionkaakapitu"/>
    <w:link w:val="Cytat"/>
    <w:uiPriority w:val="99"/>
    <w:semiHidden/>
    <w:locked/>
    <w:rsid w:val="000F10FB"/>
    <w:rPr>
      <w:rFonts w:eastAsia="MS Mincho"/>
      <w:i/>
    </w:rPr>
  </w:style>
  <w:style w:type="character" w:styleId="Odwoaniedelikatne">
    <w:name w:val="Subtle Reference"/>
    <w:basedOn w:val="Domylnaczcionkaakapitu"/>
    <w:uiPriority w:val="99"/>
    <w:qFormat/>
    <w:rsid w:val="000F10FB"/>
    <w:rPr>
      <w:rFonts w:cs="Times New Roman"/>
      <w:smallCaps/>
    </w:rPr>
  </w:style>
  <w:style w:type="table" w:styleId="Tabela-Siatka">
    <w:name w:val="Table Grid"/>
    <w:basedOn w:val="Standardowy"/>
    <w:uiPriority w:val="99"/>
    <w:semiHidden/>
    <w:rsid w:val="0045649E"/>
    <w:pPr>
      <w:spacing w:after="0" w:line="240" w:lineRule="auto"/>
    </w:pPr>
    <w:rPr>
      <w:rFonts w:eastAsia="MS Mincho"/>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99"/>
    <w:semiHidden/>
    <w:rsid w:val="0045649E"/>
    <w:pPr>
      <w:keepNext/>
      <w:tabs>
        <w:tab w:val="right" w:leader="dot" w:pos="7371"/>
      </w:tabs>
      <w:spacing w:before="160" w:after="60" w:line="240" w:lineRule="exact"/>
      <w:ind w:left="340" w:right="567" w:hanging="340"/>
    </w:pPr>
    <w:rPr>
      <w:b/>
      <w:bCs/>
      <w:sz w:val="22"/>
      <w:szCs w:val="22"/>
    </w:rPr>
  </w:style>
  <w:style w:type="paragraph" w:styleId="Spistreci2">
    <w:name w:val="toc 2"/>
    <w:basedOn w:val="Normalny"/>
    <w:next w:val="Normalny"/>
    <w:autoRedefine/>
    <w:uiPriority w:val="99"/>
    <w:semiHidden/>
    <w:rsid w:val="0045649E"/>
    <w:pPr>
      <w:keepNext/>
      <w:tabs>
        <w:tab w:val="right" w:leader="dot" w:pos="7371"/>
      </w:tabs>
      <w:spacing w:after="60" w:line="240" w:lineRule="exact"/>
      <w:ind w:left="680" w:right="567" w:hanging="340"/>
    </w:pPr>
    <w:rPr>
      <w:sz w:val="22"/>
      <w:szCs w:val="22"/>
    </w:rPr>
  </w:style>
  <w:style w:type="paragraph" w:styleId="Spistreci3">
    <w:name w:val="toc 3"/>
    <w:basedOn w:val="Normalny"/>
    <w:next w:val="Normalny"/>
    <w:autoRedefine/>
    <w:uiPriority w:val="99"/>
    <w:semiHidden/>
    <w:rsid w:val="0045649E"/>
    <w:pPr>
      <w:keepNext/>
      <w:tabs>
        <w:tab w:val="right" w:leader="dot" w:pos="7371"/>
      </w:tabs>
      <w:spacing w:after="60" w:line="240" w:lineRule="exact"/>
      <w:ind w:left="1020" w:right="567" w:hanging="340"/>
    </w:pPr>
    <w:rPr>
      <w:sz w:val="20"/>
      <w:szCs w:val="20"/>
    </w:rPr>
  </w:style>
  <w:style w:type="paragraph" w:styleId="Spistreci4">
    <w:name w:val="toc 4"/>
    <w:basedOn w:val="Normalny"/>
    <w:next w:val="Normalny"/>
    <w:autoRedefine/>
    <w:uiPriority w:val="99"/>
    <w:semiHidden/>
    <w:rsid w:val="0045649E"/>
    <w:pPr>
      <w:tabs>
        <w:tab w:val="right" w:leader="dot" w:pos="7371"/>
      </w:tabs>
      <w:spacing w:after="60" w:line="240" w:lineRule="exact"/>
      <w:ind w:left="1361" w:right="567" w:hanging="340"/>
    </w:pPr>
    <w:rPr>
      <w:sz w:val="20"/>
      <w:szCs w:val="20"/>
    </w:rPr>
  </w:style>
  <w:style w:type="paragraph" w:styleId="Spistreci5">
    <w:name w:val="toc 5"/>
    <w:basedOn w:val="Normalny"/>
    <w:next w:val="Normalny"/>
    <w:autoRedefine/>
    <w:uiPriority w:val="99"/>
    <w:semiHidden/>
    <w:rsid w:val="0045649E"/>
    <w:pPr>
      <w:tabs>
        <w:tab w:val="right" w:leader="dot" w:pos="7371"/>
      </w:tabs>
      <w:spacing w:after="60" w:line="240" w:lineRule="exact"/>
      <w:ind w:left="1701" w:right="567" w:hanging="340"/>
    </w:pPr>
    <w:rPr>
      <w:sz w:val="20"/>
      <w:szCs w:val="20"/>
    </w:rPr>
  </w:style>
  <w:style w:type="paragraph" w:styleId="Nagwekspisutreci">
    <w:name w:val="TOC Heading"/>
    <w:basedOn w:val="Normalny"/>
    <w:next w:val="Normalny"/>
    <w:uiPriority w:val="99"/>
    <w:qFormat/>
    <w:rsid w:val="000F10FB"/>
    <w:pPr>
      <w:keepNext/>
      <w:keepLines/>
      <w:spacing w:before="240"/>
      <w:jc w:val="center"/>
    </w:pPr>
    <w:rPr>
      <w:rFonts w:eastAsia="Times New Roman"/>
      <w:b/>
      <w:bCs/>
      <w:color w:val="474747"/>
      <w:sz w:val="28"/>
      <w:szCs w:val="28"/>
    </w:rPr>
  </w:style>
  <w:style w:type="table" w:customStyle="1" w:styleId="UGTable">
    <w:name w:val="UG_Table"/>
    <w:uiPriority w:val="99"/>
    <w:rsid w:val="00572845"/>
    <w:pPr>
      <w:spacing w:after="0" w:line="240" w:lineRule="auto"/>
    </w:pPr>
    <w:rPr>
      <w:rFonts w:eastAsia="MS Mincho"/>
      <w:sz w:val="20"/>
      <w:szCs w:val="20"/>
      <w:lang w:eastAsia="en-GB"/>
    </w:rPr>
    <w:tblPr>
      <w:tblCellMar>
        <w:top w:w="0" w:type="dxa"/>
        <w:left w:w="57" w:type="dxa"/>
        <w:bottom w:w="57" w:type="dxa"/>
        <w:right w:w="113" w:type="dxa"/>
      </w:tblCellMar>
    </w:tblPr>
  </w:style>
  <w:style w:type="table" w:customStyle="1" w:styleId="UGTableWhiteBox">
    <w:name w:val="UG_Table_White_Box"/>
    <w:uiPriority w:val="99"/>
    <w:rsid w:val="003609FA"/>
    <w:pPr>
      <w:spacing w:after="0" w:line="240" w:lineRule="auto"/>
    </w:pPr>
    <w:rPr>
      <w:rFonts w:eastAsia="MS Mincho"/>
      <w:sz w:val="20"/>
      <w:szCs w:val="20"/>
      <w:lang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uiPriority w:val="99"/>
    <w:rsid w:val="00810B38"/>
    <w:pPr>
      <w:spacing w:after="0" w:line="240" w:lineRule="auto"/>
    </w:pPr>
    <w:rPr>
      <w:color w:val="000000"/>
      <w:sz w:val="18"/>
      <w:szCs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CellMar>
        <w:top w:w="0" w:type="dxa"/>
        <w:left w:w="108" w:type="dxa"/>
        <w:bottom w:w="0" w:type="dxa"/>
        <w:right w:w="108" w:type="dxa"/>
      </w:tblCellMar>
    </w:tblPr>
  </w:style>
  <w:style w:type="table" w:customStyle="1" w:styleId="ECHRTableFax">
    <w:name w:val="ECHR_Table_Fax"/>
    <w:uiPriority w:val="99"/>
    <w:rsid w:val="00893576"/>
    <w:pPr>
      <w:spacing w:after="0" w:line="240" w:lineRule="auto"/>
    </w:pPr>
    <w:rPr>
      <w:color w:val="000000"/>
      <w:sz w:val="20"/>
      <w:szCs w:val="20"/>
    </w:rPr>
    <w:tblPr>
      <w:tblBorders>
        <w:insideH w:val="single" w:sz="4" w:space="0" w:color="C6C6C6"/>
        <w:insideV w:val="single" w:sz="4" w:space="0" w:color="C6C6C6"/>
      </w:tblBorders>
      <w:tblCellMar>
        <w:top w:w="142" w:type="dxa"/>
        <w:left w:w="108" w:type="dxa"/>
        <w:bottom w:w="142" w:type="dxa"/>
        <w:right w:w="108" w:type="dxa"/>
      </w:tblCellMar>
    </w:tblPr>
    <w:trPr>
      <w:cantSplit/>
    </w:trPr>
  </w:style>
  <w:style w:type="table" w:customStyle="1" w:styleId="ECHRTableMemo">
    <w:name w:val="ECHR_Table_Memo"/>
    <w:uiPriority w:val="99"/>
    <w:rsid w:val="00210338"/>
    <w:pPr>
      <w:spacing w:after="0" w:line="240" w:lineRule="auto"/>
    </w:pPr>
    <w:rPr>
      <w:sz w:val="20"/>
      <w:szCs w:val="20"/>
    </w:rPr>
    <w:tblPr>
      <w:jc w:val="center"/>
      <w:tblCellMar>
        <w:top w:w="113" w:type="dxa"/>
        <w:left w:w="0" w:type="dxa"/>
        <w:bottom w:w="113" w:type="dxa"/>
        <w:right w:w="0" w:type="dxa"/>
      </w:tblCellMar>
    </w:tblPr>
    <w:trPr>
      <w:jc w:val="center"/>
    </w:trPr>
  </w:style>
  <w:style w:type="table" w:customStyle="1" w:styleId="ECHRDNTable">
    <w:name w:val="ECHR_DN_Table"/>
    <w:aliases w:val="DN_Table"/>
    <w:uiPriority w:val="99"/>
    <w:rsid w:val="0090506B"/>
    <w:pPr>
      <w:spacing w:after="0" w:line="240" w:lineRule="auto"/>
    </w:pPr>
    <w:rPr>
      <w:sz w:val="20"/>
      <w:szCs w:val="20"/>
    </w:rPr>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left w:w="108" w:type="dxa"/>
        <w:bottom w:w="57" w:type="dxa"/>
        <w:right w:w="108" w:type="dxa"/>
      </w:tblCellMar>
    </w:tblPr>
    <w:trPr>
      <w:jc w:val="center"/>
    </w:trPr>
  </w:style>
  <w:style w:type="paragraph" w:styleId="Nagwekwykazurde">
    <w:name w:val="toa heading"/>
    <w:basedOn w:val="Normalny"/>
    <w:next w:val="Normalny"/>
    <w:uiPriority w:val="99"/>
    <w:semiHidden/>
    <w:rsid w:val="0045649E"/>
    <w:pPr>
      <w:keepNext/>
      <w:keepLines/>
      <w:spacing w:before="240"/>
      <w:jc w:val="center"/>
    </w:pPr>
    <w:rPr>
      <w:rFonts w:eastAsia="MS Gothic"/>
      <w:b/>
      <w:bCs/>
      <w:color w:val="474747"/>
      <w:sz w:val="28"/>
      <w:szCs w:val="28"/>
    </w:rPr>
  </w:style>
  <w:style w:type="paragraph" w:styleId="Podtytu">
    <w:name w:val="Subtitle"/>
    <w:basedOn w:val="Normalny"/>
    <w:next w:val="Normalny"/>
    <w:link w:val="PodtytuZnak"/>
    <w:uiPriority w:val="99"/>
    <w:qFormat/>
    <w:rsid w:val="000F10FB"/>
    <w:pPr>
      <w:spacing w:after="600"/>
    </w:pPr>
    <w:rPr>
      <w:rFonts w:eastAsia="MS Gothic"/>
      <w:i/>
      <w:iCs/>
      <w:spacing w:val="13"/>
      <w:lang w:eastAsia="pl-PL"/>
    </w:rPr>
  </w:style>
  <w:style w:type="character" w:customStyle="1" w:styleId="PodtytuZnak">
    <w:name w:val="Podtytuł Znak"/>
    <w:basedOn w:val="Domylnaczcionkaakapitu"/>
    <w:link w:val="Podtytu"/>
    <w:uiPriority w:val="99"/>
    <w:semiHidden/>
    <w:locked/>
    <w:rsid w:val="000F10FB"/>
    <w:rPr>
      <w:rFonts w:ascii="Times New Roman" w:eastAsia="MS Gothic" w:hAnsi="Times New Roman"/>
      <w:i/>
      <w:spacing w:val="13"/>
      <w:sz w:val="24"/>
    </w:rPr>
  </w:style>
  <w:style w:type="paragraph" w:customStyle="1" w:styleId="ECHRPara">
    <w:name w:val="ECHR_Para"/>
    <w:aliases w:val="Ju_Para,Left,First line:  0 cm"/>
    <w:basedOn w:val="Normalny"/>
    <w:link w:val="ECHRParaChar"/>
    <w:uiPriority w:val="99"/>
    <w:rsid w:val="000F10FB"/>
    <w:pPr>
      <w:ind w:firstLine="284"/>
    </w:pPr>
    <w:rPr>
      <w:lang w:eastAsia="pl-PL"/>
    </w:rPr>
  </w:style>
  <w:style w:type="table" w:customStyle="1" w:styleId="ECHRTableSimpleBox">
    <w:name w:val="ECHR_Table_Simple_Box"/>
    <w:uiPriority w:val="99"/>
    <w:rsid w:val="00AE354C"/>
    <w:pPr>
      <w:spacing w:after="0" w:line="240" w:lineRule="auto"/>
    </w:pPr>
    <w:rPr>
      <w:sz w:val="20"/>
      <w:szCs w:val="20"/>
    </w:rPr>
    <w:tblPr>
      <w:tblBorders>
        <w:top w:val="single" w:sz="4" w:space="0" w:color="9F9F9F"/>
        <w:left w:val="single" w:sz="4" w:space="0" w:color="9F9F9F"/>
        <w:bottom w:val="single" w:sz="4" w:space="0" w:color="9F9F9F"/>
        <w:right w:val="single" w:sz="4" w:space="0" w:color="9F9F9F"/>
      </w:tblBorders>
      <w:tblCellMar>
        <w:top w:w="113" w:type="dxa"/>
        <w:left w:w="108" w:type="dxa"/>
        <w:bottom w:w="113" w:type="dxa"/>
        <w:right w:w="108" w:type="dxa"/>
      </w:tblCellMar>
    </w:tblPr>
  </w:style>
  <w:style w:type="table" w:customStyle="1" w:styleId="ECHRTableNoLines">
    <w:name w:val="ECHR_Table_No_Lines"/>
    <w:uiPriority w:val="99"/>
    <w:rsid w:val="00F218EF"/>
    <w:pPr>
      <w:spacing w:after="0" w:line="240" w:lineRule="auto"/>
    </w:pPr>
    <w:rPr>
      <w:sz w:val="20"/>
      <w:szCs w:val="20"/>
    </w:rPr>
    <w:tblPr>
      <w:tblCellMar>
        <w:top w:w="85" w:type="dxa"/>
        <w:left w:w="142" w:type="dxa"/>
        <w:bottom w:w="28" w:type="dxa"/>
        <w:right w:w="142" w:type="dxa"/>
      </w:tblCellMar>
    </w:tblPr>
  </w:style>
  <w:style w:type="table" w:customStyle="1" w:styleId="ECHRTableForInternalUse">
    <w:name w:val="ECHR_Table_For_Internal_Use"/>
    <w:uiPriority w:val="99"/>
    <w:rsid w:val="005474E7"/>
    <w:pPr>
      <w:spacing w:after="0" w:line="240" w:lineRule="auto"/>
    </w:pPr>
    <w:rPr>
      <w:color w:val="636363"/>
      <w:sz w:val="18"/>
      <w:szCs w:val="18"/>
    </w:rPr>
    <w:tblPr>
      <w:tblStyleColBandSize w:val="1"/>
      <w:jc w:val="right"/>
      <w:tblCellMar>
        <w:top w:w="113" w:type="dxa"/>
        <w:left w:w="108" w:type="dxa"/>
        <w:bottom w:w="28" w:type="dxa"/>
        <w:right w:w="108" w:type="dxa"/>
      </w:tblCellMar>
    </w:tblPr>
    <w:trPr>
      <w:jc w:val="right"/>
    </w:trPr>
  </w:style>
  <w:style w:type="table" w:customStyle="1" w:styleId="ECHRListTable">
    <w:name w:val="ECHR_List_Table"/>
    <w:uiPriority w:val="99"/>
    <w:rsid w:val="0045649E"/>
    <w:pPr>
      <w:spacing w:after="0" w:line="240" w:lineRule="auto"/>
    </w:pPr>
    <w:rPr>
      <w:sz w:val="20"/>
      <w:szCs w:val="20"/>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paragraph" w:styleId="Bibliografia">
    <w:name w:val="Bibliography"/>
    <w:basedOn w:val="Normalny"/>
    <w:next w:val="Normalny"/>
    <w:uiPriority w:val="99"/>
    <w:semiHidden/>
    <w:rsid w:val="00DC4033"/>
  </w:style>
  <w:style w:type="paragraph" w:styleId="Tekstblokowy">
    <w:name w:val="Block Text"/>
    <w:basedOn w:val="Normalny"/>
    <w:uiPriority w:val="99"/>
    <w:semiHidden/>
    <w:rsid w:val="00DC4033"/>
    <w:pPr>
      <w:pBdr>
        <w:top w:val="single" w:sz="2" w:space="10" w:color="0072BC"/>
        <w:left w:val="single" w:sz="2" w:space="10" w:color="0072BC"/>
        <w:bottom w:val="single" w:sz="2" w:space="10" w:color="0072BC"/>
        <w:right w:val="single" w:sz="2" w:space="10" w:color="0072BC"/>
      </w:pBdr>
      <w:ind w:left="1152" w:right="1152"/>
    </w:pPr>
    <w:rPr>
      <w:i/>
      <w:iCs/>
      <w:color w:val="0072BC"/>
    </w:rPr>
  </w:style>
  <w:style w:type="table" w:customStyle="1" w:styleId="ECHRHeaderTable">
    <w:name w:val="ECHR_Header_Table"/>
    <w:uiPriority w:val="99"/>
    <w:rsid w:val="00661971"/>
    <w:pPr>
      <w:spacing w:after="0" w:line="240" w:lineRule="auto"/>
    </w:pPr>
    <w:rPr>
      <w:sz w:val="20"/>
      <w:szCs w:val="20"/>
    </w:rPr>
    <w:tblPr>
      <w:tblBorders>
        <w:bottom w:val="single" w:sz="6" w:space="0" w:color="949494"/>
      </w:tblBorders>
      <w:tblCellMar>
        <w:top w:w="0" w:type="dxa"/>
        <w:left w:w="0" w:type="dxa"/>
        <w:bottom w:w="28" w:type="dxa"/>
        <w:right w:w="0" w:type="dxa"/>
      </w:tblCellMar>
    </w:tblPr>
  </w:style>
  <w:style w:type="paragraph" w:styleId="Tekstpodstawowy">
    <w:name w:val="Body Text"/>
    <w:basedOn w:val="Normalny"/>
    <w:link w:val="TekstpodstawowyZnak"/>
    <w:uiPriority w:val="99"/>
    <w:semiHidden/>
    <w:rsid w:val="00DC4033"/>
    <w:pPr>
      <w:spacing w:after="120"/>
    </w:pPr>
    <w:rPr>
      <w:lang w:eastAsia="pl-PL"/>
    </w:rPr>
  </w:style>
  <w:style w:type="character" w:customStyle="1" w:styleId="TekstpodstawowyZnak">
    <w:name w:val="Tekst podstawowy Znak"/>
    <w:basedOn w:val="Domylnaczcionkaakapitu"/>
    <w:link w:val="Tekstpodstawowy"/>
    <w:uiPriority w:val="99"/>
    <w:semiHidden/>
    <w:locked/>
    <w:rsid w:val="00DC4033"/>
    <w:rPr>
      <w:rFonts w:eastAsia="MS Mincho"/>
      <w:sz w:val="24"/>
    </w:rPr>
  </w:style>
  <w:style w:type="table" w:customStyle="1" w:styleId="ECHRTableOddBanded">
    <w:name w:val="ECHR_Table_Odd_Banded"/>
    <w:uiPriority w:val="99"/>
    <w:rsid w:val="00860B03"/>
    <w:pPr>
      <w:spacing w:after="0" w:line="240" w:lineRule="auto"/>
    </w:pPr>
    <w:rPr>
      <w:sz w:val="20"/>
      <w:szCs w:val="20"/>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paragraph" w:styleId="Tekstpodstawowy2">
    <w:name w:val="Body Text 2"/>
    <w:basedOn w:val="Normalny"/>
    <w:link w:val="Tekstpodstawowy2Znak"/>
    <w:uiPriority w:val="99"/>
    <w:semiHidden/>
    <w:rsid w:val="00DC4033"/>
    <w:pPr>
      <w:spacing w:after="120" w:line="480" w:lineRule="auto"/>
    </w:pPr>
    <w:rPr>
      <w:lang w:eastAsia="pl-PL"/>
    </w:rPr>
  </w:style>
  <w:style w:type="character" w:customStyle="1" w:styleId="Tekstpodstawowy2Znak">
    <w:name w:val="Tekst podstawowy 2 Znak"/>
    <w:basedOn w:val="Domylnaczcionkaakapitu"/>
    <w:link w:val="Tekstpodstawowy2"/>
    <w:uiPriority w:val="99"/>
    <w:semiHidden/>
    <w:locked/>
    <w:rsid w:val="00DC4033"/>
    <w:rPr>
      <w:rFonts w:eastAsia="MS Mincho"/>
      <w:sz w:val="24"/>
    </w:rPr>
  </w:style>
  <w:style w:type="table" w:customStyle="1" w:styleId="ECHRHeaderTableReduced">
    <w:name w:val="ECHR_Header_Table_Reduced"/>
    <w:uiPriority w:val="99"/>
    <w:rsid w:val="00B52BE0"/>
    <w:pPr>
      <w:spacing w:after="0" w:line="240" w:lineRule="auto"/>
    </w:pPr>
    <w:rPr>
      <w:sz w:val="20"/>
      <w:szCs w:val="20"/>
    </w:rPr>
    <w:tblPr>
      <w:tblCellMar>
        <w:top w:w="0" w:type="dxa"/>
        <w:left w:w="0" w:type="dxa"/>
        <w:bottom w:w="0" w:type="dxa"/>
        <w:right w:w="0" w:type="dxa"/>
      </w:tblCellMar>
    </w:tblPr>
  </w:style>
  <w:style w:type="paragraph" w:customStyle="1" w:styleId="JuCase">
    <w:name w:val="Ju_Case"/>
    <w:basedOn w:val="Normalny"/>
    <w:next w:val="ECHRPara"/>
    <w:uiPriority w:val="99"/>
    <w:rsid w:val="0045649E"/>
    <w:pPr>
      <w:ind w:firstLine="284"/>
    </w:pPr>
    <w:rPr>
      <w:b/>
      <w:bCs/>
    </w:rPr>
  </w:style>
  <w:style w:type="character" w:styleId="Numerstrony">
    <w:name w:val="page number"/>
    <w:basedOn w:val="Domylnaczcionkaakapitu"/>
    <w:uiPriority w:val="99"/>
    <w:semiHidden/>
    <w:rsid w:val="00DC4033"/>
    <w:rPr>
      <w:rFonts w:cs="Times New Roman"/>
      <w:sz w:val="18"/>
      <w:szCs w:val="18"/>
    </w:rPr>
  </w:style>
  <w:style w:type="paragraph" w:styleId="Listapunktowana">
    <w:name w:val="List Bullet"/>
    <w:basedOn w:val="Normalny"/>
    <w:uiPriority w:val="99"/>
    <w:semiHidden/>
    <w:rsid w:val="00DC4033"/>
    <w:pPr>
      <w:numPr>
        <w:numId w:val="40"/>
      </w:numPr>
    </w:pPr>
  </w:style>
  <w:style w:type="paragraph" w:styleId="Tekstpodstawowy3">
    <w:name w:val="Body Text 3"/>
    <w:basedOn w:val="Normalny"/>
    <w:link w:val="Tekstpodstawowy3Znak"/>
    <w:uiPriority w:val="99"/>
    <w:semiHidden/>
    <w:rsid w:val="00DC4033"/>
    <w:pPr>
      <w:spacing w:after="120"/>
    </w:pPr>
    <w:rPr>
      <w:sz w:val="16"/>
      <w:szCs w:val="16"/>
      <w:lang w:eastAsia="pl-PL"/>
    </w:rPr>
  </w:style>
  <w:style w:type="character" w:customStyle="1" w:styleId="Tekstpodstawowy3Znak">
    <w:name w:val="Tekst podstawowy 3 Znak"/>
    <w:basedOn w:val="Domylnaczcionkaakapitu"/>
    <w:link w:val="Tekstpodstawowy3"/>
    <w:uiPriority w:val="99"/>
    <w:semiHidden/>
    <w:locked/>
    <w:rsid w:val="00DC4033"/>
    <w:rPr>
      <w:rFonts w:eastAsia="MS Mincho"/>
      <w:sz w:val="16"/>
    </w:rPr>
  </w:style>
  <w:style w:type="paragraph" w:styleId="Tekstpodstawowyzwciciem">
    <w:name w:val="Body Text First Indent"/>
    <w:basedOn w:val="Tekstpodstawowy"/>
    <w:link w:val="TekstpodstawowyzwciciemZnak"/>
    <w:uiPriority w:val="99"/>
    <w:semiHidden/>
    <w:rsid w:val="00DC4033"/>
    <w:pPr>
      <w:spacing w:after="0"/>
      <w:ind w:firstLine="360"/>
    </w:pPr>
  </w:style>
  <w:style w:type="character" w:customStyle="1" w:styleId="TekstpodstawowyzwciciemZnak">
    <w:name w:val="Tekst podstawowy z wcięciem Znak"/>
    <w:basedOn w:val="TekstpodstawowyZnak"/>
    <w:link w:val="Tekstpodstawowyzwciciem"/>
    <w:uiPriority w:val="99"/>
    <w:semiHidden/>
    <w:locked/>
    <w:rsid w:val="00DC4033"/>
    <w:rPr>
      <w:rFonts w:eastAsia="MS Mincho"/>
      <w:sz w:val="24"/>
    </w:rPr>
  </w:style>
  <w:style w:type="paragraph" w:styleId="Tekstpodstawowywcity">
    <w:name w:val="Body Text Indent"/>
    <w:basedOn w:val="Normalny"/>
    <w:link w:val="TekstpodstawowywcityZnak"/>
    <w:uiPriority w:val="99"/>
    <w:semiHidden/>
    <w:rsid w:val="00DC4033"/>
    <w:pPr>
      <w:spacing w:after="120"/>
      <w:ind w:left="283"/>
    </w:pPr>
    <w:rPr>
      <w:lang w:eastAsia="pl-PL"/>
    </w:rPr>
  </w:style>
  <w:style w:type="character" w:customStyle="1" w:styleId="TekstpodstawowywcityZnak">
    <w:name w:val="Tekst podstawowy wcięty Znak"/>
    <w:basedOn w:val="Domylnaczcionkaakapitu"/>
    <w:link w:val="Tekstpodstawowywcity"/>
    <w:uiPriority w:val="99"/>
    <w:semiHidden/>
    <w:locked/>
    <w:rsid w:val="00DC4033"/>
    <w:rPr>
      <w:rFonts w:eastAsia="MS Mincho"/>
      <w:sz w:val="24"/>
    </w:rPr>
  </w:style>
  <w:style w:type="paragraph" w:styleId="Tekstpodstawowyzwciciem2">
    <w:name w:val="Body Text First Indent 2"/>
    <w:basedOn w:val="Tekstpodstawowywcity"/>
    <w:link w:val="Tekstpodstawowyzwciciem2Znak"/>
    <w:uiPriority w:val="99"/>
    <w:semiHidden/>
    <w:rsid w:val="00DC4033"/>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locked/>
    <w:rsid w:val="00DC4033"/>
    <w:rPr>
      <w:rFonts w:eastAsia="MS Mincho"/>
      <w:sz w:val="24"/>
    </w:rPr>
  </w:style>
  <w:style w:type="paragraph" w:styleId="Tekstpodstawowywcity2">
    <w:name w:val="Body Text Indent 2"/>
    <w:basedOn w:val="Normalny"/>
    <w:link w:val="Tekstpodstawowywcity2Znak"/>
    <w:uiPriority w:val="99"/>
    <w:semiHidden/>
    <w:rsid w:val="00DC4033"/>
    <w:pPr>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uiPriority w:val="99"/>
    <w:semiHidden/>
    <w:locked/>
    <w:rsid w:val="00DC4033"/>
    <w:rPr>
      <w:rFonts w:eastAsia="MS Mincho"/>
      <w:sz w:val="24"/>
    </w:rPr>
  </w:style>
  <w:style w:type="paragraph" w:styleId="Tekstpodstawowywcity3">
    <w:name w:val="Body Text Indent 3"/>
    <w:basedOn w:val="Normalny"/>
    <w:link w:val="Tekstpodstawowywcity3Znak"/>
    <w:uiPriority w:val="99"/>
    <w:semiHidden/>
    <w:rsid w:val="00DC4033"/>
    <w:pPr>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uiPriority w:val="99"/>
    <w:semiHidden/>
    <w:locked/>
    <w:rsid w:val="00DC4033"/>
    <w:rPr>
      <w:rFonts w:eastAsia="MS Mincho"/>
      <w:sz w:val="16"/>
    </w:rPr>
  </w:style>
  <w:style w:type="paragraph" w:styleId="Legenda">
    <w:name w:val="caption"/>
    <w:basedOn w:val="Normalny"/>
    <w:next w:val="Normalny"/>
    <w:uiPriority w:val="99"/>
    <w:qFormat/>
    <w:rsid w:val="00DC4033"/>
    <w:pPr>
      <w:spacing w:after="200"/>
    </w:pPr>
    <w:rPr>
      <w:b/>
      <w:bCs/>
      <w:color w:val="0072BC"/>
      <w:sz w:val="18"/>
      <w:szCs w:val="18"/>
    </w:rPr>
  </w:style>
  <w:style w:type="paragraph" w:styleId="Zwrotpoegnalny">
    <w:name w:val="Closing"/>
    <w:basedOn w:val="Normalny"/>
    <w:link w:val="ZwrotpoegnalnyZnak"/>
    <w:uiPriority w:val="99"/>
    <w:semiHidden/>
    <w:rsid w:val="00DC4033"/>
    <w:pPr>
      <w:ind w:left="4252"/>
    </w:pPr>
    <w:rPr>
      <w:lang w:eastAsia="pl-PL"/>
    </w:rPr>
  </w:style>
  <w:style w:type="character" w:customStyle="1" w:styleId="ZwrotpoegnalnyZnak">
    <w:name w:val="Zwrot pożegnalny Znak"/>
    <w:basedOn w:val="Domylnaczcionkaakapitu"/>
    <w:link w:val="Zwrotpoegnalny"/>
    <w:uiPriority w:val="99"/>
    <w:semiHidden/>
    <w:locked/>
    <w:rsid w:val="00DC4033"/>
    <w:rPr>
      <w:rFonts w:eastAsia="MS Mincho"/>
      <w:sz w:val="24"/>
    </w:rPr>
  </w:style>
  <w:style w:type="table" w:styleId="Kolorowasiatka">
    <w:name w:val="Colorful Grid"/>
    <w:basedOn w:val="Standardowy"/>
    <w:uiPriority w:val="99"/>
    <w:semiHidden/>
    <w:rsid w:val="00DC4033"/>
    <w:pPr>
      <w:spacing w:after="0" w:line="240" w:lineRule="auto"/>
    </w:pPr>
    <w:rPr>
      <w:color w:val="000000"/>
      <w:sz w:val="20"/>
      <w:szCs w:val="20"/>
    </w:rPr>
    <w:tblPr>
      <w:tblStyleRowBandSize w:val="1"/>
      <w:tblStyleColBandSize w:val="1"/>
      <w:tblInd w:w="0" w:type="nil"/>
      <w:tblBorders>
        <w:insideH w:val="single" w:sz="4" w:space="0" w:color="0072BC"/>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0072BC"/>
      </w:rPr>
      <w:tblPr/>
      <w:tcPr>
        <w:shd w:val="clear" w:color="auto" w:fill="000000"/>
      </w:tcPr>
    </w:tblStylePr>
    <w:tblStylePr w:type="lastCol">
      <w:rPr>
        <w:rFonts w:cs="Times New Roman"/>
        <w:color w:val="0072BC"/>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Kolorowasiatkaakcent1">
    <w:name w:val="Colorful Grid Accent 1"/>
    <w:basedOn w:val="Standardowy"/>
    <w:uiPriority w:val="99"/>
    <w:semiHidden/>
    <w:rsid w:val="00DC4033"/>
    <w:pPr>
      <w:spacing w:after="0" w:line="240" w:lineRule="auto"/>
    </w:pPr>
    <w:rPr>
      <w:color w:val="000000"/>
      <w:sz w:val="20"/>
      <w:szCs w:val="20"/>
    </w:rPr>
    <w:tblPr>
      <w:tblStyleRowBandSize w:val="1"/>
      <w:tblStyleColBandSize w:val="1"/>
      <w:tblInd w:w="0" w:type="nil"/>
      <w:tblBorders>
        <w:insideH w:val="single" w:sz="4" w:space="0" w:color="0072BC"/>
      </w:tblBorders>
    </w:tblPr>
    <w:tcPr>
      <w:shd w:val="clear" w:color="auto" w:fill="BEE5FF"/>
    </w:tcPr>
    <w:tblStylePr w:type="firstRow">
      <w:rPr>
        <w:rFonts w:cs="Times New Roman"/>
        <w:b/>
        <w:bCs/>
      </w:rPr>
      <w:tblPr/>
      <w:tcPr>
        <w:shd w:val="clear" w:color="auto" w:fill="7ECBFF"/>
      </w:tcPr>
    </w:tblStylePr>
    <w:tblStylePr w:type="lastRow">
      <w:rPr>
        <w:rFonts w:cs="Times New Roman"/>
        <w:b/>
        <w:bCs/>
        <w:color w:val="000000"/>
      </w:rPr>
      <w:tblPr/>
      <w:tcPr>
        <w:shd w:val="clear" w:color="auto" w:fill="7ECBFF"/>
      </w:tcPr>
    </w:tblStylePr>
    <w:tblStylePr w:type="firstCol">
      <w:rPr>
        <w:rFonts w:cs="Times New Roman"/>
        <w:color w:val="0072BC"/>
      </w:rPr>
      <w:tblPr/>
      <w:tcPr>
        <w:shd w:val="clear" w:color="auto" w:fill="00548C"/>
      </w:tcPr>
    </w:tblStylePr>
    <w:tblStylePr w:type="lastCol">
      <w:rPr>
        <w:rFonts w:cs="Times New Roman"/>
        <w:color w:val="0072BC"/>
      </w:rPr>
      <w:tblPr/>
      <w:tcPr>
        <w:shd w:val="clear" w:color="auto" w:fill="00548C"/>
      </w:tc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Kolorowasiatkaakcent2">
    <w:name w:val="Colorful Grid Accent 2"/>
    <w:basedOn w:val="Standardowy"/>
    <w:uiPriority w:val="99"/>
    <w:semiHidden/>
    <w:rsid w:val="00DC4033"/>
    <w:pPr>
      <w:spacing w:after="0" w:line="240" w:lineRule="auto"/>
    </w:pPr>
    <w:rPr>
      <w:color w:val="000000"/>
      <w:sz w:val="20"/>
      <w:szCs w:val="20"/>
    </w:rPr>
    <w:tblPr>
      <w:tblStyleRowBandSize w:val="1"/>
      <w:tblStyleColBandSize w:val="1"/>
      <w:tblInd w:w="0" w:type="nil"/>
      <w:tblBorders>
        <w:insideH w:val="single" w:sz="4" w:space="0" w:color="0072BC"/>
      </w:tblBorders>
    </w:tblPr>
    <w:tcPr>
      <w:shd w:val="clear" w:color="auto" w:fill="FFBFBF"/>
    </w:tcPr>
    <w:tblStylePr w:type="firstRow">
      <w:rPr>
        <w:rFonts w:cs="Times New Roman"/>
        <w:b/>
        <w:bCs/>
      </w:rPr>
      <w:tblPr/>
      <w:tcPr>
        <w:shd w:val="clear" w:color="auto" w:fill="FF7F7F"/>
      </w:tcPr>
    </w:tblStylePr>
    <w:tblStylePr w:type="lastRow">
      <w:rPr>
        <w:rFonts w:cs="Times New Roman"/>
        <w:b/>
        <w:bCs/>
        <w:color w:val="000000"/>
      </w:rPr>
      <w:tblPr/>
      <w:tcPr>
        <w:shd w:val="clear" w:color="auto" w:fill="FF7F7F"/>
      </w:tcPr>
    </w:tblStylePr>
    <w:tblStylePr w:type="firstCol">
      <w:rPr>
        <w:rFonts w:cs="Times New Roman"/>
        <w:color w:val="0072BC"/>
      </w:rPr>
      <w:tblPr/>
      <w:tcPr>
        <w:shd w:val="clear" w:color="auto" w:fill="8F0000"/>
      </w:tcPr>
    </w:tblStylePr>
    <w:tblStylePr w:type="lastCol">
      <w:rPr>
        <w:rFonts w:cs="Times New Roman"/>
        <w:color w:val="0072BC"/>
      </w:rPr>
      <w:tblPr/>
      <w:tcPr>
        <w:shd w:val="clear" w:color="auto" w:fill="8F0000"/>
      </w:tc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Kolorowasiatkaakcent3">
    <w:name w:val="Colorful Grid Accent 3"/>
    <w:basedOn w:val="Standardowy"/>
    <w:uiPriority w:val="99"/>
    <w:semiHidden/>
    <w:rsid w:val="00DC4033"/>
    <w:pPr>
      <w:spacing w:after="0" w:line="240" w:lineRule="auto"/>
    </w:pPr>
    <w:rPr>
      <w:color w:val="000000"/>
      <w:sz w:val="20"/>
      <w:szCs w:val="20"/>
    </w:rPr>
    <w:tblPr>
      <w:tblStyleRowBandSize w:val="1"/>
      <w:tblStyleColBandSize w:val="1"/>
      <w:tblInd w:w="0" w:type="nil"/>
      <w:tblBorders>
        <w:insideH w:val="single" w:sz="4" w:space="0" w:color="0072BC"/>
      </w:tblBorders>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Kolorowasiatkaakcent4">
    <w:name w:val="Colorful Grid Accent 4"/>
    <w:basedOn w:val="Standardowy"/>
    <w:uiPriority w:val="99"/>
    <w:semiHidden/>
    <w:rsid w:val="00DC4033"/>
    <w:pPr>
      <w:spacing w:after="0" w:line="240" w:lineRule="auto"/>
    </w:pPr>
    <w:rPr>
      <w:color w:val="000000"/>
      <w:sz w:val="20"/>
      <w:szCs w:val="20"/>
    </w:rPr>
    <w:tblPr>
      <w:tblStyleRowBandSize w:val="1"/>
      <w:tblStyleColBandSize w:val="1"/>
      <w:tblInd w:w="0" w:type="nil"/>
      <w:tblBorders>
        <w:insideH w:val="single" w:sz="4" w:space="0" w:color="0072BC"/>
      </w:tblBorders>
    </w:tblPr>
    <w:tcPr>
      <w:shd w:val="clear" w:color="auto" w:fill="EAEAEA"/>
    </w:tcPr>
    <w:tblStylePr w:type="firstRow">
      <w:rPr>
        <w:rFonts w:cs="Times New Roman"/>
        <w:b/>
        <w:bCs/>
      </w:rPr>
      <w:tblPr/>
      <w:tcPr>
        <w:shd w:val="clear" w:color="auto" w:fill="D5D5D5"/>
      </w:tcPr>
    </w:tblStylePr>
    <w:tblStylePr w:type="lastRow">
      <w:rPr>
        <w:rFonts w:cs="Times New Roman"/>
        <w:b/>
        <w:bCs/>
        <w:color w:val="000000"/>
      </w:rPr>
      <w:tblPr/>
      <w:tcPr>
        <w:shd w:val="clear" w:color="auto" w:fill="D5D5D5"/>
      </w:tcPr>
    </w:tblStylePr>
    <w:tblStylePr w:type="firstCol">
      <w:rPr>
        <w:rFonts w:cs="Times New Roman"/>
        <w:color w:val="0072BC"/>
      </w:rPr>
      <w:tblPr/>
      <w:tcPr>
        <w:shd w:val="clear" w:color="auto" w:fill="707070"/>
      </w:tcPr>
    </w:tblStylePr>
    <w:tblStylePr w:type="lastCol">
      <w:rPr>
        <w:rFonts w:cs="Times New Roman"/>
        <w:color w:val="0072BC"/>
      </w:rPr>
      <w:tblPr/>
      <w:tcPr>
        <w:shd w:val="clear" w:color="auto" w:fill="707070"/>
      </w:tc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Kolorowasiatkaakcent5">
    <w:name w:val="Colorful Grid Accent 5"/>
    <w:basedOn w:val="Standardowy"/>
    <w:uiPriority w:val="99"/>
    <w:semiHidden/>
    <w:rsid w:val="00DC4033"/>
    <w:pPr>
      <w:spacing w:after="0" w:line="240" w:lineRule="auto"/>
    </w:pPr>
    <w:rPr>
      <w:color w:val="000000"/>
      <w:sz w:val="20"/>
      <w:szCs w:val="20"/>
    </w:rPr>
    <w:tblPr>
      <w:tblStyleRowBandSize w:val="1"/>
      <w:tblStyleColBandSize w:val="1"/>
      <w:tblInd w:w="0" w:type="nil"/>
      <w:tblBorders>
        <w:insideH w:val="single" w:sz="4" w:space="0" w:color="0072BC"/>
      </w:tblBorders>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Kolorowasiatkaakcent6">
    <w:name w:val="Colorful Grid Accent 6"/>
    <w:basedOn w:val="Standardowy"/>
    <w:uiPriority w:val="99"/>
    <w:semiHidden/>
    <w:rsid w:val="00DC4033"/>
    <w:pPr>
      <w:spacing w:after="0" w:line="240" w:lineRule="auto"/>
    </w:pPr>
    <w:rPr>
      <w:color w:val="000000"/>
      <w:sz w:val="20"/>
      <w:szCs w:val="20"/>
    </w:rPr>
    <w:tblPr>
      <w:tblStyleRowBandSize w:val="1"/>
      <w:tblStyleColBandSize w:val="1"/>
      <w:tblInd w:w="0" w:type="nil"/>
      <w:tblBorders>
        <w:insideH w:val="single" w:sz="4" w:space="0" w:color="0072BC"/>
      </w:tblBorders>
    </w:tblPr>
    <w:tcPr>
      <w:shd w:val="clear" w:color="auto" w:fill="DBDBDB"/>
    </w:tcPr>
    <w:tblStylePr w:type="firstRow">
      <w:rPr>
        <w:rFonts w:cs="Times New Roman"/>
        <w:b/>
        <w:bCs/>
      </w:rPr>
      <w:tblPr/>
      <w:tcPr>
        <w:shd w:val="clear" w:color="auto" w:fill="B7B7B7"/>
      </w:tcPr>
    </w:tblStylePr>
    <w:tblStylePr w:type="lastRow">
      <w:rPr>
        <w:rFonts w:cs="Times New Roman"/>
        <w:b/>
        <w:bCs/>
        <w:color w:val="000000"/>
      </w:rPr>
      <w:tblPr/>
      <w:tcPr>
        <w:shd w:val="clear" w:color="auto" w:fill="B7B7B7"/>
      </w:tcPr>
    </w:tblStylePr>
    <w:tblStylePr w:type="firstCol">
      <w:rPr>
        <w:rFonts w:cs="Times New Roman"/>
        <w:color w:val="0072BC"/>
      </w:rPr>
      <w:tblPr/>
      <w:tcPr>
        <w:shd w:val="clear" w:color="auto" w:fill="393939"/>
      </w:tcPr>
    </w:tblStylePr>
    <w:tblStylePr w:type="lastCol">
      <w:rPr>
        <w:rFonts w:cs="Times New Roman"/>
        <w:color w:val="0072BC"/>
      </w:rPr>
      <w:tblPr/>
      <w:tcPr>
        <w:shd w:val="clear" w:color="auto" w:fill="393939"/>
      </w:tc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Kolorowalista">
    <w:name w:val="Colorful List"/>
    <w:basedOn w:val="Standardowy"/>
    <w:uiPriority w:val="99"/>
    <w:semiHidden/>
    <w:rsid w:val="00DC4033"/>
    <w:pPr>
      <w:spacing w:after="0" w:line="240" w:lineRule="auto"/>
    </w:pPr>
    <w:rPr>
      <w:color w:val="000000"/>
      <w:sz w:val="20"/>
      <w:szCs w:val="20"/>
    </w:rPr>
    <w:tblPr>
      <w:tblStyleRowBandSize w:val="1"/>
      <w:tblStyleColBandSize w:val="1"/>
      <w:tblInd w:w="0" w:type="nil"/>
    </w:tblPr>
    <w:tcPr>
      <w:shd w:val="clear" w:color="auto" w:fill="E6E6E6"/>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Kolorowalistaakcent1">
    <w:name w:val="Colorful List Accent 1"/>
    <w:basedOn w:val="Standardowy"/>
    <w:uiPriority w:val="99"/>
    <w:semiHidden/>
    <w:rsid w:val="00DC4033"/>
    <w:pPr>
      <w:spacing w:after="0" w:line="240" w:lineRule="auto"/>
    </w:pPr>
    <w:rPr>
      <w:color w:val="000000"/>
      <w:sz w:val="20"/>
      <w:szCs w:val="20"/>
    </w:rPr>
    <w:tblPr>
      <w:tblStyleRowBandSize w:val="1"/>
      <w:tblStyleColBandSize w:val="1"/>
      <w:tblInd w:w="0" w:type="nil"/>
    </w:tblPr>
    <w:tcPr>
      <w:shd w:val="clear" w:color="auto" w:fill="DFF2F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AFDFFF"/>
      </w:tcPr>
    </w:tblStylePr>
    <w:tblStylePr w:type="band1Horz">
      <w:rPr>
        <w:rFonts w:cs="Times New Roman"/>
      </w:rPr>
      <w:tblPr/>
      <w:tcPr>
        <w:shd w:val="clear" w:color="auto" w:fill="BEE5FF"/>
      </w:tcPr>
    </w:tblStylePr>
  </w:style>
  <w:style w:type="table" w:styleId="Kolorowalistaakcent2">
    <w:name w:val="Colorful List Accent 2"/>
    <w:basedOn w:val="Standardowy"/>
    <w:uiPriority w:val="99"/>
    <w:semiHidden/>
    <w:rsid w:val="00DC4033"/>
    <w:pPr>
      <w:spacing w:after="0" w:line="240" w:lineRule="auto"/>
    </w:pPr>
    <w:rPr>
      <w:color w:val="000000"/>
      <w:sz w:val="20"/>
      <w:szCs w:val="20"/>
    </w:rPr>
    <w:tblPr>
      <w:tblStyleRowBandSize w:val="1"/>
      <w:tblStyleColBandSize w:val="1"/>
      <w:tblInd w:w="0" w:type="nil"/>
    </w:tblPr>
    <w:tcPr>
      <w:shd w:val="clear" w:color="auto" w:fill="FFDFD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B0B0"/>
      </w:tcPr>
    </w:tblStylePr>
    <w:tblStylePr w:type="band1Horz">
      <w:rPr>
        <w:rFonts w:cs="Times New Roman"/>
      </w:rPr>
      <w:tblPr/>
      <w:tcPr>
        <w:shd w:val="clear" w:color="auto" w:fill="FFBFBF"/>
      </w:tcPr>
    </w:tblStylePr>
  </w:style>
  <w:style w:type="table" w:styleId="Kolorowalistaakcent3">
    <w:name w:val="Colorful List Accent 3"/>
    <w:basedOn w:val="Standardowy"/>
    <w:uiPriority w:val="99"/>
    <w:semiHidden/>
    <w:rsid w:val="00DC4033"/>
    <w:pPr>
      <w:spacing w:after="0" w:line="240" w:lineRule="auto"/>
    </w:pPr>
    <w:rPr>
      <w:color w:val="000000"/>
      <w:sz w:val="20"/>
      <w:szCs w:val="20"/>
    </w:rPr>
    <w:tblPr>
      <w:tblStyleRowBandSize w:val="1"/>
      <w:tblStyleColBandSize w:val="1"/>
      <w:tblInd w:w="0" w:type="nil"/>
    </w:tblPr>
    <w:tcPr>
      <w:shd w:val="clear" w:color="auto" w:fill="EFEFEF"/>
    </w:tcPr>
    <w:tblStylePr w:type="firstRow">
      <w:rPr>
        <w:rFonts w:cs="Times New Roman"/>
        <w:b/>
        <w:bCs/>
        <w:color w:val="0072BC"/>
      </w:rPr>
      <w:tblPr/>
      <w:tcPr>
        <w:tcBorders>
          <w:bottom w:val="single" w:sz="12" w:space="0" w:color="0072BC"/>
        </w:tcBorders>
        <w:shd w:val="clear" w:color="auto" w:fill="787878"/>
      </w:tcPr>
    </w:tblStylePr>
    <w:tblStylePr w:type="lastRow">
      <w:rPr>
        <w:rFonts w:cs="Times New Roman"/>
        <w:b/>
        <w:bCs/>
        <w:color w:val="787878"/>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Kolorowalistaakcent4">
    <w:name w:val="Colorful List Accent 4"/>
    <w:basedOn w:val="Standardowy"/>
    <w:uiPriority w:val="99"/>
    <w:semiHidden/>
    <w:rsid w:val="00DC4033"/>
    <w:pPr>
      <w:spacing w:after="0" w:line="240" w:lineRule="auto"/>
    </w:pPr>
    <w:rPr>
      <w:color w:val="000000"/>
      <w:sz w:val="20"/>
      <w:szCs w:val="20"/>
    </w:rPr>
    <w:tblPr>
      <w:tblStyleRowBandSize w:val="1"/>
      <w:tblStyleColBandSize w:val="1"/>
      <w:tblInd w:w="0" w:type="nil"/>
    </w:tblPr>
    <w:tcPr>
      <w:shd w:val="clear" w:color="auto" w:fill="F4F4F4"/>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5E5E5"/>
      </w:tcPr>
    </w:tblStylePr>
    <w:tblStylePr w:type="band1Horz">
      <w:rPr>
        <w:rFonts w:cs="Times New Roman"/>
      </w:rPr>
      <w:tblPr/>
      <w:tcPr>
        <w:shd w:val="clear" w:color="auto" w:fill="EAEAEA"/>
      </w:tcPr>
    </w:tblStylePr>
  </w:style>
  <w:style w:type="table" w:styleId="Kolorowalistaakcent5">
    <w:name w:val="Colorful List Accent 5"/>
    <w:basedOn w:val="Standardowy"/>
    <w:uiPriority w:val="99"/>
    <w:semiHidden/>
    <w:rsid w:val="00DC4033"/>
    <w:pPr>
      <w:spacing w:after="0" w:line="240" w:lineRule="auto"/>
    </w:pPr>
    <w:rPr>
      <w:color w:val="000000"/>
      <w:sz w:val="20"/>
      <w:szCs w:val="20"/>
    </w:rPr>
    <w:tblPr>
      <w:tblStyleRowBandSize w:val="1"/>
      <w:tblStyleColBandSize w:val="1"/>
      <w:tblInd w:w="0" w:type="nil"/>
    </w:tblPr>
    <w:tcPr>
      <w:shd w:val="clear" w:color="auto" w:fill="EFEFEF"/>
    </w:tcPr>
    <w:tblStylePr w:type="firstRow">
      <w:rPr>
        <w:rFonts w:cs="Times New Roman"/>
        <w:b/>
        <w:bCs/>
        <w:color w:val="0072BC"/>
      </w:rPr>
      <w:tblPr/>
      <w:tcPr>
        <w:tcBorders>
          <w:bottom w:val="single" w:sz="12" w:space="0" w:color="0072BC"/>
        </w:tcBorders>
        <w:shd w:val="clear" w:color="auto" w:fill="3D3D3D"/>
      </w:tcPr>
    </w:tblStylePr>
    <w:tblStylePr w:type="lastRow">
      <w:rPr>
        <w:rFonts w:cs="Times New Roman"/>
        <w:b/>
        <w:bCs/>
        <w:color w:val="3D3D3D"/>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Kolorowalistaakcent6">
    <w:name w:val="Colorful List Accent 6"/>
    <w:basedOn w:val="Standardowy"/>
    <w:uiPriority w:val="99"/>
    <w:semiHidden/>
    <w:rsid w:val="00DC4033"/>
    <w:pPr>
      <w:spacing w:after="0" w:line="240" w:lineRule="auto"/>
    </w:pPr>
    <w:rPr>
      <w:color w:val="000000"/>
      <w:sz w:val="20"/>
      <w:szCs w:val="20"/>
    </w:rPr>
    <w:tblPr>
      <w:tblStyleRowBandSize w:val="1"/>
      <w:tblStyleColBandSize w:val="1"/>
      <w:tblInd w:w="0" w:type="nil"/>
    </w:tblPr>
    <w:tcPr>
      <w:shd w:val="clear" w:color="auto" w:fill="EDEDED"/>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3D3"/>
      </w:tcPr>
    </w:tblStylePr>
    <w:tblStylePr w:type="band1Horz">
      <w:rPr>
        <w:rFonts w:cs="Times New Roman"/>
      </w:rPr>
      <w:tblPr/>
      <w:tcPr>
        <w:shd w:val="clear" w:color="auto" w:fill="DBDBDB"/>
      </w:tcPr>
    </w:tblStylePr>
  </w:style>
  <w:style w:type="table" w:styleId="Kolorowecieniowanie">
    <w:name w:val="Colorful Shading"/>
    <w:basedOn w:val="Standardowy"/>
    <w:uiPriority w:val="99"/>
    <w:semiHidden/>
    <w:rsid w:val="00DC4033"/>
    <w:pPr>
      <w:spacing w:after="0" w:line="240" w:lineRule="auto"/>
    </w:pPr>
    <w:rPr>
      <w:color w:val="000000"/>
      <w:sz w:val="20"/>
      <w:szCs w:val="20"/>
    </w:rPr>
    <w:tblPr>
      <w:tblStyleRowBandSize w:val="1"/>
      <w:tblStyleColBandSize w:val="1"/>
      <w:tblInd w:w="0" w:type="nil"/>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0000"/>
      </w:tcPr>
    </w:tblStylePr>
    <w:tblStylePr w:type="firstCol">
      <w:rPr>
        <w:rFonts w:cs="Times New Roman"/>
        <w:color w:val="0072BC"/>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0072BC"/>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Kolorowecieniowanieakcent1">
    <w:name w:val="Colorful Shading Accent 1"/>
    <w:basedOn w:val="Standardowy"/>
    <w:uiPriority w:val="99"/>
    <w:semiHidden/>
    <w:rsid w:val="00DC4033"/>
    <w:pPr>
      <w:spacing w:after="0" w:line="240" w:lineRule="auto"/>
    </w:pPr>
    <w:rPr>
      <w:color w:val="000000"/>
      <w:sz w:val="20"/>
      <w:szCs w:val="20"/>
    </w:rPr>
    <w:tblPr>
      <w:tblStyleRowBandSize w:val="1"/>
      <w:tblStyleColBandSize w:val="1"/>
      <w:tblInd w:w="0" w:type="nil"/>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4470"/>
      </w:tcPr>
    </w:tblStylePr>
    <w:tblStylePr w:type="firstCol">
      <w:rPr>
        <w:rFonts w:cs="Times New Roman"/>
        <w:color w:val="0072BC"/>
      </w:rPr>
      <w:tblPr/>
      <w:tcPr>
        <w:tcBorders>
          <w:top w:val="nil"/>
          <w:left w:val="nil"/>
          <w:bottom w:val="nil"/>
          <w:right w:val="nil"/>
          <w:insideH w:val="single" w:sz="4" w:space="0" w:color="004470"/>
          <w:insideV w:val="nil"/>
        </w:tcBorders>
        <w:shd w:val="clear" w:color="auto" w:fill="004470"/>
      </w:tcPr>
    </w:tblStylePr>
    <w:tblStylePr w:type="lastCol">
      <w:rPr>
        <w:rFonts w:cs="Times New Roman"/>
        <w:color w:val="0072BC"/>
      </w:rPr>
      <w:tblPr/>
      <w:tcPr>
        <w:tcBorders>
          <w:top w:val="nil"/>
          <w:left w:val="nil"/>
          <w:bottom w:val="nil"/>
          <w:right w:val="nil"/>
          <w:insideH w:val="nil"/>
          <w:insideV w:val="nil"/>
        </w:tcBorders>
        <w:shd w:val="clear" w:color="auto" w:fill="004470"/>
      </w:tcPr>
    </w:tblStylePr>
    <w:tblStylePr w:type="band1Vert">
      <w:rPr>
        <w:rFonts w:cs="Times New Roman"/>
      </w:rPr>
      <w:tblPr/>
      <w:tcPr>
        <w:shd w:val="clear" w:color="auto" w:fill="7ECBFF"/>
      </w:tcPr>
    </w:tblStylePr>
    <w:tblStylePr w:type="band1Horz">
      <w:rPr>
        <w:rFonts w:cs="Times New Roman"/>
      </w:rPr>
      <w:tblPr/>
      <w:tcPr>
        <w:shd w:val="clear" w:color="auto" w:fill="5EBFFF"/>
      </w:tcPr>
    </w:tblStylePr>
    <w:tblStylePr w:type="neCell">
      <w:rPr>
        <w:rFonts w:cs="Times New Roman"/>
        <w:color w:val="000000"/>
      </w:rPr>
    </w:tblStylePr>
    <w:tblStylePr w:type="nwCell">
      <w:rPr>
        <w:rFonts w:cs="Times New Roman"/>
        <w:color w:val="000000"/>
      </w:rPr>
    </w:tblStylePr>
  </w:style>
  <w:style w:type="table" w:styleId="Kolorowecieniowanieakcent2">
    <w:name w:val="Colorful Shading Accent 2"/>
    <w:basedOn w:val="Standardowy"/>
    <w:uiPriority w:val="99"/>
    <w:semiHidden/>
    <w:rsid w:val="00DC4033"/>
    <w:pPr>
      <w:spacing w:after="0" w:line="240" w:lineRule="auto"/>
    </w:pPr>
    <w:rPr>
      <w:color w:val="000000"/>
      <w:sz w:val="20"/>
      <w:szCs w:val="20"/>
    </w:rPr>
    <w:tblPr>
      <w:tblStyleRowBandSize w:val="1"/>
      <w:tblStyleColBandSize w:val="1"/>
      <w:tblInd w:w="0" w:type="nil"/>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730000"/>
      </w:tcPr>
    </w:tblStylePr>
    <w:tblStylePr w:type="firstCol">
      <w:rPr>
        <w:rFonts w:cs="Times New Roman"/>
        <w:color w:val="0072BC"/>
      </w:rPr>
      <w:tblPr/>
      <w:tcPr>
        <w:tcBorders>
          <w:top w:val="nil"/>
          <w:left w:val="nil"/>
          <w:bottom w:val="nil"/>
          <w:right w:val="nil"/>
          <w:insideH w:val="single" w:sz="4" w:space="0" w:color="730000"/>
          <w:insideV w:val="nil"/>
        </w:tcBorders>
        <w:shd w:val="clear" w:color="auto" w:fill="730000"/>
      </w:tcPr>
    </w:tblStylePr>
    <w:tblStylePr w:type="lastCol">
      <w:rPr>
        <w:rFonts w:cs="Times New Roman"/>
        <w:color w:val="0072BC"/>
      </w:rPr>
      <w:tblPr/>
      <w:tcPr>
        <w:tcBorders>
          <w:top w:val="nil"/>
          <w:left w:val="nil"/>
          <w:bottom w:val="nil"/>
          <w:right w:val="nil"/>
          <w:insideH w:val="nil"/>
          <w:insideV w:val="nil"/>
        </w:tcBorders>
        <w:shd w:val="clear" w:color="auto" w:fill="730000"/>
      </w:tcPr>
    </w:tblStylePr>
    <w:tblStylePr w:type="band1Vert">
      <w:rPr>
        <w:rFonts w:cs="Times New Roman"/>
      </w:rPr>
      <w:tblPr/>
      <w:tcPr>
        <w:shd w:val="clear" w:color="auto" w:fill="FF7F7F"/>
      </w:tcPr>
    </w:tblStylePr>
    <w:tblStylePr w:type="band1Horz">
      <w:rPr>
        <w:rFonts w:cs="Times New Roman"/>
      </w:rPr>
      <w:tblPr/>
      <w:tcPr>
        <w:shd w:val="clear" w:color="auto" w:fill="FF6060"/>
      </w:tcPr>
    </w:tblStylePr>
    <w:tblStylePr w:type="neCell">
      <w:rPr>
        <w:rFonts w:cs="Times New Roman"/>
        <w:color w:val="000000"/>
      </w:rPr>
    </w:tblStylePr>
    <w:tblStylePr w:type="nwCell">
      <w:rPr>
        <w:rFonts w:cs="Times New Roman"/>
        <w:color w:val="000000"/>
      </w:rPr>
    </w:tblStylePr>
  </w:style>
  <w:style w:type="table" w:styleId="Kolorowecieniowanieakcent3">
    <w:name w:val="Colorful Shading Accent 3"/>
    <w:basedOn w:val="Standardowy"/>
    <w:uiPriority w:val="99"/>
    <w:semiHidden/>
    <w:rsid w:val="00DC4033"/>
    <w:pPr>
      <w:spacing w:after="0" w:line="240" w:lineRule="auto"/>
    </w:pPr>
    <w:rPr>
      <w:color w:val="000000"/>
      <w:sz w:val="20"/>
      <w:szCs w:val="20"/>
    </w:rPr>
    <w:tblPr>
      <w:tblStyleRowBandSize w:val="1"/>
      <w:tblStyleColBandSize w:val="1"/>
      <w:tblInd w:w="0" w:type="nil"/>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rFonts w:cs="Times New Roman"/>
        <w:b/>
        <w:bCs/>
      </w:rPr>
      <w:tblPr/>
      <w:tcPr>
        <w:tcBorders>
          <w:top w:val="nil"/>
          <w:left w:val="nil"/>
          <w:bottom w:val="single" w:sz="24" w:space="0" w:color="969696"/>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style>
  <w:style w:type="table" w:styleId="Kolorowecieniowanieakcent4">
    <w:name w:val="Colorful Shading Accent 4"/>
    <w:basedOn w:val="Standardowy"/>
    <w:uiPriority w:val="99"/>
    <w:semiHidden/>
    <w:rsid w:val="00DC4033"/>
    <w:pPr>
      <w:spacing w:after="0" w:line="240" w:lineRule="auto"/>
    </w:pPr>
    <w:rPr>
      <w:color w:val="000000"/>
      <w:sz w:val="20"/>
      <w:szCs w:val="20"/>
    </w:rPr>
    <w:tblPr>
      <w:tblStyleRowBandSize w:val="1"/>
      <w:tblStyleColBandSize w:val="1"/>
      <w:tblInd w:w="0" w:type="nil"/>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5A5A5A"/>
      </w:tcPr>
    </w:tblStylePr>
    <w:tblStylePr w:type="firstCol">
      <w:rPr>
        <w:rFonts w:cs="Times New Roman"/>
        <w:color w:val="0072BC"/>
      </w:rPr>
      <w:tblPr/>
      <w:tcPr>
        <w:tcBorders>
          <w:top w:val="nil"/>
          <w:left w:val="nil"/>
          <w:bottom w:val="nil"/>
          <w:right w:val="nil"/>
          <w:insideH w:val="single" w:sz="4" w:space="0" w:color="5A5A5A"/>
          <w:insideV w:val="nil"/>
        </w:tcBorders>
        <w:shd w:val="clear" w:color="auto" w:fill="5A5A5A"/>
      </w:tcPr>
    </w:tblStylePr>
    <w:tblStylePr w:type="lastCol">
      <w:rPr>
        <w:rFonts w:cs="Times New Roman"/>
        <w:color w:val="0072BC"/>
      </w:rPr>
      <w:tblPr/>
      <w:tcPr>
        <w:tcBorders>
          <w:top w:val="nil"/>
          <w:left w:val="nil"/>
          <w:bottom w:val="nil"/>
          <w:right w:val="nil"/>
          <w:insideH w:val="nil"/>
          <w:insideV w:val="nil"/>
        </w:tcBorders>
        <w:shd w:val="clear" w:color="auto" w:fill="5A5A5A"/>
      </w:tcPr>
    </w:tblStylePr>
    <w:tblStylePr w:type="band1Vert">
      <w:rPr>
        <w:rFonts w:cs="Times New Roman"/>
      </w:rPr>
      <w:tblPr/>
      <w:tcPr>
        <w:shd w:val="clear" w:color="auto" w:fill="D5D5D5"/>
      </w:tcPr>
    </w:tblStylePr>
    <w:tblStylePr w:type="band1Horz">
      <w:rPr>
        <w:rFonts w:cs="Times New Roman"/>
      </w:rPr>
      <w:tblPr/>
      <w:tcPr>
        <w:shd w:val="clear" w:color="auto" w:fill="CACACA"/>
      </w:tcPr>
    </w:tblStylePr>
    <w:tblStylePr w:type="neCell">
      <w:rPr>
        <w:rFonts w:cs="Times New Roman"/>
        <w:color w:val="000000"/>
      </w:rPr>
    </w:tblStylePr>
    <w:tblStylePr w:type="nwCell">
      <w:rPr>
        <w:rFonts w:cs="Times New Roman"/>
        <w:color w:val="000000"/>
      </w:rPr>
    </w:tblStylePr>
  </w:style>
  <w:style w:type="table" w:styleId="Kolorowecieniowanieakcent5">
    <w:name w:val="Colorful Shading Accent 5"/>
    <w:basedOn w:val="Standardowy"/>
    <w:uiPriority w:val="99"/>
    <w:semiHidden/>
    <w:rsid w:val="00DC4033"/>
    <w:pPr>
      <w:spacing w:after="0" w:line="240" w:lineRule="auto"/>
    </w:pPr>
    <w:rPr>
      <w:color w:val="000000"/>
      <w:sz w:val="20"/>
      <w:szCs w:val="20"/>
    </w:rPr>
    <w:tblPr>
      <w:tblStyleRowBandSize w:val="1"/>
      <w:tblStyleColBandSize w:val="1"/>
      <w:tblInd w:w="0" w:type="nil"/>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rFonts w:cs="Times New Roman"/>
        <w:b/>
        <w:bCs/>
      </w:rPr>
      <w:tblPr/>
      <w:tcPr>
        <w:tcBorders>
          <w:top w:val="nil"/>
          <w:left w:val="nil"/>
          <w:bottom w:val="single" w:sz="24" w:space="0" w:color="4D4D4D"/>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tblStylePr w:type="neCell">
      <w:rPr>
        <w:rFonts w:cs="Times New Roman"/>
        <w:color w:val="000000"/>
      </w:rPr>
    </w:tblStylePr>
    <w:tblStylePr w:type="nwCell">
      <w:rPr>
        <w:rFonts w:cs="Times New Roman"/>
        <w:color w:val="000000"/>
      </w:rPr>
    </w:tblStylePr>
  </w:style>
  <w:style w:type="table" w:styleId="Kolorowecieniowanieakcent6">
    <w:name w:val="Colorful Shading Accent 6"/>
    <w:basedOn w:val="Standardowy"/>
    <w:uiPriority w:val="99"/>
    <w:semiHidden/>
    <w:rsid w:val="00DC4033"/>
    <w:pPr>
      <w:spacing w:after="0" w:line="240" w:lineRule="auto"/>
    </w:pPr>
    <w:rPr>
      <w:color w:val="000000"/>
      <w:sz w:val="20"/>
      <w:szCs w:val="20"/>
    </w:rPr>
    <w:tblPr>
      <w:tblStyleRowBandSize w:val="1"/>
      <w:tblStyleColBandSize w:val="1"/>
      <w:tblInd w:w="0" w:type="nil"/>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2E2E2E"/>
      </w:tcPr>
    </w:tblStylePr>
    <w:tblStylePr w:type="firstCol">
      <w:rPr>
        <w:rFonts w:cs="Times New Roman"/>
        <w:color w:val="0072BC"/>
      </w:rPr>
      <w:tblPr/>
      <w:tcPr>
        <w:tcBorders>
          <w:top w:val="nil"/>
          <w:left w:val="nil"/>
          <w:bottom w:val="nil"/>
          <w:right w:val="nil"/>
          <w:insideH w:val="single" w:sz="4" w:space="0" w:color="2E2E2E"/>
          <w:insideV w:val="nil"/>
        </w:tcBorders>
        <w:shd w:val="clear" w:color="auto" w:fill="2E2E2E"/>
      </w:tcPr>
    </w:tblStylePr>
    <w:tblStylePr w:type="lastCol">
      <w:rPr>
        <w:rFonts w:cs="Times New Roman"/>
        <w:color w:val="0072BC"/>
      </w:rPr>
      <w:tblPr/>
      <w:tcPr>
        <w:tcBorders>
          <w:top w:val="nil"/>
          <w:left w:val="nil"/>
          <w:bottom w:val="nil"/>
          <w:right w:val="nil"/>
          <w:insideH w:val="nil"/>
          <w:insideV w:val="nil"/>
        </w:tcBorders>
        <w:shd w:val="clear" w:color="auto" w:fill="2E2E2E"/>
      </w:tcPr>
    </w:tblStylePr>
    <w:tblStylePr w:type="band1Vert">
      <w:rPr>
        <w:rFonts w:cs="Times New Roman"/>
      </w:rPr>
      <w:tblPr/>
      <w:tcPr>
        <w:shd w:val="clear" w:color="auto" w:fill="B7B7B7"/>
      </w:tcPr>
    </w:tblStylePr>
    <w:tblStylePr w:type="band1Horz">
      <w:rPr>
        <w:rFonts w:cs="Times New Roman"/>
      </w:rPr>
      <w:tblPr/>
      <w:tcPr>
        <w:shd w:val="clear" w:color="auto" w:fill="A6A6A6"/>
      </w:tcPr>
    </w:tblStylePr>
    <w:tblStylePr w:type="neCell">
      <w:rPr>
        <w:rFonts w:cs="Times New Roman"/>
        <w:color w:val="000000"/>
      </w:rPr>
    </w:tblStylePr>
    <w:tblStylePr w:type="nwCell">
      <w:rPr>
        <w:rFonts w:cs="Times New Roman"/>
        <w:color w:val="000000"/>
      </w:rPr>
    </w:tblStylePr>
  </w:style>
  <w:style w:type="character" w:styleId="Odwoaniedokomentarza">
    <w:name w:val="annotation reference"/>
    <w:basedOn w:val="Domylnaczcionkaakapitu"/>
    <w:uiPriority w:val="99"/>
    <w:semiHidden/>
    <w:rsid w:val="00DC4033"/>
    <w:rPr>
      <w:rFonts w:cs="Times New Roman"/>
      <w:sz w:val="16"/>
      <w:szCs w:val="16"/>
    </w:rPr>
  </w:style>
  <w:style w:type="paragraph" w:styleId="Tekstkomentarza">
    <w:name w:val="annotation text"/>
    <w:basedOn w:val="Normalny"/>
    <w:link w:val="TekstkomentarzaZnak"/>
    <w:uiPriority w:val="99"/>
    <w:semiHidden/>
    <w:rsid w:val="00DC4033"/>
    <w:rPr>
      <w:sz w:val="20"/>
      <w:szCs w:val="20"/>
      <w:lang w:eastAsia="pl-PL"/>
    </w:rPr>
  </w:style>
  <w:style w:type="character" w:customStyle="1" w:styleId="TekstkomentarzaZnak">
    <w:name w:val="Tekst komentarza Znak"/>
    <w:basedOn w:val="Domylnaczcionkaakapitu"/>
    <w:link w:val="Tekstkomentarza"/>
    <w:uiPriority w:val="99"/>
    <w:semiHidden/>
    <w:locked/>
    <w:rsid w:val="00DC4033"/>
    <w:rPr>
      <w:rFonts w:eastAsia="MS Mincho"/>
      <w:sz w:val="20"/>
    </w:rPr>
  </w:style>
  <w:style w:type="paragraph" w:styleId="Tematkomentarza">
    <w:name w:val="annotation subject"/>
    <w:basedOn w:val="Tekstkomentarza"/>
    <w:next w:val="Tekstkomentarza"/>
    <w:link w:val="TematkomentarzaZnak"/>
    <w:uiPriority w:val="99"/>
    <w:semiHidden/>
    <w:rsid w:val="00DC4033"/>
    <w:rPr>
      <w:b/>
      <w:bCs/>
    </w:rPr>
  </w:style>
  <w:style w:type="character" w:customStyle="1" w:styleId="TematkomentarzaZnak">
    <w:name w:val="Temat komentarza Znak"/>
    <w:basedOn w:val="TekstkomentarzaZnak"/>
    <w:link w:val="Tematkomentarza"/>
    <w:uiPriority w:val="99"/>
    <w:semiHidden/>
    <w:locked/>
    <w:rsid w:val="00DC4033"/>
    <w:rPr>
      <w:rFonts w:eastAsia="MS Mincho"/>
      <w:b/>
      <w:sz w:val="20"/>
    </w:rPr>
  </w:style>
  <w:style w:type="table" w:styleId="Ciemnalista">
    <w:name w:val="Dark List"/>
    <w:basedOn w:val="Standardowy"/>
    <w:uiPriority w:val="99"/>
    <w:semiHidden/>
    <w:rsid w:val="00DC4033"/>
    <w:pPr>
      <w:spacing w:after="0" w:line="240" w:lineRule="auto"/>
    </w:pPr>
    <w:rPr>
      <w:color w:val="0072BC"/>
      <w:sz w:val="20"/>
      <w:szCs w:val="20"/>
    </w:rPr>
    <w:tblPr>
      <w:tblStyleRowBandSize w:val="1"/>
      <w:tblStyleColBandSize w:val="1"/>
      <w:tblInd w:w="0" w:type="nil"/>
    </w:tblPr>
    <w:tcPr>
      <w:shd w:val="clear" w:color="auto" w:fill="0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0072BC"/>
          <w:insideH w:val="nil"/>
          <w:insideV w:val="nil"/>
        </w:tcBorders>
        <w:shd w:val="clear" w:color="auto" w:fill="000000"/>
      </w:tcPr>
    </w:tblStylePr>
    <w:tblStylePr w:type="lastCol">
      <w:rPr>
        <w:rFonts w:cs="Times New Roman"/>
      </w:rPr>
      <w:tblPr/>
      <w:tcPr>
        <w:tcBorders>
          <w:top w:val="nil"/>
          <w:left w:val="single" w:sz="18" w:space="0" w:color="0072BC"/>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Ciemnalista2akcent1">
    <w:name w:val="Dark List Accent 1"/>
    <w:basedOn w:val="Standardowy"/>
    <w:uiPriority w:val="99"/>
    <w:semiHidden/>
    <w:rsid w:val="00DC4033"/>
    <w:pPr>
      <w:spacing w:after="0" w:line="240" w:lineRule="auto"/>
    </w:pPr>
    <w:rPr>
      <w:color w:val="0072BC"/>
      <w:sz w:val="20"/>
      <w:szCs w:val="20"/>
    </w:rPr>
    <w:tblPr>
      <w:tblStyleRowBandSize w:val="1"/>
      <w:tblStyleColBandSize w:val="1"/>
      <w:tblInd w:w="0" w:type="nil"/>
    </w:tblPr>
    <w:tcPr>
      <w:shd w:val="clear" w:color="auto" w:fill="0072BC"/>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385D"/>
      </w:tcPr>
    </w:tblStylePr>
    <w:tblStylePr w:type="firstCol">
      <w:rPr>
        <w:rFonts w:cs="Times New Roman"/>
      </w:rPr>
      <w:tblPr/>
      <w:tcPr>
        <w:tcBorders>
          <w:top w:val="nil"/>
          <w:left w:val="nil"/>
          <w:bottom w:val="nil"/>
          <w:right w:val="single" w:sz="18" w:space="0" w:color="0072BC"/>
          <w:insideH w:val="nil"/>
          <w:insideV w:val="nil"/>
        </w:tcBorders>
        <w:shd w:val="clear" w:color="auto" w:fill="00548C"/>
      </w:tcPr>
    </w:tblStylePr>
    <w:tblStylePr w:type="lastCol">
      <w:rPr>
        <w:rFonts w:cs="Times New Roman"/>
      </w:rPr>
      <w:tblPr/>
      <w:tcPr>
        <w:tcBorders>
          <w:top w:val="nil"/>
          <w:left w:val="single" w:sz="18" w:space="0" w:color="0072BC"/>
          <w:bottom w:val="nil"/>
          <w:right w:val="nil"/>
          <w:insideH w:val="nil"/>
          <w:insideV w:val="nil"/>
        </w:tcBorders>
        <w:shd w:val="clear" w:color="auto" w:fill="00548C"/>
      </w:tcPr>
    </w:tblStylePr>
    <w:tblStylePr w:type="band1Vert">
      <w:rPr>
        <w:rFonts w:cs="Times New Roman"/>
      </w:rPr>
      <w:tblPr/>
      <w:tcPr>
        <w:tcBorders>
          <w:top w:val="nil"/>
          <w:left w:val="nil"/>
          <w:bottom w:val="nil"/>
          <w:right w:val="nil"/>
          <w:insideH w:val="nil"/>
          <w:insideV w:val="nil"/>
        </w:tcBorders>
        <w:shd w:val="clear" w:color="auto" w:fill="00548C"/>
      </w:tcPr>
    </w:tblStylePr>
    <w:tblStylePr w:type="band1Horz">
      <w:rPr>
        <w:rFonts w:cs="Times New Roman"/>
      </w:rPr>
      <w:tblPr/>
      <w:tcPr>
        <w:tcBorders>
          <w:top w:val="nil"/>
          <w:left w:val="nil"/>
          <w:bottom w:val="nil"/>
          <w:right w:val="nil"/>
          <w:insideH w:val="nil"/>
          <w:insideV w:val="nil"/>
        </w:tcBorders>
        <w:shd w:val="clear" w:color="auto" w:fill="00548C"/>
      </w:tcPr>
    </w:tblStylePr>
  </w:style>
  <w:style w:type="table" w:styleId="Ciemnalistaakcent2">
    <w:name w:val="Dark List Accent 2"/>
    <w:basedOn w:val="Standardowy"/>
    <w:uiPriority w:val="99"/>
    <w:semiHidden/>
    <w:rsid w:val="00DC4033"/>
    <w:pPr>
      <w:spacing w:after="0" w:line="240" w:lineRule="auto"/>
    </w:pPr>
    <w:rPr>
      <w:color w:val="0072BC"/>
      <w:sz w:val="20"/>
      <w:szCs w:val="20"/>
    </w:rPr>
    <w:tblPr>
      <w:tblStyleRowBandSize w:val="1"/>
      <w:tblStyleColBandSize w:val="1"/>
      <w:tblInd w:w="0" w:type="nil"/>
    </w:tblPr>
    <w:tcPr>
      <w:shd w:val="clear" w:color="auto" w:fill="C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5F0000"/>
      </w:tcPr>
    </w:tblStylePr>
    <w:tblStylePr w:type="firstCol">
      <w:rPr>
        <w:rFonts w:cs="Times New Roman"/>
      </w:rPr>
      <w:tblPr/>
      <w:tcPr>
        <w:tcBorders>
          <w:top w:val="nil"/>
          <w:left w:val="nil"/>
          <w:bottom w:val="nil"/>
          <w:right w:val="single" w:sz="18" w:space="0" w:color="0072BC"/>
          <w:insideH w:val="nil"/>
          <w:insideV w:val="nil"/>
        </w:tcBorders>
        <w:shd w:val="clear" w:color="auto" w:fill="8F0000"/>
      </w:tcPr>
    </w:tblStylePr>
    <w:tblStylePr w:type="lastCol">
      <w:rPr>
        <w:rFonts w:cs="Times New Roman"/>
      </w:rPr>
      <w:tblPr/>
      <w:tcPr>
        <w:tcBorders>
          <w:top w:val="nil"/>
          <w:left w:val="single" w:sz="18" w:space="0" w:color="0072BC"/>
          <w:bottom w:val="nil"/>
          <w:right w:val="nil"/>
          <w:insideH w:val="nil"/>
          <w:insideV w:val="nil"/>
        </w:tcBorders>
        <w:shd w:val="clear" w:color="auto" w:fill="8F0000"/>
      </w:tcPr>
    </w:tblStylePr>
    <w:tblStylePr w:type="band1Vert">
      <w:rPr>
        <w:rFonts w:cs="Times New Roman"/>
      </w:rPr>
      <w:tblPr/>
      <w:tcPr>
        <w:tcBorders>
          <w:top w:val="nil"/>
          <w:left w:val="nil"/>
          <w:bottom w:val="nil"/>
          <w:right w:val="nil"/>
          <w:insideH w:val="nil"/>
          <w:insideV w:val="nil"/>
        </w:tcBorders>
        <w:shd w:val="clear" w:color="auto" w:fill="8F0000"/>
      </w:tcPr>
    </w:tblStylePr>
    <w:tblStylePr w:type="band1Horz">
      <w:rPr>
        <w:rFonts w:cs="Times New Roman"/>
      </w:rPr>
      <w:tblPr/>
      <w:tcPr>
        <w:tcBorders>
          <w:top w:val="nil"/>
          <w:left w:val="nil"/>
          <w:bottom w:val="nil"/>
          <w:right w:val="nil"/>
          <w:insideH w:val="nil"/>
          <w:insideV w:val="nil"/>
        </w:tcBorders>
        <w:shd w:val="clear" w:color="auto" w:fill="8F0000"/>
      </w:tcPr>
    </w:tblStylePr>
  </w:style>
  <w:style w:type="table" w:styleId="Ciemnalistaakcent3">
    <w:name w:val="Dark List Accent 3"/>
    <w:basedOn w:val="Standardowy"/>
    <w:uiPriority w:val="99"/>
    <w:semiHidden/>
    <w:rsid w:val="00DC4033"/>
    <w:pPr>
      <w:spacing w:after="0" w:line="240" w:lineRule="auto"/>
    </w:pPr>
    <w:rPr>
      <w:color w:val="0072BC"/>
      <w:sz w:val="20"/>
      <w:szCs w:val="20"/>
    </w:rPr>
    <w:tblPr>
      <w:tblStyleRowBandSize w:val="1"/>
      <w:tblStyleColBandSize w:val="1"/>
      <w:tblInd w:w="0" w:type="nil"/>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Ciemnalistaakcent4">
    <w:name w:val="Dark List Accent 4"/>
    <w:basedOn w:val="Standardowy"/>
    <w:uiPriority w:val="99"/>
    <w:semiHidden/>
    <w:rsid w:val="00DC4033"/>
    <w:pPr>
      <w:spacing w:after="0" w:line="240" w:lineRule="auto"/>
    </w:pPr>
    <w:rPr>
      <w:color w:val="0072BC"/>
      <w:sz w:val="20"/>
      <w:szCs w:val="20"/>
    </w:rPr>
    <w:tblPr>
      <w:tblStyleRowBandSize w:val="1"/>
      <w:tblStyleColBandSize w:val="1"/>
      <w:tblInd w:w="0" w:type="nil"/>
    </w:tblPr>
    <w:tcPr>
      <w:shd w:val="clear" w:color="auto" w:fill="969696"/>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4A4A4A"/>
      </w:tcPr>
    </w:tblStylePr>
    <w:tblStylePr w:type="firstCol">
      <w:rPr>
        <w:rFonts w:cs="Times New Roman"/>
      </w:rPr>
      <w:tblPr/>
      <w:tcPr>
        <w:tcBorders>
          <w:top w:val="nil"/>
          <w:left w:val="nil"/>
          <w:bottom w:val="nil"/>
          <w:right w:val="single" w:sz="18" w:space="0" w:color="0072BC"/>
          <w:insideH w:val="nil"/>
          <w:insideV w:val="nil"/>
        </w:tcBorders>
        <w:shd w:val="clear" w:color="auto" w:fill="707070"/>
      </w:tcPr>
    </w:tblStylePr>
    <w:tblStylePr w:type="lastCol">
      <w:rPr>
        <w:rFonts w:cs="Times New Roman"/>
      </w:rPr>
      <w:tblPr/>
      <w:tcPr>
        <w:tcBorders>
          <w:top w:val="nil"/>
          <w:left w:val="single" w:sz="18" w:space="0" w:color="0072BC"/>
          <w:bottom w:val="nil"/>
          <w:right w:val="nil"/>
          <w:insideH w:val="nil"/>
          <w:insideV w:val="nil"/>
        </w:tcBorders>
        <w:shd w:val="clear" w:color="auto" w:fill="707070"/>
      </w:tcPr>
    </w:tblStylePr>
    <w:tblStylePr w:type="band1Vert">
      <w:rPr>
        <w:rFonts w:cs="Times New Roman"/>
      </w:rPr>
      <w:tblPr/>
      <w:tcPr>
        <w:tcBorders>
          <w:top w:val="nil"/>
          <w:left w:val="nil"/>
          <w:bottom w:val="nil"/>
          <w:right w:val="nil"/>
          <w:insideH w:val="nil"/>
          <w:insideV w:val="nil"/>
        </w:tcBorders>
        <w:shd w:val="clear" w:color="auto" w:fill="707070"/>
      </w:tcPr>
    </w:tblStylePr>
    <w:tblStylePr w:type="band1Horz">
      <w:rPr>
        <w:rFonts w:cs="Times New Roman"/>
      </w:rPr>
      <w:tblPr/>
      <w:tcPr>
        <w:tcBorders>
          <w:top w:val="nil"/>
          <w:left w:val="nil"/>
          <w:bottom w:val="nil"/>
          <w:right w:val="nil"/>
          <w:insideH w:val="nil"/>
          <w:insideV w:val="nil"/>
        </w:tcBorders>
        <w:shd w:val="clear" w:color="auto" w:fill="707070"/>
      </w:tcPr>
    </w:tblStylePr>
  </w:style>
  <w:style w:type="table" w:styleId="Ciemnalistaakcent5">
    <w:name w:val="Dark List Accent 5"/>
    <w:basedOn w:val="Standardowy"/>
    <w:uiPriority w:val="99"/>
    <w:semiHidden/>
    <w:rsid w:val="00DC4033"/>
    <w:pPr>
      <w:spacing w:after="0" w:line="240" w:lineRule="auto"/>
    </w:pPr>
    <w:rPr>
      <w:color w:val="0072BC"/>
      <w:sz w:val="20"/>
      <w:szCs w:val="20"/>
    </w:rPr>
    <w:tblPr>
      <w:tblStyleRowBandSize w:val="1"/>
      <w:tblStyleColBandSize w:val="1"/>
      <w:tblInd w:w="0" w:type="nil"/>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Ciemnalistaakcent6">
    <w:name w:val="Dark List Accent 6"/>
    <w:basedOn w:val="Standardowy"/>
    <w:uiPriority w:val="99"/>
    <w:semiHidden/>
    <w:rsid w:val="00DC4033"/>
    <w:pPr>
      <w:spacing w:after="0" w:line="240" w:lineRule="auto"/>
    </w:pPr>
    <w:rPr>
      <w:color w:val="0072BC"/>
      <w:sz w:val="20"/>
      <w:szCs w:val="20"/>
    </w:rPr>
    <w:tblPr>
      <w:tblStyleRowBandSize w:val="1"/>
      <w:tblStyleColBandSize w:val="1"/>
      <w:tblInd w:w="0" w:type="nil"/>
    </w:tblPr>
    <w:tcPr>
      <w:shd w:val="clear" w:color="auto" w:fill="4D4D4D"/>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62626"/>
      </w:tcPr>
    </w:tblStylePr>
    <w:tblStylePr w:type="firstCol">
      <w:rPr>
        <w:rFonts w:cs="Times New Roman"/>
      </w:rPr>
      <w:tblPr/>
      <w:tcPr>
        <w:tcBorders>
          <w:top w:val="nil"/>
          <w:left w:val="nil"/>
          <w:bottom w:val="nil"/>
          <w:right w:val="single" w:sz="18" w:space="0" w:color="0072BC"/>
          <w:insideH w:val="nil"/>
          <w:insideV w:val="nil"/>
        </w:tcBorders>
        <w:shd w:val="clear" w:color="auto" w:fill="393939"/>
      </w:tcPr>
    </w:tblStylePr>
    <w:tblStylePr w:type="lastCol">
      <w:rPr>
        <w:rFonts w:cs="Times New Roman"/>
      </w:rPr>
      <w:tblPr/>
      <w:tcPr>
        <w:tcBorders>
          <w:top w:val="nil"/>
          <w:left w:val="single" w:sz="18" w:space="0" w:color="0072BC"/>
          <w:bottom w:val="nil"/>
          <w:right w:val="nil"/>
          <w:insideH w:val="nil"/>
          <w:insideV w:val="nil"/>
        </w:tcBorders>
        <w:shd w:val="clear" w:color="auto" w:fill="393939"/>
      </w:tcPr>
    </w:tblStylePr>
    <w:tblStylePr w:type="band1Vert">
      <w:rPr>
        <w:rFonts w:cs="Times New Roman"/>
      </w:rPr>
      <w:tblPr/>
      <w:tcPr>
        <w:tcBorders>
          <w:top w:val="nil"/>
          <w:left w:val="nil"/>
          <w:bottom w:val="nil"/>
          <w:right w:val="nil"/>
          <w:insideH w:val="nil"/>
          <w:insideV w:val="nil"/>
        </w:tcBorders>
        <w:shd w:val="clear" w:color="auto" w:fill="393939"/>
      </w:tcPr>
    </w:tblStylePr>
    <w:tblStylePr w:type="band1Horz">
      <w:rPr>
        <w:rFonts w:cs="Times New Roman"/>
      </w:rPr>
      <w:tblPr/>
      <w:tcPr>
        <w:tcBorders>
          <w:top w:val="nil"/>
          <w:left w:val="nil"/>
          <w:bottom w:val="nil"/>
          <w:right w:val="nil"/>
          <w:insideH w:val="nil"/>
          <w:insideV w:val="nil"/>
        </w:tcBorders>
        <w:shd w:val="clear" w:color="auto" w:fill="393939"/>
      </w:tcPr>
    </w:tblStylePr>
  </w:style>
  <w:style w:type="paragraph" w:styleId="Data">
    <w:name w:val="Date"/>
    <w:basedOn w:val="Normalny"/>
    <w:next w:val="Normalny"/>
    <w:link w:val="DataZnak"/>
    <w:uiPriority w:val="99"/>
    <w:semiHidden/>
    <w:rsid w:val="00DC4033"/>
    <w:rPr>
      <w:lang w:eastAsia="pl-PL"/>
    </w:rPr>
  </w:style>
  <w:style w:type="character" w:customStyle="1" w:styleId="DataZnak">
    <w:name w:val="Data Znak"/>
    <w:basedOn w:val="Domylnaczcionkaakapitu"/>
    <w:link w:val="Data"/>
    <w:uiPriority w:val="99"/>
    <w:semiHidden/>
    <w:locked/>
    <w:rsid w:val="00DC4033"/>
    <w:rPr>
      <w:rFonts w:eastAsia="MS Mincho"/>
      <w:sz w:val="24"/>
    </w:rPr>
  </w:style>
  <w:style w:type="paragraph" w:styleId="Mapadokumentu">
    <w:name w:val="Document Map"/>
    <w:basedOn w:val="Normalny"/>
    <w:link w:val="MapadokumentuZnak"/>
    <w:uiPriority w:val="99"/>
    <w:semiHidden/>
    <w:rsid w:val="00DC4033"/>
    <w:rPr>
      <w:rFonts w:ascii="Tahoma" w:hAnsi="Tahoma" w:cs="Tahoma"/>
      <w:sz w:val="16"/>
      <w:szCs w:val="16"/>
      <w:lang w:eastAsia="pl-PL"/>
    </w:rPr>
  </w:style>
  <w:style w:type="character" w:customStyle="1" w:styleId="MapadokumentuZnak">
    <w:name w:val="Mapa dokumentu Znak"/>
    <w:basedOn w:val="Domylnaczcionkaakapitu"/>
    <w:link w:val="Mapadokumentu"/>
    <w:uiPriority w:val="99"/>
    <w:semiHidden/>
    <w:locked/>
    <w:rsid w:val="00DC4033"/>
    <w:rPr>
      <w:rFonts w:ascii="Tahoma" w:eastAsia="MS Mincho" w:hAnsi="Tahoma"/>
      <w:sz w:val="16"/>
    </w:rPr>
  </w:style>
  <w:style w:type="paragraph" w:styleId="Podpise-mail">
    <w:name w:val="E-mail Signature"/>
    <w:basedOn w:val="Normalny"/>
    <w:link w:val="Podpise-mailZnak"/>
    <w:uiPriority w:val="99"/>
    <w:semiHidden/>
    <w:rsid w:val="00DC4033"/>
    <w:rPr>
      <w:lang w:eastAsia="pl-PL"/>
    </w:rPr>
  </w:style>
  <w:style w:type="character" w:customStyle="1" w:styleId="Podpise-mailZnak">
    <w:name w:val="Podpis e-mail Znak"/>
    <w:basedOn w:val="Domylnaczcionkaakapitu"/>
    <w:link w:val="Podpise-mail"/>
    <w:uiPriority w:val="99"/>
    <w:semiHidden/>
    <w:locked/>
    <w:rsid w:val="00DC4033"/>
    <w:rPr>
      <w:rFonts w:eastAsia="MS Mincho"/>
      <w:sz w:val="24"/>
    </w:rPr>
  </w:style>
  <w:style w:type="character" w:styleId="Odwoanieprzypisukocowego">
    <w:name w:val="endnote reference"/>
    <w:basedOn w:val="Domylnaczcionkaakapitu"/>
    <w:uiPriority w:val="99"/>
    <w:semiHidden/>
    <w:rsid w:val="00DC4033"/>
    <w:rPr>
      <w:rFonts w:cs="Times New Roman"/>
      <w:vertAlign w:val="superscript"/>
    </w:rPr>
  </w:style>
  <w:style w:type="paragraph" w:styleId="Tekstprzypisukocowego">
    <w:name w:val="endnote text"/>
    <w:basedOn w:val="Normalny"/>
    <w:link w:val="TekstprzypisukocowegoZnak"/>
    <w:uiPriority w:val="99"/>
    <w:semiHidden/>
    <w:rsid w:val="00DC4033"/>
    <w:rPr>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DC4033"/>
    <w:rPr>
      <w:rFonts w:eastAsia="MS Mincho"/>
      <w:sz w:val="20"/>
    </w:rPr>
  </w:style>
  <w:style w:type="paragraph" w:styleId="Adresnakopercie">
    <w:name w:val="envelope address"/>
    <w:basedOn w:val="Normalny"/>
    <w:uiPriority w:val="99"/>
    <w:semiHidden/>
    <w:rsid w:val="00DC4033"/>
    <w:pPr>
      <w:framePr w:w="7938" w:h="1985" w:hRule="exact" w:hSpace="141" w:wrap="auto" w:hAnchor="page" w:xAlign="center" w:yAlign="bottom"/>
      <w:ind w:left="2835"/>
    </w:pPr>
    <w:rPr>
      <w:rFonts w:eastAsia="MS Gothic"/>
    </w:rPr>
  </w:style>
  <w:style w:type="paragraph" w:styleId="Adreszwrotnynakopercie">
    <w:name w:val="envelope return"/>
    <w:basedOn w:val="Normalny"/>
    <w:uiPriority w:val="99"/>
    <w:semiHidden/>
    <w:rsid w:val="00DC4033"/>
    <w:rPr>
      <w:rFonts w:eastAsia="MS Gothic"/>
      <w:sz w:val="20"/>
      <w:szCs w:val="20"/>
    </w:rPr>
  </w:style>
  <w:style w:type="character" w:styleId="UyteHipercze">
    <w:name w:val="FollowedHyperlink"/>
    <w:basedOn w:val="Domylnaczcionkaakapitu"/>
    <w:uiPriority w:val="99"/>
    <w:semiHidden/>
    <w:rsid w:val="00DC4033"/>
    <w:rPr>
      <w:rFonts w:cs="Times New Roman"/>
      <w:color w:val="auto"/>
      <w:u w:val="single"/>
    </w:rPr>
  </w:style>
  <w:style w:type="character" w:styleId="HTML-akronim">
    <w:name w:val="HTML Acronym"/>
    <w:basedOn w:val="Domylnaczcionkaakapitu"/>
    <w:uiPriority w:val="99"/>
    <w:semiHidden/>
    <w:rsid w:val="00DC4033"/>
    <w:rPr>
      <w:rFonts w:cs="Times New Roman"/>
    </w:rPr>
  </w:style>
  <w:style w:type="paragraph" w:styleId="HTML-adres">
    <w:name w:val="HTML Address"/>
    <w:basedOn w:val="Normalny"/>
    <w:link w:val="HTML-adresZnak"/>
    <w:uiPriority w:val="99"/>
    <w:semiHidden/>
    <w:rsid w:val="00DC4033"/>
    <w:rPr>
      <w:i/>
      <w:iCs/>
      <w:lang w:eastAsia="pl-PL"/>
    </w:rPr>
  </w:style>
  <w:style w:type="character" w:customStyle="1" w:styleId="HTML-adresZnak">
    <w:name w:val="HTML - adres Znak"/>
    <w:basedOn w:val="Domylnaczcionkaakapitu"/>
    <w:link w:val="HTML-adres"/>
    <w:uiPriority w:val="99"/>
    <w:semiHidden/>
    <w:locked/>
    <w:rsid w:val="00DC4033"/>
    <w:rPr>
      <w:rFonts w:eastAsia="MS Mincho"/>
      <w:i/>
      <w:sz w:val="24"/>
    </w:rPr>
  </w:style>
  <w:style w:type="character" w:styleId="HTML-cytat">
    <w:name w:val="HTML Cite"/>
    <w:basedOn w:val="Domylnaczcionkaakapitu"/>
    <w:uiPriority w:val="99"/>
    <w:semiHidden/>
    <w:rsid w:val="00DC4033"/>
    <w:rPr>
      <w:rFonts w:cs="Times New Roman"/>
      <w:i/>
      <w:iCs/>
    </w:rPr>
  </w:style>
  <w:style w:type="character" w:styleId="HTML-kod">
    <w:name w:val="HTML Code"/>
    <w:basedOn w:val="Domylnaczcionkaakapitu"/>
    <w:uiPriority w:val="99"/>
    <w:semiHidden/>
    <w:rsid w:val="00DC4033"/>
    <w:rPr>
      <w:rFonts w:ascii="Consolas" w:hAnsi="Consolas" w:cs="Consolas"/>
      <w:sz w:val="20"/>
      <w:szCs w:val="20"/>
    </w:rPr>
  </w:style>
  <w:style w:type="character" w:styleId="HTML-definicja">
    <w:name w:val="HTML Definition"/>
    <w:basedOn w:val="Domylnaczcionkaakapitu"/>
    <w:uiPriority w:val="99"/>
    <w:semiHidden/>
    <w:rsid w:val="00DC4033"/>
    <w:rPr>
      <w:rFonts w:cs="Times New Roman"/>
      <w:i/>
      <w:iCs/>
    </w:rPr>
  </w:style>
  <w:style w:type="character" w:styleId="HTML-klawiatura">
    <w:name w:val="HTML Keyboard"/>
    <w:basedOn w:val="Domylnaczcionkaakapitu"/>
    <w:uiPriority w:val="99"/>
    <w:semiHidden/>
    <w:rsid w:val="00DC4033"/>
    <w:rPr>
      <w:rFonts w:ascii="Consolas" w:hAnsi="Consolas" w:cs="Consolas"/>
      <w:sz w:val="20"/>
      <w:szCs w:val="20"/>
    </w:rPr>
  </w:style>
  <w:style w:type="paragraph" w:styleId="HTML-wstpniesformatowany">
    <w:name w:val="HTML Preformatted"/>
    <w:basedOn w:val="Normalny"/>
    <w:link w:val="HTML-wstpniesformatowanyZnak"/>
    <w:uiPriority w:val="99"/>
    <w:semiHidden/>
    <w:rsid w:val="00DC4033"/>
    <w:rPr>
      <w:rFonts w:ascii="Consolas" w:hAnsi="Consolas" w:cs="Consolas"/>
      <w:sz w:val="20"/>
      <w:szCs w:val="20"/>
      <w:lang w:eastAsia="pl-PL"/>
    </w:rPr>
  </w:style>
  <w:style w:type="character" w:customStyle="1" w:styleId="HTML-wstpniesformatowanyZnak">
    <w:name w:val="HTML - wstępnie sformatowany Znak"/>
    <w:basedOn w:val="Domylnaczcionkaakapitu"/>
    <w:link w:val="HTML-wstpniesformatowany"/>
    <w:uiPriority w:val="99"/>
    <w:semiHidden/>
    <w:locked/>
    <w:rsid w:val="00DC4033"/>
    <w:rPr>
      <w:rFonts w:ascii="Consolas" w:eastAsia="MS Mincho" w:hAnsi="Consolas"/>
      <w:sz w:val="20"/>
    </w:rPr>
  </w:style>
  <w:style w:type="character" w:styleId="HTML-przykad">
    <w:name w:val="HTML Sample"/>
    <w:basedOn w:val="Domylnaczcionkaakapitu"/>
    <w:uiPriority w:val="99"/>
    <w:semiHidden/>
    <w:rsid w:val="00DC4033"/>
    <w:rPr>
      <w:rFonts w:ascii="Consolas" w:hAnsi="Consolas" w:cs="Consolas"/>
      <w:sz w:val="24"/>
      <w:szCs w:val="24"/>
    </w:rPr>
  </w:style>
  <w:style w:type="character" w:styleId="HTML-staaszeroko">
    <w:name w:val="HTML Typewriter"/>
    <w:basedOn w:val="Domylnaczcionkaakapitu"/>
    <w:uiPriority w:val="99"/>
    <w:semiHidden/>
    <w:rsid w:val="00DC4033"/>
    <w:rPr>
      <w:rFonts w:ascii="Consolas" w:hAnsi="Consolas" w:cs="Consolas"/>
      <w:sz w:val="20"/>
      <w:szCs w:val="20"/>
    </w:rPr>
  </w:style>
  <w:style w:type="character" w:styleId="HTML-zmienna">
    <w:name w:val="HTML Variable"/>
    <w:basedOn w:val="Domylnaczcionkaakapitu"/>
    <w:uiPriority w:val="99"/>
    <w:semiHidden/>
    <w:rsid w:val="00DC4033"/>
    <w:rPr>
      <w:rFonts w:cs="Times New Roman"/>
      <w:i/>
      <w:iCs/>
    </w:rPr>
  </w:style>
  <w:style w:type="paragraph" w:styleId="Indeks1">
    <w:name w:val="index 1"/>
    <w:basedOn w:val="Normalny"/>
    <w:next w:val="Normalny"/>
    <w:autoRedefine/>
    <w:uiPriority w:val="99"/>
    <w:semiHidden/>
    <w:rsid w:val="00DC4033"/>
    <w:pPr>
      <w:ind w:left="240" w:hanging="240"/>
    </w:pPr>
  </w:style>
  <w:style w:type="paragraph" w:styleId="Indeks2">
    <w:name w:val="index 2"/>
    <w:basedOn w:val="Normalny"/>
    <w:next w:val="Normalny"/>
    <w:autoRedefine/>
    <w:uiPriority w:val="99"/>
    <w:semiHidden/>
    <w:rsid w:val="00DC4033"/>
    <w:pPr>
      <w:ind w:left="480" w:hanging="240"/>
    </w:pPr>
  </w:style>
  <w:style w:type="paragraph" w:styleId="Indeks3">
    <w:name w:val="index 3"/>
    <w:basedOn w:val="Normalny"/>
    <w:next w:val="Normalny"/>
    <w:autoRedefine/>
    <w:uiPriority w:val="99"/>
    <w:semiHidden/>
    <w:rsid w:val="00DC4033"/>
    <w:pPr>
      <w:ind w:left="720" w:hanging="240"/>
    </w:pPr>
  </w:style>
  <w:style w:type="paragraph" w:styleId="Indeks4">
    <w:name w:val="index 4"/>
    <w:basedOn w:val="Normalny"/>
    <w:next w:val="Normalny"/>
    <w:autoRedefine/>
    <w:uiPriority w:val="99"/>
    <w:semiHidden/>
    <w:rsid w:val="00DC4033"/>
    <w:pPr>
      <w:ind w:left="960" w:hanging="240"/>
    </w:pPr>
  </w:style>
  <w:style w:type="paragraph" w:styleId="Indeks5">
    <w:name w:val="index 5"/>
    <w:basedOn w:val="Normalny"/>
    <w:next w:val="Normalny"/>
    <w:autoRedefine/>
    <w:uiPriority w:val="99"/>
    <w:semiHidden/>
    <w:rsid w:val="00DC4033"/>
    <w:pPr>
      <w:ind w:left="1200" w:hanging="240"/>
    </w:pPr>
  </w:style>
  <w:style w:type="paragraph" w:styleId="Indeks6">
    <w:name w:val="index 6"/>
    <w:basedOn w:val="Normalny"/>
    <w:next w:val="Normalny"/>
    <w:autoRedefine/>
    <w:uiPriority w:val="99"/>
    <w:semiHidden/>
    <w:rsid w:val="00DC4033"/>
    <w:pPr>
      <w:ind w:left="1440" w:hanging="240"/>
    </w:pPr>
  </w:style>
  <w:style w:type="paragraph" w:styleId="Indeks7">
    <w:name w:val="index 7"/>
    <w:basedOn w:val="Normalny"/>
    <w:next w:val="Normalny"/>
    <w:autoRedefine/>
    <w:uiPriority w:val="99"/>
    <w:semiHidden/>
    <w:rsid w:val="00DC4033"/>
    <w:pPr>
      <w:ind w:left="1680" w:hanging="240"/>
    </w:pPr>
  </w:style>
  <w:style w:type="paragraph" w:styleId="Indeks8">
    <w:name w:val="index 8"/>
    <w:basedOn w:val="Normalny"/>
    <w:next w:val="Normalny"/>
    <w:autoRedefine/>
    <w:uiPriority w:val="99"/>
    <w:semiHidden/>
    <w:rsid w:val="00DC4033"/>
    <w:pPr>
      <w:ind w:left="1920" w:hanging="240"/>
    </w:pPr>
  </w:style>
  <w:style w:type="paragraph" w:styleId="Indeks9">
    <w:name w:val="index 9"/>
    <w:basedOn w:val="Normalny"/>
    <w:next w:val="Normalny"/>
    <w:autoRedefine/>
    <w:uiPriority w:val="99"/>
    <w:semiHidden/>
    <w:rsid w:val="00DC4033"/>
    <w:pPr>
      <w:ind w:left="2160" w:hanging="240"/>
    </w:pPr>
  </w:style>
  <w:style w:type="paragraph" w:styleId="Nagwekindeksu">
    <w:name w:val="index heading"/>
    <w:basedOn w:val="Normalny"/>
    <w:next w:val="Indeks1"/>
    <w:uiPriority w:val="99"/>
    <w:semiHidden/>
    <w:rsid w:val="00DC4033"/>
    <w:rPr>
      <w:rFonts w:eastAsia="MS Gothic"/>
      <w:b/>
      <w:bCs/>
    </w:rPr>
  </w:style>
  <w:style w:type="table" w:styleId="Jasnasiatka">
    <w:name w:val="Light Grid"/>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Jasnasiatkaakcent1">
    <w:name w:val="Light Grid Accent 1"/>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Jasnasiatkaakcent2">
    <w:name w:val="Light Grid Accent 2"/>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Jasnasiatkaakcent3">
    <w:name w:val="Light Grid Accent 3"/>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Jasnasiatkaakcent4">
    <w:name w:val="Light Grid Accent 4"/>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Jasnasiatkaakcent5">
    <w:name w:val="Light Grid Accent 5"/>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Jasnasiatkaakcent6">
    <w:name w:val="Light Grid Accent 6"/>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Jasnalista">
    <w:name w:val="Light List"/>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0072BC"/>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Jasnalistaakcent1">
    <w:name w:val="Light List Accent 1"/>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0072BC"/>
        <w:left w:val="single" w:sz="8" w:space="0" w:color="0072BC"/>
        <w:bottom w:val="single" w:sz="8" w:space="0" w:color="0072BC"/>
        <w:right w:val="single" w:sz="8" w:space="0" w:color="0072BC"/>
      </w:tblBorders>
    </w:tblPr>
    <w:tblStylePr w:type="firstRow">
      <w:pPr>
        <w:spacing w:before="0" w:after="0"/>
      </w:pPr>
      <w:rPr>
        <w:rFonts w:cs="Times New Roman"/>
        <w:b/>
        <w:bCs/>
        <w:color w:val="0072BC"/>
      </w:rPr>
      <w:tblPr/>
      <w:tcPr>
        <w:shd w:val="clear" w:color="auto" w:fill="0072BC"/>
      </w:tcPr>
    </w:tblStylePr>
    <w:tblStylePr w:type="lastRow">
      <w:pPr>
        <w:spacing w:before="0" w:after="0"/>
      </w:pPr>
      <w:rPr>
        <w:rFonts w:cs="Times New Roman"/>
        <w:b/>
        <w:bCs/>
      </w:rPr>
      <w:tblPr/>
      <w:tcPr>
        <w:tcBorders>
          <w:top w:val="double" w:sz="6" w:space="0" w:color="0072BC"/>
          <w:left w:val="single" w:sz="8" w:space="0" w:color="0072BC"/>
          <w:bottom w:val="single" w:sz="8" w:space="0" w:color="0072BC"/>
          <w:right w:val="single" w:sz="8" w:space="0" w:color="0072B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tcBorders>
      </w:tcPr>
    </w:tblStylePr>
  </w:style>
  <w:style w:type="table" w:styleId="Jasnalistaakcent2">
    <w:name w:val="Light List Accent 2"/>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C00000"/>
        <w:left w:val="single" w:sz="8" w:space="0" w:color="C00000"/>
        <w:bottom w:val="single" w:sz="8" w:space="0" w:color="C00000"/>
        <w:right w:val="single" w:sz="8" w:space="0" w:color="C00000"/>
      </w:tblBorders>
    </w:tblPr>
    <w:tblStylePr w:type="firstRow">
      <w:pPr>
        <w:spacing w:before="0" w:after="0"/>
      </w:pPr>
      <w:rPr>
        <w:rFonts w:cs="Times New Roman"/>
        <w:b/>
        <w:bCs/>
        <w:color w:val="0072BC"/>
      </w:rPr>
      <w:tblPr/>
      <w:tcPr>
        <w:shd w:val="clear" w:color="auto" w:fill="C00000"/>
      </w:tcPr>
    </w:tblStylePr>
    <w:tblStylePr w:type="lastRow">
      <w:pPr>
        <w:spacing w:before="0" w:after="0"/>
      </w:pPr>
      <w:rPr>
        <w:rFonts w:cs="Times New Roman"/>
        <w:b/>
        <w:bCs/>
      </w:rPr>
      <w:tblPr/>
      <w:tcPr>
        <w:tcBorders>
          <w:top w:val="double" w:sz="6" w:space="0" w:color="C00000"/>
          <w:left w:val="single" w:sz="8" w:space="0" w:color="C00000"/>
          <w:bottom w:val="single" w:sz="8" w:space="0" w:color="C00000"/>
          <w:right w:val="single" w:sz="8" w:space="0" w:color="C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tcBorders>
      </w:tcPr>
    </w:tblStylePr>
  </w:style>
  <w:style w:type="table" w:styleId="Jasnalistaakcent3">
    <w:name w:val="Light List Accent 3"/>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5F5F5F"/>
        <w:left w:val="single" w:sz="8" w:space="0" w:color="5F5F5F"/>
        <w:bottom w:val="single" w:sz="8" w:space="0" w:color="5F5F5F"/>
        <w:right w:val="single" w:sz="8" w:space="0" w:color="5F5F5F"/>
      </w:tblBorders>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Jasnalistaakcent4">
    <w:name w:val="Light List Accent 4"/>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969696"/>
        <w:left w:val="single" w:sz="8" w:space="0" w:color="969696"/>
        <w:bottom w:val="single" w:sz="8" w:space="0" w:color="969696"/>
        <w:right w:val="single" w:sz="8" w:space="0" w:color="969696"/>
      </w:tblBorders>
    </w:tblPr>
    <w:tblStylePr w:type="firstRow">
      <w:pPr>
        <w:spacing w:before="0" w:after="0"/>
      </w:pPr>
      <w:rPr>
        <w:rFonts w:cs="Times New Roman"/>
        <w:b/>
        <w:bCs/>
        <w:color w:val="0072BC"/>
      </w:rPr>
      <w:tblPr/>
      <w:tcPr>
        <w:shd w:val="clear" w:color="auto" w:fill="969696"/>
      </w:tcPr>
    </w:tblStylePr>
    <w:tblStylePr w:type="lastRow">
      <w:pPr>
        <w:spacing w:before="0" w:after="0"/>
      </w:pPr>
      <w:rPr>
        <w:rFonts w:cs="Times New Roman"/>
        <w:b/>
        <w:bCs/>
      </w:rPr>
      <w:tblPr/>
      <w:tcPr>
        <w:tcBorders>
          <w:top w:val="double" w:sz="6" w:space="0" w:color="969696"/>
          <w:left w:val="single" w:sz="8" w:space="0" w:color="969696"/>
          <w:bottom w:val="single" w:sz="8" w:space="0" w:color="969696"/>
          <w:right w:val="single" w:sz="8" w:space="0" w:color="96969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tcBorders>
      </w:tcPr>
    </w:tblStylePr>
  </w:style>
  <w:style w:type="table" w:styleId="Jasnalistaakcent5">
    <w:name w:val="Light List Accent 5"/>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5F5F5F"/>
        <w:left w:val="single" w:sz="8" w:space="0" w:color="5F5F5F"/>
        <w:bottom w:val="single" w:sz="8" w:space="0" w:color="5F5F5F"/>
        <w:right w:val="single" w:sz="8" w:space="0" w:color="5F5F5F"/>
      </w:tblBorders>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Jasnalistaakcent6">
    <w:name w:val="Light List Accent 6"/>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4D4D4D"/>
        <w:left w:val="single" w:sz="8" w:space="0" w:color="4D4D4D"/>
        <w:bottom w:val="single" w:sz="8" w:space="0" w:color="4D4D4D"/>
        <w:right w:val="single" w:sz="8" w:space="0" w:color="4D4D4D"/>
      </w:tblBorders>
    </w:tblPr>
    <w:tblStylePr w:type="firstRow">
      <w:pPr>
        <w:spacing w:before="0" w:after="0"/>
      </w:pPr>
      <w:rPr>
        <w:rFonts w:cs="Times New Roman"/>
        <w:b/>
        <w:bCs/>
        <w:color w:val="0072BC"/>
      </w:rPr>
      <w:tblPr/>
      <w:tcPr>
        <w:shd w:val="clear" w:color="auto" w:fill="4D4D4D"/>
      </w:tcPr>
    </w:tblStylePr>
    <w:tblStylePr w:type="lastRow">
      <w:pPr>
        <w:spacing w:before="0" w:after="0"/>
      </w:pPr>
      <w:rPr>
        <w:rFonts w:cs="Times New Roman"/>
        <w:b/>
        <w:bCs/>
      </w:rPr>
      <w:tblPr/>
      <w:tcPr>
        <w:tcBorders>
          <w:top w:val="double" w:sz="6" w:space="0" w:color="4D4D4D"/>
          <w:left w:val="single" w:sz="8" w:space="0" w:color="4D4D4D"/>
          <w:bottom w:val="single" w:sz="8" w:space="0" w:color="4D4D4D"/>
          <w:right w:val="single" w:sz="8" w:space="0" w:color="4D4D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tcBorders>
      </w:tcPr>
    </w:tblStylePr>
  </w:style>
  <w:style w:type="table" w:styleId="Jasnecieniowanie">
    <w:name w:val="Light Shading"/>
    <w:basedOn w:val="Standardowy"/>
    <w:uiPriority w:val="99"/>
    <w:semiHidden/>
    <w:rsid w:val="00DC4033"/>
    <w:pPr>
      <w:spacing w:after="0" w:line="240" w:lineRule="auto"/>
    </w:pPr>
    <w:rPr>
      <w:color w:val="000000"/>
      <w:sz w:val="20"/>
      <w:szCs w:val="20"/>
    </w:rPr>
    <w:tblPr>
      <w:tblStyleRowBandSize w:val="1"/>
      <w:tblStyleColBandSize w:val="1"/>
      <w:tblInd w:w="0" w:type="nil"/>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Jasnecieniowanieakcent1">
    <w:name w:val="Light Shading Accent 1"/>
    <w:basedOn w:val="Standardowy"/>
    <w:uiPriority w:val="99"/>
    <w:semiHidden/>
    <w:rsid w:val="00DC4033"/>
    <w:pPr>
      <w:spacing w:after="0" w:line="240" w:lineRule="auto"/>
    </w:pPr>
    <w:rPr>
      <w:color w:val="00548C"/>
      <w:sz w:val="20"/>
      <w:szCs w:val="20"/>
    </w:rPr>
    <w:tblPr>
      <w:tblStyleRowBandSize w:val="1"/>
      <w:tblStyleColBandSize w:val="1"/>
      <w:tblInd w:w="0" w:type="nil"/>
      <w:tblBorders>
        <w:top w:val="single" w:sz="8" w:space="0" w:color="0072BC"/>
        <w:bottom w:val="single" w:sz="8" w:space="0" w:color="0072BC"/>
      </w:tblBorders>
    </w:tblPr>
    <w:tblStylePr w:type="fir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la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left w:val="nil"/>
          <w:right w:val="nil"/>
          <w:insideH w:val="nil"/>
          <w:insideV w:val="nil"/>
        </w:tcBorders>
        <w:shd w:val="clear" w:color="auto" w:fill="AFDFFF"/>
      </w:tcPr>
    </w:tblStylePr>
  </w:style>
  <w:style w:type="table" w:styleId="Jasnecieniowanieakcent2">
    <w:name w:val="Light Shading Accent 2"/>
    <w:basedOn w:val="Standardowy"/>
    <w:uiPriority w:val="99"/>
    <w:semiHidden/>
    <w:rsid w:val="00DC4033"/>
    <w:pPr>
      <w:spacing w:after="0" w:line="240" w:lineRule="auto"/>
    </w:pPr>
    <w:rPr>
      <w:color w:val="8F0000"/>
      <w:sz w:val="20"/>
      <w:szCs w:val="20"/>
    </w:rPr>
    <w:tblPr>
      <w:tblStyleRowBandSize w:val="1"/>
      <w:tblStyleColBandSize w:val="1"/>
      <w:tblInd w:w="0" w:type="nil"/>
      <w:tblBorders>
        <w:top w:val="single" w:sz="8" w:space="0" w:color="C00000"/>
        <w:bottom w:val="single" w:sz="8" w:space="0" w:color="C00000"/>
      </w:tblBorders>
    </w:tblPr>
    <w:tblStylePr w:type="fir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left w:val="nil"/>
          <w:right w:val="nil"/>
          <w:insideH w:val="nil"/>
          <w:insideV w:val="nil"/>
        </w:tcBorders>
        <w:shd w:val="clear" w:color="auto" w:fill="FFB0B0"/>
      </w:tcPr>
    </w:tblStylePr>
  </w:style>
  <w:style w:type="table" w:styleId="Jasnecieniowanieakcent3">
    <w:name w:val="Light Shading Accent 3"/>
    <w:basedOn w:val="Standardowy"/>
    <w:uiPriority w:val="99"/>
    <w:semiHidden/>
    <w:rsid w:val="00DC4033"/>
    <w:pPr>
      <w:spacing w:after="0" w:line="240" w:lineRule="auto"/>
    </w:pPr>
    <w:rPr>
      <w:color w:val="474747"/>
      <w:sz w:val="20"/>
      <w:szCs w:val="20"/>
    </w:rPr>
    <w:tblPr>
      <w:tblStyleRowBandSize w:val="1"/>
      <w:tblStyleColBandSize w:val="1"/>
      <w:tblInd w:w="0" w:type="nil"/>
      <w:tblBorders>
        <w:top w:val="single" w:sz="8" w:space="0" w:color="5F5F5F"/>
        <w:bottom w:val="single" w:sz="8" w:space="0" w:color="5F5F5F"/>
      </w:tblBorders>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Jasnecieniowanieakcent4">
    <w:name w:val="Light Shading Accent 4"/>
    <w:basedOn w:val="Standardowy"/>
    <w:uiPriority w:val="99"/>
    <w:semiHidden/>
    <w:rsid w:val="00DC4033"/>
    <w:pPr>
      <w:spacing w:after="0" w:line="240" w:lineRule="auto"/>
    </w:pPr>
    <w:rPr>
      <w:color w:val="707070"/>
      <w:sz w:val="20"/>
      <w:szCs w:val="20"/>
    </w:rPr>
    <w:tblPr>
      <w:tblStyleRowBandSize w:val="1"/>
      <w:tblStyleColBandSize w:val="1"/>
      <w:tblInd w:w="0" w:type="nil"/>
      <w:tblBorders>
        <w:top w:val="single" w:sz="8" w:space="0" w:color="969696"/>
        <w:bottom w:val="single" w:sz="8" w:space="0" w:color="969696"/>
      </w:tblBorders>
    </w:tblPr>
    <w:tblStylePr w:type="fir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la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left w:val="nil"/>
          <w:right w:val="nil"/>
          <w:insideH w:val="nil"/>
          <w:insideV w:val="nil"/>
        </w:tcBorders>
        <w:shd w:val="clear" w:color="auto" w:fill="E5E5E5"/>
      </w:tcPr>
    </w:tblStylePr>
  </w:style>
  <w:style w:type="table" w:styleId="Jasnecieniowanieakcent5">
    <w:name w:val="Light Shading Accent 5"/>
    <w:basedOn w:val="Standardowy"/>
    <w:uiPriority w:val="99"/>
    <w:semiHidden/>
    <w:rsid w:val="00DC4033"/>
    <w:pPr>
      <w:spacing w:after="0" w:line="240" w:lineRule="auto"/>
    </w:pPr>
    <w:rPr>
      <w:color w:val="474747"/>
      <w:sz w:val="20"/>
      <w:szCs w:val="20"/>
    </w:rPr>
    <w:tblPr>
      <w:tblStyleRowBandSize w:val="1"/>
      <w:tblStyleColBandSize w:val="1"/>
      <w:tblInd w:w="0" w:type="nil"/>
      <w:tblBorders>
        <w:top w:val="single" w:sz="8" w:space="0" w:color="5F5F5F"/>
        <w:bottom w:val="single" w:sz="8" w:space="0" w:color="5F5F5F"/>
      </w:tblBorders>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Jasnecieniowanieakcent6">
    <w:name w:val="Light Shading Accent 6"/>
    <w:basedOn w:val="Standardowy"/>
    <w:uiPriority w:val="99"/>
    <w:semiHidden/>
    <w:rsid w:val="00DC4033"/>
    <w:pPr>
      <w:spacing w:after="0" w:line="240" w:lineRule="auto"/>
    </w:pPr>
    <w:rPr>
      <w:color w:val="393939"/>
      <w:sz w:val="20"/>
      <w:szCs w:val="20"/>
    </w:rPr>
    <w:tblPr>
      <w:tblStyleRowBandSize w:val="1"/>
      <w:tblStyleColBandSize w:val="1"/>
      <w:tblInd w:w="0" w:type="nil"/>
      <w:tblBorders>
        <w:top w:val="single" w:sz="8" w:space="0" w:color="4D4D4D"/>
        <w:bottom w:val="single" w:sz="8" w:space="0" w:color="4D4D4D"/>
      </w:tblBorders>
    </w:tblPr>
    <w:tblStylePr w:type="fir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left w:val="nil"/>
          <w:right w:val="nil"/>
          <w:insideH w:val="nil"/>
          <w:insideV w:val="nil"/>
        </w:tcBorders>
        <w:shd w:val="clear" w:color="auto" w:fill="D3D3D3"/>
      </w:tcPr>
    </w:tblStylePr>
  </w:style>
  <w:style w:type="character" w:styleId="Numerwiersza">
    <w:name w:val="line number"/>
    <w:basedOn w:val="Domylnaczcionkaakapitu"/>
    <w:uiPriority w:val="99"/>
    <w:semiHidden/>
    <w:rsid w:val="00DC4033"/>
    <w:rPr>
      <w:rFonts w:cs="Times New Roman"/>
    </w:rPr>
  </w:style>
  <w:style w:type="paragraph" w:styleId="Lista">
    <w:name w:val="List"/>
    <w:basedOn w:val="Normalny"/>
    <w:uiPriority w:val="99"/>
    <w:semiHidden/>
    <w:rsid w:val="00DC4033"/>
    <w:pPr>
      <w:ind w:left="283" w:hanging="283"/>
    </w:pPr>
  </w:style>
  <w:style w:type="paragraph" w:styleId="Lista2">
    <w:name w:val="List 2"/>
    <w:basedOn w:val="Normalny"/>
    <w:uiPriority w:val="99"/>
    <w:semiHidden/>
    <w:rsid w:val="00DC4033"/>
    <w:pPr>
      <w:ind w:left="566" w:hanging="283"/>
    </w:pPr>
  </w:style>
  <w:style w:type="paragraph" w:styleId="Lista3">
    <w:name w:val="List 3"/>
    <w:basedOn w:val="Normalny"/>
    <w:uiPriority w:val="99"/>
    <w:semiHidden/>
    <w:rsid w:val="00DC4033"/>
    <w:pPr>
      <w:ind w:left="849" w:hanging="283"/>
    </w:pPr>
  </w:style>
  <w:style w:type="paragraph" w:styleId="Lista4">
    <w:name w:val="List 4"/>
    <w:basedOn w:val="Normalny"/>
    <w:uiPriority w:val="99"/>
    <w:semiHidden/>
    <w:rsid w:val="00DC4033"/>
    <w:pPr>
      <w:ind w:left="1132" w:hanging="283"/>
    </w:pPr>
  </w:style>
  <w:style w:type="paragraph" w:styleId="Lista5">
    <w:name w:val="List 5"/>
    <w:basedOn w:val="Normalny"/>
    <w:uiPriority w:val="99"/>
    <w:semiHidden/>
    <w:rsid w:val="00DC4033"/>
    <w:pPr>
      <w:ind w:left="1415" w:hanging="283"/>
    </w:pPr>
  </w:style>
  <w:style w:type="paragraph" w:styleId="Listapunktowana2">
    <w:name w:val="List Bullet 2"/>
    <w:basedOn w:val="Normalny"/>
    <w:uiPriority w:val="99"/>
    <w:semiHidden/>
    <w:rsid w:val="00DC4033"/>
    <w:pPr>
      <w:numPr>
        <w:numId w:val="11"/>
      </w:numPr>
      <w:tabs>
        <w:tab w:val="clear" w:pos="360"/>
        <w:tab w:val="num" w:pos="643"/>
      </w:tabs>
      <w:ind w:left="643"/>
    </w:pPr>
  </w:style>
  <w:style w:type="paragraph" w:styleId="Listapunktowana3">
    <w:name w:val="List Bullet 3"/>
    <w:basedOn w:val="Normalny"/>
    <w:uiPriority w:val="99"/>
    <w:semiHidden/>
    <w:rsid w:val="00DC4033"/>
    <w:pPr>
      <w:numPr>
        <w:numId w:val="12"/>
      </w:numPr>
      <w:tabs>
        <w:tab w:val="num" w:pos="926"/>
      </w:tabs>
      <w:ind w:left="926"/>
    </w:pPr>
  </w:style>
  <w:style w:type="paragraph" w:styleId="Listapunktowana4">
    <w:name w:val="List Bullet 4"/>
    <w:basedOn w:val="Normalny"/>
    <w:uiPriority w:val="99"/>
    <w:semiHidden/>
    <w:rsid w:val="00DC4033"/>
    <w:pPr>
      <w:numPr>
        <w:numId w:val="13"/>
      </w:numPr>
      <w:tabs>
        <w:tab w:val="num" w:pos="1209"/>
      </w:tabs>
      <w:ind w:left="1209"/>
    </w:pPr>
  </w:style>
  <w:style w:type="paragraph" w:styleId="Listapunktowana5">
    <w:name w:val="List Bullet 5"/>
    <w:basedOn w:val="Normalny"/>
    <w:uiPriority w:val="99"/>
    <w:semiHidden/>
    <w:rsid w:val="00DC4033"/>
    <w:pPr>
      <w:numPr>
        <w:numId w:val="14"/>
      </w:numPr>
      <w:tabs>
        <w:tab w:val="num" w:pos="1492"/>
      </w:tabs>
      <w:ind w:left="1492"/>
    </w:pPr>
  </w:style>
  <w:style w:type="paragraph" w:styleId="Lista-kontynuacja">
    <w:name w:val="List Continue"/>
    <w:basedOn w:val="Normalny"/>
    <w:uiPriority w:val="99"/>
    <w:semiHidden/>
    <w:rsid w:val="00DC4033"/>
    <w:pPr>
      <w:spacing w:after="120"/>
      <w:ind w:left="283"/>
    </w:pPr>
  </w:style>
  <w:style w:type="paragraph" w:styleId="Lista-kontynuacja2">
    <w:name w:val="List Continue 2"/>
    <w:basedOn w:val="Normalny"/>
    <w:uiPriority w:val="99"/>
    <w:semiHidden/>
    <w:rsid w:val="00DC4033"/>
    <w:pPr>
      <w:spacing w:after="120"/>
      <w:ind w:left="566"/>
    </w:pPr>
  </w:style>
  <w:style w:type="paragraph" w:styleId="Lista-kontynuacja3">
    <w:name w:val="List Continue 3"/>
    <w:basedOn w:val="Normalny"/>
    <w:uiPriority w:val="99"/>
    <w:semiHidden/>
    <w:rsid w:val="00DC4033"/>
    <w:pPr>
      <w:spacing w:after="120"/>
      <w:ind w:left="849"/>
    </w:pPr>
  </w:style>
  <w:style w:type="paragraph" w:styleId="Lista-kontynuacja4">
    <w:name w:val="List Continue 4"/>
    <w:basedOn w:val="Normalny"/>
    <w:uiPriority w:val="99"/>
    <w:semiHidden/>
    <w:rsid w:val="00DC4033"/>
    <w:pPr>
      <w:spacing w:after="120"/>
      <w:ind w:left="1132"/>
    </w:pPr>
  </w:style>
  <w:style w:type="paragraph" w:styleId="Lista-kontynuacja5">
    <w:name w:val="List Continue 5"/>
    <w:basedOn w:val="Normalny"/>
    <w:uiPriority w:val="99"/>
    <w:semiHidden/>
    <w:rsid w:val="00DC4033"/>
    <w:pPr>
      <w:spacing w:after="120"/>
      <w:ind w:left="1415"/>
    </w:pPr>
  </w:style>
  <w:style w:type="paragraph" w:styleId="Listanumerowana">
    <w:name w:val="List Number"/>
    <w:basedOn w:val="Normalny"/>
    <w:uiPriority w:val="99"/>
    <w:semiHidden/>
    <w:rsid w:val="00DC4033"/>
    <w:pPr>
      <w:tabs>
        <w:tab w:val="num" w:pos="360"/>
      </w:tabs>
      <w:ind w:left="360" w:hanging="360"/>
    </w:pPr>
  </w:style>
  <w:style w:type="paragraph" w:styleId="Listanumerowana2">
    <w:name w:val="List Number 2"/>
    <w:basedOn w:val="Normalny"/>
    <w:uiPriority w:val="99"/>
    <w:semiHidden/>
    <w:rsid w:val="00DC4033"/>
    <w:pPr>
      <w:numPr>
        <w:numId w:val="16"/>
      </w:numPr>
      <w:tabs>
        <w:tab w:val="clear" w:pos="360"/>
        <w:tab w:val="num" w:pos="643"/>
      </w:tabs>
      <w:ind w:left="643"/>
    </w:pPr>
  </w:style>
  <w:style w:type="paragraph" w:styleId="Listanumerowana3">
    <w:name w:val="List Number 3"/>
    <w:basedOn w:val="Normalny"/>
    <w:uiPriority w:val="99"/>
    <w:semiHidden/>
    <w:rsid w:val="00DC4033"/>
    <w:pPr>
      <w:numPr>
        <w:numId w:val="17"/>
      </w:numPr>
      <w:tabs>
        <w:tab w:val="num" w:pos="926"/>
      </w:tabs>
      <w:ind w:left="926"/>
    </w:pPr>
  </w:style>
  <w:style w:type="paragraph" w:styleId="Listanumerowana4">
    <w:name w:val="List Number 4"/>
    <w:basedOn w:val="Normalny"/>
    <w:uiPriority w:val="99"/>
    <w:semiHidden/>
    <w:rsid w:val="00DC4033"/>
    <w:pPr>
      <w:numPr>
        <w:numId w:val="18"/>
      </w:numPr>
      <w:tabs>
        <w:tab w:val="num" w:pos="1209"/>
      </w:tabs>
      <w:ind w:left="1209"/>
    </w:pPr>
  </w:style>
  <w:style w:type="paragraph" w:styleId="Listanumerowana5">
    <w:name w:val="List Number 5"/>
    <w:basedOn w:val="Normalny"/>
    <w:uiPriority w:val="99"/>
    <w:semiHidden/>
    <w:rsid w:val="00DC4033"/>
    <w:pPr>
      <w:numPr>
        <w:numId w:val="19"/>
      </w:numPr>
      <w:tabs>
        <w:tab w:val="num" w:pos="1492"/>
      </w:tabs>
      <w:ind w:left="1492"/>
    </w:pPr>
  </w:style>
  <w:style w:type="paragraph" w:styleId="Tekstmakra">
    <w:name w:val="macro"/>
    <w:link w:val="TekstmakraZnak"/>
    <w:uiPriority w:val="99"/>
    <w:semiHidden/>
    <w:rsid w:val="00DC4033"/>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MS Mincho" w:hAnsi="Consolas" w:cs="Consolas"/>
      <w:sz w:val="20"/>
      <w:szCs w:val="20"/>
      <w:lang w:eastAsia="en-US"/>
    </w:rPr>
  </w:style>
  <w:style w:type="character" w:customStyle="1" w:styleId="TekstmakraZnak">
    <w:name w:val="Tekst makra Znak"/>
    <w:basedOn w:val="Domylnaczcionkaakapitu"/>
    <w:link w:val="Tekstmakra"/>
    <w:uiPriority w:val="99"/>
    <w:semiHidden/>
    <w:locked/>
    <w:rsid w:val="00DC4033"/>
    <w:rPr>
      <w:rFonts w:ascii="Consolas" w:eastAsia="MS Mincho" w:hAnsi="Consolas"/>
      <w:lang w:val="pl-PL" w:eastAsia="en-US"/>
    </w:rPr>
  </w:style>
  <w:style w:type="table" w:styleId="redniasiatka1">
    <w:name w:val="Medium Grid 1"/>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redniasiatka1akcent1">
    <w:name w:val="Medium Grid 1 Accent 1"/>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rFonts w:cs="Times New Roman"/>
        <w:b/>
        <w:bCs/>
      </w:rPr>
    </w:tblStylePr>
    <w:tblStylePr w:type="lastRow">
      <w:rPr>
        <w:rFonts w:cs="Times New Roman"/>
        <w:b/>
        <w:bCs/>
      </w:rPr>
      <w:tblPr/>
      <w:tcPr>
        <w:tcBorders>
          <w:top w:val="single" w:sz="18" w:space="0" w:color="0D9F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redniasiatka1akcent2">
    <w:name w:val="Medium Grid 1 Accent 2"/>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rFonts w:cs="Times New Roman"/>
        <w:b/>
        <w:bCs/>
      </w:rPr>
    </w:tblStylePr>
    <w:tblStylePr w:type="lastRow">
      <w:rPr>
        <w:rFonts w:cs="Times New Roman"/>
        <w:b/>
        <w:bCs/>
      </w:rPr>
      <w:tblPr/>
      <w:tcPr>
        <w:tcBorders>
          <w:top w:val="single" w:sz="18" w:space="0" w:color="FF101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redniasiatka1akcent3">
    <w:name w:val="Medium Grid 1 Accent 3"/>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redniasiatka1akcent4">
    <w:name w:val="Medium Grid 1 Accent 4"/>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rFonts w:cs="Times New Roman"/>
        <w:b/>
        <w:bCs/>
      </w:rPr>
    </w:tblStylePr>
    <w:tblStylePr w:type="lastRow">
      <w:rPr>
        <w:rFonts w:cs="Times New Roman"/>
        <w:b/>
        <w:bCs/>
      </w:rPr>
      <w:tblPr/>
      <w:tcPr>
        <w:tcBorders>
          <w:top w:val="single" w:sz="18" w:space="0" w:color="B0B0B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redniasiatka1akcent5">
    <w:name w:val="Medium Grid 1 Accent 5"/>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redniasiatka1akcent6">
    <w:name w:val="Medium Grid 1 Accent 6"/>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rFonts w:cs="Times New Roman"/>
        <w:b/>
        <w:bCs/>
      </w:rPr>
    </w:tblStylePr>
    <w:tblStylePr w:type="lastRow">
      <w:rPr>
        <w:rFonts w:cs="Times New Roman"/>
        <w:b/>
        <w:bCs/>
      </w:rPr>
      <w:tblPr/>
      <w:tcPr>
        <w:tcBorders>
          <w:top w:val="single" w:sz="18" w:space="0" w:color="7979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redniasiatka2">
    <w:name w:val="Medium Grid 2"/>
    <w:basedOn w:val="Standardowy"/>
    <w:uiPriority w:val="99"/>
    <w:semiHidden/>
    <w:rsid w:val="00DC4033"/>
    <w:pPr>
      <w:spacing w:after="0" w:line="240" w:lineRule="auto"/>
    </w:pPr>
    <w:rPr>
      <w:rFonts w:eastAsia="MS Gothic"/>
      <w:color w:val="000000"/>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0072BC"/>
      </w:tcPr>
    </w:tblStylePr>
  </w:style>
  <w:style w:type="table" w:styleId="redniasiatka2akcent1">
    <w:name w:val="Medium Grid 2 Accent 1"/>
    <w:basedOn w:val="Standardowy"/>
    <w:uiPriority w:val="99"/>
    <w:semiHidden/>
    <w:rsid w:val="00DC4033"/>
    <w:pPr>
      <w:spacing w:after="0" w:line="240" w:lineRule="auto"/>
    </w:pPr>
    <w:rPr>
      <w:rFonts w:eastAsia="MS Gothic"/>
      <w:color w:val="000000"/>
      <w:sz w:val="20"/>
      <w:szCs w:val="20"/>
    </w:rPr>
    <w:tblPr>
      <w:tblStyleRowBandSize w:val="1"/>
      <w:tblStyleColBandSize w:val="1"/>
      <w:tblInd w:w="0" w:type="nil"/>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rFonts w:cs="Times New Roman"/>
        <w:b/>
        <w:bCs/>
        <w:color w:val="000000"/>
      </w:rPr>
      <w:tblPr/>
      <w:tcPr>
        <w:shd w:val="clear" w:color="auto" w:fill="DFF2F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BEE5FF"/>
      </w:tcPr>
    </w:tblStylePr>
    <w:tblStylePr w:type="band1Vert">
      <w:rPr>
        <w:rFonts w:cs="Times New Roman"/>
      </w:rPr>
      <w:tblPr/>
      <w:tcPr>
        <w:shd w:val="clear" w:color="auto" w:fill="5EBFFF"/>
      </w:tcPr>
    </w:tblStylePr>
    <w:tblStylePr w:type="band1Horz">
      <w:rPr>
        <w:rFonts w:cs="Times New Roman"/>
      </w:rPr>
      <w:tblPr/>
      <w:tcPr>
        <w:tcBorders>
          <w:insideH w:val="single" w:sz="6" w:space="0" w:color="0072BC"/>
          <w:insideV w:val="single" w:sz="6" w:space="0" w:color="0072BC"/>
        </w:tcBorders>
        <w:shd w:val="clear" w:color="auto" w:fill="5EBFFF"/>
      </w:tcPr>
    </w:tblStylePr>
    <w:tblStylePr w:type="nwCell">
      <w:rPr>
        <w:rFonts w:cs="Times New Roman"/>
      </w:rPr>
      <w:tblPr/>
      <w:tcPr>
        <w:shd w:val="clear" w:color="auto" w:fill="0072BC"/>
      </w:tcPr>
    </w:tblStylePr>
  </w:style>
  <w:style w:type="table" w:styleId="redniasiatka2akcent2">
    <w:name w:val="Medium Grid 2 Accent 2"/>
    <w:basedOn w:val="Standardowy"/>
    <w:uiPriority w:val="99"/>
    <w:semiHidden/>
    <w:rsid w:val="00DC4033"/>
    <w:pPr>
      <w:spacing w:after="0" w:line="240" w:lineRule="auto"/>
    </w:pPr>
    <w:rPr>
      <w:rFonts w:eastAsia="MS Gothic"/>
      <w:color w:val="000000"/>
      <w:sz w:val="20"/>
      <w:szCs w:val="20"/>
    </w:rPr>
    <w:tblPr>
      <w:tblStyleRowBandSize w:val="1"/>
      <w:tblStyleColBandSize w:val="1"/>
      <w:tblInd w:w="0" w:type="nil"/>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rFonts w:cs="Times New Roman"/>
        <w:b/>
        <w:bCs/>
        <w:color w:val="000000"/>
      </w:rPr>
      <w:tblPr/>
      <w:tcPr>
        <w:shd w:val="clear" w:color="auto" w:fill="FFDFD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FFBFBF"/>
      </w:tcPr>
    </w:tblStylePr>
    <w:tblStylePr w:type="band1Vert">
      <w:rPr>
        <w:rFonts w:cs="Times New Roman"/>
      </w:rPr>
      <w:tblPr/>
      <w:tcPr>
        <w:shd w:val="clear" w:color="auto" w:fill="FF6060"/>
      </w:tcPr>
    </w:tblStylePr>
    <w:tblStylePr w:type="band1Horz">
      <w:rPr>
        <w:rFonts w:cs="Times New Roman"/>
      </w:rPr>
      <w:tblPr/>
      <w:tcPr>
        <w:tcBorders>
          <w:insideH w:val="single" w:sz="6" w:space="0" w:color="C00000"/>
          <w:insideV w:val="single" w:sz="6" w:space="0" w:color="C00000"/>
        </w:tcBorders>
        <w:shd w:val="clear" w:color="auto" w:fill="FF6060"/>
      </w:tcPr>
    </w:tblStylePr>
    <w:tblStylePr w:type="nwCell">
      <w:rPr>
        <w:rFonts w:cs="Times New Roman"/>
      </w:rPr>
      <w:tblPr/>
      <w:tcPr>
        <w:shd w:val="clear" w:color="auto" w:fill="0072BC"/>
      </w:tcPr>
    </w:tblStylePr>
  </w:style>
  <w:style w:type="table" w:styleId="redniasiatka2akcent3">
    <w:name w:val="Medium Grid 2 Accent 3"/>
    <w:basedOn w:val="Standardowy"/>
    <w:uiPriority w:val="99"/>
    <w:semiHidden/>
    <w:rsid w:val="00DC4033"/>
    <w:pPr>
      <w:spacing w:after="0" w:line="240" w:lineRule="auto"/>
    </w:pPr>
    <w:rPr>
      <w:rFonts w:eastAsia="MS Gothic"/>
      <w:color w:val="000000"/>
      <w:sz w:val="20"/>
      <w:szCs w:val="20"/>
    </w:rPr>
    <w:tblPr>
      <w:tblStyleRowBandSize w:val="1"/>
      <w:tblStyleColBandSize w:val="1"/>
      <w:tblInd w:w="0" w:type="nil"/>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redniasiatka2akcent4">
    <w:name w:val="Medium Grid 2 Accent 4"/>
    <w:basedOn w:val="Standardowy"/>
    <w:uiPriority w:val="99"/>
    <w:semiHidden/>
    <w:rsid w:val="00DC4033"/>
    <w:pPr>
      <w:spacing w:after="0" w:line="240" w:lineRule="auto"/>
    </w:pPr>
    <w:rPr>
      <w:rFonts w:eastAsia="MS Gothic"/>
      <w:color w:val="000000"/>
      <w:sz w:val="20"/>
      <w:szCs w:val="20"/>
    </w:rPr>
    <w:tblPr>
      <w:tblStyleRowBandSize w:val="1"/>
      <w:tblStyleColBandSize w:val="1"/>
      <w:tblInd w:w="0" w:type="nil"/>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rFonts w:cs="Times New Roman"/>
        <w:b/>
        <w:bCs/>
        <w:color w:val="000000"/>
      </w:rPr>
      <w:tblPr/>
      <w:tcPr>
        <w:shd w:val="clear" w:color="auto" w:fill="F4F4F4"/>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EAEAEA"/>
      </w:tcPr>
    </w:tblStylePr>
    <w:tblStylePr w:type="band1Vert">
      <w:rPr>
        <w:rFonts w:cs="Times New Roman"/>
      </w:rPr>
      <w:tblPr/>
      <w:tcPr>
        <w:shd w:val="clear" w:color="auto" w:fill="CACACA"/>
      </w:tcPr>
    </w:tblStylePr>
    <w:tblStylePr w:type="band1Horz">
      <w:rPr>
        <w:rFonts w:cs="Times New Roman"/>
      </w:rPr>
      <w:tblPr/>
      <w:tcPr>
        <w:tcBorders>
          <w:insideH w:val="single" w:sz="6" w:space="0" w:color="969696"/>
          <w:insideV w:val="single" w:sz="6" w:space="0" w:color="969696"/>
        </w:tcBorders>
        <w:shd w:val="clear" w:color="auto" w:fill="CACACA"/>
      </w:tcPr>
    </w:tblStylePr>
    <w:tblStylePr w:type="nwCell">
      <w:rPr>
        <w:rFonts w:cs="Times New Roman"/>
      </w:rPr>
      <w:tblPr/>
      <w:tcPr>
        <w:shd w:val="clear" w:color="auto" w:fill="0072BC"/>
      </w:tcPr>
    </w:tblStylePr>
  </w:style>
  <w:style w:type="table" w:styleId="redniasiatka2akcent5">
    <w:name w:val="Medium Grid 2 Accent 5"/>
    <w:basedOn w:val="Standardowy"/>
    <w:uiPriority w:val="99"/>
    <w:semiHidden/>
    <w:rsid w:val="00DC4033"/>
    <w:pPr>
      <w:spacing w:after="0" w:line="240" w:lineRule="auto"/>
    </w:pPr>
    <w:rPr>
      <w:rFonts w:eastAsia="MS Gothic"/>
      <w:color w:val="000000"/>
      <w:sz w:val="20"/>
      <w:szCs w:val="20"/>
    </w:rPr>
    <w:tblPr>
      <w:tblStyleRowBandSize w:val="1"/>
      <w:tblStyleColBandSize w:val="1"/>
      <w:tblInd w:w="0" w:type="nil"/>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redniasiatka2akcent6">
    <w:name w:val="Medium Grid 2 Accent 6"/>
    <w:basedOn w:val="Standardowy"/>
    <w:uiPriority w:val="99"/>
    <w:semiHidden/>
    <w:rsid w:val="00DC4033"/>
    <w:pPr>
      <w:spacing w:after="0" w:line="240" w:lineRule="auto"/>
    </w:pPr>
    <w:rPr>
      <w:rFonts w:eastAsia="MS Gothic"/>
      <w:color w:val="000000"/>
      <w:sz w:val="20"/>
      <w:szCs w:val="20"/>
    </w:rPr>
    <w:tblPr>
      <w:tblStyleRowBandSize w:val="1"/>
      <w:tblStyleColBandSize w:val="1"/>
      <w:tblInd w:w="0" w:type="nil"/>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rFonts w:cs="Times New Roman"/>
        <w:b/>
        <w:bCs/>
        <w:color w:val="000000"/>
      </w:rPr>
      <w:tblPr/>
      <w:tcPr>
        <w:shd w:val="clear" w:color="auto" w:fill="ED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BDBDB"/>
      </w:tcPr>
    </w:tblStylePr>
    <w:tblStylePr w:type="band1Vert">
      <w:rPr>
        <w:rFonts w:cs="Times New Roman"/>
      </w:rPr>
      <w:tblPr/>
      <w:tcPr>
        <w:shd w:val="clear" w:color="auto" w:fill="A6A6A6"/>
      </w:tcPr>
    </w:tblStylePr>
    <w:tblStylePr w:type="band1Horz">
      <w:rPr>
        <w:rFonts w:cs="Times New Roman"/>
      </w:rPr>
      <w:tblPr/>
      <w:tcPr>
        <w:tcBorders>
          <w:insideH w:val="single" w:sz="6" w:space="0" w:color="4D4D4D"/>
          <w:insideV w:val="single" w:sz="6" w:space="0" w:color="4D4D4D"/>
        </w:tcBorders>
        <w:shd w:val="clear" w:color="auto" w:fill="A6A6A6"/>
      </w:tcPr>
    </w:tblStylePr>
    <w:tblStylePr w:type="nwCell">
      <w:rPr>
        <w:rFonts w:cs="Times New Roman"/>
      </w:rPr>
      <w:tblPr/>
      <w:tcPr>
        <w:shd w:val="clear" w:color="auto" w:fill="0072BC"/>
      </w:tcPr>
    </w:tblStylePr>
  </w:style>
  <w:style w:type="table" w:styleId="redniasiatka3">
    <w:name w:val="Medium Grid 3"/>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redniasiatka3akcent1">
    <w:name w:val="Medium Grid 3 Accent 1"/>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redniasiatka3akcent2">
    <w:name w:val="Medium Grid 3 Accent 2"/>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redniasiatka3akcent3">
    <w:name w:val="Medium Grid 3 Accent 3"/>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redniasiatka3akcent4">
    <w:name w:val="Medium Grid 3 Accent 4"/>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redniasiatka3akcent5">
    <w:name w:val="Medium Grid 3 Accent 5"/>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redniasiatka3akcent6">
    <w:name w:val="Medium Grid 3 Accent 6"/>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rednialista1">
    <w:name w:val="Medium List 1"/>
    <w:basedOn w:val="Standardowy"/>
    <w:uiPriority w:val="99"/>
    <w:semiHidden/>
    <w:rsid w:val="00DC4033"/>
    <w:pPr>
      <w:spacing w:after="0" w:line="240" w:lineRule="auto"/>
    </w:pPr>
    <w:rPr>
      <w:color w:val="000000"/>
      <w:sz w:val="20"/>
      <w:szCs w:val="20"/>
    </w:rPr>
    <w:tblPr>
      <w:tblStyleRowBandSize w:val="1"/>
      <w:tblStyleColBandSize w:val="1"/>
      <w:tblInd w:w="0" w:type="nil"/>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rFonts w:cs="Times New Roman"/>
        <w:b/>
        <w:bCs/>
        <w:color w:val="C6C6C6"/>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rednialista1akcent1">
    <w:name w:val="Medium List 1 Accent 1"/>
    <w:basedOn w:val="Standardowy"/>
    <w:uiPriority w:val="99"/>
    <w:semiHidden/>
    <w:rsid w:val="00DC4033"/>
    <w:pPr>
      <w:spacing w:after="0" w:line="240" w:lineRule="auto"/>
    </w:pPr>
    <w:rPr>
      <w:color w:val="000000"/>
      <w:sz w:val="20"/>
      <w:szCs w:val="20"/>
    </w:rPr>
    <w:tblPr>
      <w:tblStyleRowBandSize w:val="1"/>
      <w:tblStyleColBandSize w:val="1"/>
      <w:tblInd w:w="0" w:type="nil"/>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rFonts w:cs="Times New Roman"/>
        <w:b/>
        <w:bCs/>
        <w:color w:val="C6C6C6"/>
      </w:rPr>
      <w:tblPr/>
      <w:tcPr>
        <w:tcBorders>
          <w:top w:val="single" w:sz="8" w:space="0" w:color="0072BC"/>
          <w:bottom w:val="single" w:sz="8" w:space="0" w:color="0072BC"/>
        </w:tcBorders>
      </w:tcPr>
    </w:tblStylePr>
    <w:tblStylePr w:type="firstCol">
      <w:rPr>
        <w:rFonts w:cs="Times New Roman"/>
        <w:b/>
        <w:bCs/>
      </w:rPr>
    </w:tblStylePr>
    <w:tblStylePr w:type="lastCol">
      <w:rPr>
        <w:rFonts w:cs="Times New Roman"/>
        <w:b/>
        <w:bCs/>
      </w:rPr>
      <w:tblPr/>
      <w:tcPr>
        <w:tcBorders>
          <w:top w:val="single" w:sz="8" w:space="0" w:color="0072BC"/>
          <w:bottom w:val="single" w:sz="8" w:space="0" w:color="0072BC"/>
        </w:tcBorders>
      </w:tcPr>
    </w:tblStylePr>
    <w:tblStylePr w:type="band1Vert">
      <w:rPr>
        <w:rFonts w:cs="Times New Roman"/>
      </w:rPr>
      <w:tblPr/>
      <w:tcPr>
        <w:shd w:val="clear" w:color="auto" w:fill="AFDFFF"/>
      </w:tcPr>
    </w:tblStylePr>
    <w:tblStylePr w:type="band1Horz">
      <w:rPr>
        <w:rFonts w:cs="Times New Roman"/>
      </w:rPr>
      <w:tblPr/>
      <w:tcPr>
        <w:shd w:val="clear" w:color="auto" w:fill="AFDFFF"/>
      </w:tcPr>
    </w:tblStylePr>
  </w:style>
  <w:style w:type="table" w:styleId="rednialista1akcent2">
    <w:name w:val="Medium List 1 Accent 2"/>
    <w:basedOn w:val="Standardowy"/>
    <w:uiPriority w:val="99"/>
    <w:semiHidden/>
    <w:rsid w:val="00DC4033"/>
    <w:pPr>
      <w:spacing w:after="0" w:line="240" w:lineRule="auto"/>
    </w:pPr>
    <w:rPr>
      <w:color w:val="000000"/>
      <w:sz w:val="20"/>
      <w:szCs w:val="20"/>
    </w:rPr>
    <w:tblPr>
      <w:tblStyleRowBandSize w:val="1"/>
      <w:tblStyleColBandSize w:val="1"/>
      <w:tblInd w:w="0" w:type="nil"/>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rFonts w:cs="Times New Roman"/>
        <w:b/>
        <w:bCs/>
        <w:color w:val="C6C6C6"/>
      </w:rPr>
      <w:tblPr/>
      <w:tcPr>
        <w:tcBorders>
          <w:top w:val="single" w:sz="8" w:space="0" w:color="C00000"/>
          <w:bottom w:val="single" w:sz="8" w:space="0" w:color="C00000"/>
        </w:tcBorders>
      </w:tcPr>
    </w:tblStylePr>
    <w:tblStylePr w:type="firstCol">
      <w:rPr>
        <w:rFonts w:cs="Times New Roman"/>
        <w:b/>
        <w:bCs/>
      </w:rPr>
    </w:tblStylePr>
    <w:tblStylePr w:type="lastCol">
      <w:rPr>
        <w:rFonts w:cs="Times New Roman"/>
        <w:b/>
        <w:bCs/>
      </w:rPr>
      <w:tblPr/>
      <w:tcPr>
        <w:tcBorders>
          <w:top w:val="single" w:sz="8" w:space="0" w:color="C00000"/>
          <w:bottom w:val="single" w:sz="8" w:space="0" w:color="C00000"/>
        </w:tcBorders>
      </w:tcPr>
    </w:tblStylePr>
    <w:tblStylePr w:type="band1Vert">
      <w:rPr>
        <w:rFonts w:cs="Times New Roman"/>
      </w:rPr>
      <w:tblPr/>
      <w:tcPr>
        <w:shd w:val="clear" w:color="auto" w:fill="FFB0B0"/>
      </w:tcPr>
    </w:tblStylePr>
    <w:tblStylePr w:type="band1Horz">
      <w:rPr>
        <w:rFonts w:cs="Times New Roman"/>
      </w:rPr>
      <w:tblPr/>
      <w:tcPr>
        <w:shd w:val="clear" w:color="auto" w:fill="FFB0B0"/>
      </w:tcPr>
    </w:tblStylePr>
  </w:style>
  <w:style w:type="table" w:styleId="rednialista1akcent3">
    <w:name w:val="Medium List 1 Accent 3"/>
    <w:basedOn w:val="Standardowy"/>
    <w:uiPriority w:val="99"/>
    <w:semiHidden/>
    <w:rsid w:val="00DC4033"/>
    <w:pPr>
      <w:spacing w:after="0" w:line="240" w:lineRule="auto"/>
    </w:pPr>
    <w:rPr>
      <w:color w:val="000000"/>
      <w:sz w:val="20"/>
      <w:szCs w:val="20"/>
    </w:rPr>
    <w:tblPr>
      <w:tblStyleRowBandSize w:val="1"/>
      <w:tblStyleColBandSize w:val="1"/>
      <w:tblInd w:w="0" w:type="nil"/>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rednialista1akcent4">
    <w:name w:val="Medium List 1 Accent 4"/>
    <w:basedOn w:val="Standardowy"/>
    <w:uiPriority w:val="99"/>
    <w:semiHidden/>
    <w:rsid w:val="00DC4033"/>
    <w:pPr>
      <w:spacing w:after="0" w:line="240" w:lineRule="auto"/>
    </w:pPr>
    <w:rPr>
      <w:color w:val="000000"/>
      <w:sz w:val="20"/>
      <w:szCs w:val="20"/>
    </w:rPr>
    <w:tblPr>
      <w:tblStyleRowBandSize w:val="1"/>
      <w:tblStyleColBandSize w:val="1"/>
      <w:tblInd w:w="0" w:type="nil"/>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rFonts w:cs="Times New Roman"/>
        <w:b/>
        <w:bCs/>
        <w:color w:val="C6C6C6"/>
      </w:rPr>
      <w:tblPr/>
      <w:tcPr>
        <w:tcBorders>
          <w:top w:val="single" w:sz="8" w:space="0" w:color="969696"/>
          <w:bottom w:val="single" w:sz="8" w:space="0" w:color="969696"/>
        </w:tcBorders>
      </w:tcPr>
    </w:tblStylePr>
    <w:tblStylePr w:type="firstCol">
      <w:rPr>
        <w:rFonts w:cs="Times New Roman"/>
        <w:b/>
        <w:bCs/>
      </w:rPr>
    </w:tblStylePr>
    <w:tblStylePr w:type="lastCol">
      <w:rPr>
        <w:rFonts w:cs="Times New Roman"/>
        <w:b/>
        <w:bCs/>
      </w:rPr>
      <w:tblPr/>
      <w:tcPr>
        <w:tcBorders>
          <w:top w:val="single" w:sz="8" w:space="0" w:color="969696"/>
          <w:bottom w:val="single" w:sz="8" w:space="0" w:color="969696"/>
        </w:tcBorders>
      </w:tcPr>
    </w:tblStylePr>
    <w:tblStylePr w:type="band1Vert">
      <w:rPr>
        <w:rFonts w:cs="Times New Roman"/>
      </w:rPr>
      <w:tblPr/>
      <w:tcPr>
        <w:shd w:val="clear" w:color="auto" w:fill="E5E5E5"/>
      </w:tcPr>
    </w:tblStylePr>
    <w:tblStylePr w:type="band1Horz">
      <w:rPr>
        <w:rFonts w:cs="Times New Roman"/>
      </w:rPr>
      <w:tblPr/>
      <w:tcPr>
        <w:shd w:val="clear" w:color="auto" w:fill="E5E5E5"/>
      </w:tcPr>
    </w:tblStylePr>
  </w:style>
  <w:style w:type="table" w:styleId="rednialista1akcent5">
    <w:name w:val="Medium List 1 Accent 5"/>
    <w:basedOn w:val="Standardowy"/>
    <w:uiPriority w:val="99"/>
    <w:semiHidden/>
    <w:rsid w:val="00DC4033"/>
    <w:pPr>
      <w:spacing w:after="0" w:line="240" w:lineRule="auto"/>
    </w:pPr>
    <w:rPr>
      <w:color w:val="000000"/>
      <w:sz w:val="20"/>
      <w:szCs w:val="20"/>
    </w:rPr>
    <w:tblPr>
      <w:tblStyleRowBandSize w:val="1"/>
      <w:tblStyleColBandSize w:val="1"/>
      <w:tblInd w:w="0" w:type="nil"/>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rednialista1akcent6">
    <w:name w:val="Medium List 1 Accent 6"/>
    <w:basedOn w:val="Standardowy"/>
    <w:uiPriority w:val="99"/>
    <w:semiHidden/>
    <w:rsid w:val="00DC4033"/>
    <w:pPr>
      <w:spacing w:after="0" w:line="240" w:lineRule="auto"/>
    </w:pPr>
    <w:rPr>
      <w:color w:val="000000"/>
      <w:sz w:val="20"/>
      <w:szCs w:val="20"/>
    </w:rPr>
    <w:tblPr>
      <w:tblStyleRowBandSize w:val="1"/>
      <w:tblStyleColBandSize w:val="1"/>
      <w:tblInd w:w="0" w:type="nil"/>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rFonts w:cs="Times New Roman"/>
        <w:b/>
        <w:bCs/>
        <w:color w:val="C6C6C6"/>
      </w:rPr>
      <w:tblPr/>
      <w:tcPr>
        <w:tcBorders>
          <w:top w:val="single" w:sz="8" w:space="0" w:color="4D4D4D"/>
          <w:bottom w:val="single" w:sz="8" w:space="0" w:color="4D4D4D"/>
        </w:tcBorders>
      </w:tcPr>
    </w:tblStylePr>
    <w:tblStylePr w:type="firstCol">
      <w:rPr>
        <w:rFonts w:cs="Times New Roman"/>
        <w:b/>
        <w:bCs/>
      </w:rPr>
    </w:tblStylePr>
    <w:tblStylePr w:type="lastCol">
      <w:rPr>
        <w:rFonts w:cs="Times New Roman"/>
        <w:b/>
        <w:bCs/>
      </w:rPr>
      <w:tblPr/>
      <w:tcPr>
        <w:tcBorders>
          <w:top w:val="single" w:sz="8" w:space="0" w:color="4D4D4D"/>
          <w:bottom w:val="single" w:sz="8" w:space="0" w:color="4D4D4D"/>
        </w:tcBorders>
      </w:tcPr>
    </w:tblStylePr>
    <w:tblStylePr w:type="band1Vert">
      <w:rPr>
        <w:rFonts w:cs="Times New Roman"/>
      </w:rPr>
      <w:tblPr/>
      <w:tcPr>
        <w:shd w:val="clear" w:color="auto" w:fill="D3D3D3"/>
      </w:tcPr>
    </w:tblStylePr>
    <w:tblStylePr w:type="band1Horz">
      <w:rPr>
        <w:rFonts w:cs="Times New Roman"/>
      </w:rPr>
      <w:tblPr/>
      <w:tcPr>
        <w:shd w:val="clear" w:color="auto" w:fill="D3D3D3"/>
      </w:tcPr>
    </w:tblStylePr>
  </w:style>
  <w:style w:type="table" w:styleId="rednialista2">
    <w:name w:val="Medium List 2"/>
    <w:basedOn w:val="Standardowy"/>
    <w:uiPriority w:val="99"/>
    <w:semiHidden/>
    <w:rsid w:val="00DC4033"/>
    <w:pPr>
      <w:spacing w:after="0" w:line="240" w:lineRule="auto"/>
    </w:pPr>
    <w:rPr>
      <w:rFonts w:eastAsia="MS Gothic"/>
      <w:color w:val="000000"/>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0072BC"/>
      </w:tcPr>
    </w:tblStylePr>
    <w:tblStylePr w:type="lastRow">
      <w:rPr>
        <w:rFonts w:cs="Times New Roman"/>
      </w:rPr>
      <w:tblPr/>
      <w:tcPr>
        <w:tcBorders>
          <w:top w:val="single" w:sz="8" w:space="0" w:color="0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0000"/>
          <w:insideH w:val="nil"/>
          <w:insideV w:val="nil"/>
        </w:tcBorders>
        <w:shd w:val="clear" w:color="auto" w:fill="0072BC"/>
      </w:tcPr>
    </w:tblStylePr>
    <w:tblStylePr w:type="lastCol">
      <w:rPr>
        <w:rFonts w:cs="Times New Roman"/>
      </w:rPr>
      <w:tblPr/>
      <w:tcPr>
        <w:tcBorders>
          <w:top w:val="nil"/>
          <w:left w:val="single" w:sz="8" w:space="0" w:color="0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rednialista2akcent1">
    <w:name w:val="Medium List 2 Accent 1"/>
    <w:basedOn w:val="Standardowy"/>
    <w:uiPriority w:val="99"/>
    <w:semiHidden/>
    <w:rsid w:val="00DC4033"/>
    <w:pPr>
      <w:spacing w:after="0" w:line="240" w:lineRule="auto"/>
    </w:pPr>
    <w:rPr>
      <w:rFonts w:eastAsia="MS Gothic"/>
      <w:color w:val="000000"/>
      <w:sz w:val="20"/>
      <w:szCs w:val="20"/>
    </w:rPr>
    <w:tblPr>
      <w:tblStyleRowBandSize w:val="1"/>
      <w:tblStyleColBandSize w:val="1"/>
      <w:tblInd w:w="0" w:type="nil"/>
      <w:tblBorders>
        <w:top w:val="single" w:sz="8" w:space="0" w:color="0072BC"/>
        <w:left w:val="single" w:sz="8" w:space="0" w:color="0072BC"/>
        <w:bottom w:val="single" w:sz="8" w:space="0" w:color="0072BC"/>
        <w:right w:val="single" w:sz="8" w:space="0" w:color="0072BC"/>
      </w:tblBorders>
    </w:tblPr>
    <w:tblStylePr w:type="firstRow">
      <w:rPr>
        <w:rFonts w:cs="Times New Roman"/>
        <w:sz w:val="24"/>
        <w:szCs w:val="24"/>
      </w:rPr>
      <w:tblPr/>
      <w:tcPr>
        <w:tcBorders>
          <w:top w:val="nil"/>
          <w:left w:val="nil"/>
          <w:bottom w:val="single" w:sz="24" w:space="0" w:color="0072BC"/>
          <w:right w:val="nil"/>
          <w:insideH w:val="nil"/>
          <w:insideV w:val="nil"/>
        </w:tcBorders>
        <w:shd w:val="clear" w:color="auto" w:fill="0072BC"/>
      </w:tcPr>
    </w:tblStylePr>
    <w:tblStylePr w:type="lastRow">
      <w:rPr>
        <w:rFonts w:cs="Times New Roman"/>
      </w:rPr>
      <w:tblPr/>
      <w:tcPr>
        <w:tcBorders>
          <w:top w:val="single" w:sz="8" w:space="0" w:color="0072BC"/>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72BC"/>
          <w:insideH w:val="nil"/>
          <w:insideV w:val="nil"/>
        </w:tcBorders>
        <w:shd w:val="clear" w:color="auto" w:fill="0072BC"/>
      </w:tcPr>
    </w:tblStylePr>
    <w:tblStylePr w:type="lastCol">
      <w:rPr>
        <w:rFonts w:cs="Times New Roman"/>
      </w:rPr>
      <w:tblPr/>
      <w:tcPr>
        <w:tcBorders>
          <w:top w:val="nil"/>
          <w:left w:val="single" w:sz="8" w:space="0" w:color="0072BC"/>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top w:val="nil"/>
          <w:bottom w:val="nil"/>
          <w:insideH w:val="nil"/>
          <w:insideV w:val="nil"/>
        </w:tcBorders>
        <w:shd w:val="clear" w:color="auto" w:fill="AFDFFF"/>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rednialista2akcent2">
    <w:name w:val="Medium List 2 Accent 2"/>
    <w:basedOn w:val="Standardowy"/>
    <w:uiPriority w:val="99"/>
    <w:semiHidden/>
    <w:rsid w:val="00DC4033"/>
    <w:pPr>
      <w:spacing w:after="0" w:line="240" w:lineRule="auto"/>
    </w:pPr>
    <w:rPr>
      <w:rFonts w:eastAsia="MS Gothic"/>
      <w:color w:val="000000"/>
      <w:sz w:val="20"/>
      <w:szCs w:val="20"/>
    </w:rPr>
    <w:tblPr>
      <w:tblStyleRowBandSize w:val="1"/>
      <w:tblStyleColBandSize w:val="1"/>
      <w:tblInd w:w="0" w:type="nil"/>
      <w:tblBorders>
        <w:top w:val="single" w:sz="8" w:space="0" w:color="C00000"/>
        <w:left w:val="single" w:sz="8" w:space="0" w:color="C00000"/>
        <w:bottom w:val="single" w:sz="8" w:space="0" w:color="C00000"/>
        <w:right w:val="single" w:sz="8" w:space="0" w:color="C00000"/>
      </w:tblBorders>
    </w:tblPr>
    <w:tblStylePr w:type="firstRow">
      <w:rPr>
        <w:rFonts w:cs="Times New Roman"/>
        <w:sz w:val="24"/>
        <w:szCs w:val="24"/>
      </w:rPr>
      <w:tblPr/>
      <w:tcPr>
        <w:tcBorders>
          <w:top w:val="nil"/>
          <w:left w:val="nil"/>
          <w:bottom w:val="single" w:sz="24" w:space="0" w:color="C00000"/>
          <w:right w:val="nil"/>
          <w:insideH w:val="nil"/>
          <w:insideV w:val="nil"/>
        </w:tcBorders>
        <w:shd w:val="clear" w:color="auto" w:fill="0072BC"/>
      </w:tcPr>
    </w:tblStylePr>
    <w:tblStylePr w:type="lastRow">
      <w:rPr>
        <w:rFonts w:cs="Times New Roman"/>
      </w:rPr>
      <w:tblPr/>
      <w:tcPr>
        <w:tcBorders>
          <w:top w:val="single" w:sz="8" w:space="0" w:color="C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C00000"/>
          <w:insideH w:val="nil"/>
          <w:insideV w:val="nil"/>
        </w:tcBorders>
        <w:shd w:val="clear" w:color="auto" w:fill="0072BC"/>
      </w:tcPr>
    </w:tblStylePr>
    <w:tblStylePr w:type="lastCol">
      <w:rPr>
        <w:rFonts w:cs="Times New Roman"/>
      </w:rPr>
      <w:tblPr/>
      <w:tcPr>
        <w:tcBorders>
          <w:top w:val="nil"/>
          <w:left w:val="single" w:sz="8" w:space="0" w:color="C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top w:val="nil"/>
          <w:bottom w:val="nil"/>
          <w:insideH w:val="nil"/>
          <w:insideV w:val="nil"/>
        </w:tcBorders>
        <w:shd w:val="clear" w:color="auto" w:fill="FFB0B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rednialista2akcent3">
    <w:name w:val="Medium List 2 Accent 3"/>
    <w:basedOn w:val="Standardowy"/>
    <w:uiPriority w:val="99"/>
    <w:semiHidden/>
    <w:rsid w:val="00DC4033"/>
    <w:pPr>
      <w:spacing w:after="0" w:line="240" w:lineRule="auto"/>
    </w:pPr>
    <w:rPr>
      <w:rFonts w:eastAsia="MS Gothic"/>
      <w:color w:val="000000"/>
      <w:sz w:val="20"/>
      <w:szCs w:val="20"/>
    </w:rPr>
    <w:tblPr>
      <w:tblStyleRowBandSize w:val="1"/>
      <w:tblStyleColBandSize w:val="1"/>
      <w:tblInd w:w="0" w:type="nil"/>
      <w:tblBorders>
        <w:top w:val="single" w:sz="8" w:space="0" w:color="5F5F5F"/>
        <w:left w:val="single" w:sz="8" w:space="0" w:color="5F5F5F"/>
        <w:bottom w:val="single" w:sz="8" w:space="0" w:color="5F5F5F"/>
        <w:right w:val="single" w:sz="8" w:space="0" w:color="5F5F5F"/>
      </w:tblBorders>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rednialista2akcent4">
    <w:name w:val="Medium List 2 Accent 4"/>
    <w:basedOn w:val="Standardowy"/>
    <w:uiPriority w:val="99"/>
    <w:semiHidden/>
    <w:rsid w:val="00DC4033"/>
    <w:pPr>
      <w:spacing w:after="0" w:line="240" w:lineRule="auto"/>
    </w:pPr>
    <w:rPr>
      <w:rFonts w:eastAsia="MS Gothic"/>
      <w:color w:val="000000"/>
      <w:sz w:val="20"/>
      <w:szCs w:val="20"/>
    </w:rPr>
    <w:tblPr>
      <w:tblStyleRowBandSize w:val="1"/>
      <w:tblStyleColBandSize w:val="1"/>
      <w:tblInd w:w="0" w:type="nil"/>
      <w:tblBorders>
        <w:top w:val="single" w:sz="8" w:space="0" w:color="969696"/>
        <w:left w:val="single" w:sz="8" w:space="0" w:color="969696"/>
        <w:bottom w:val="single" w:sz="8" w:space="0" w:color="969696"/>
        <w:right w:val="single" w:sz="8" w:space="0" w:color="969696"/>
      </w:tblBorders>
    </w:tblPr>
    <w:tblStylePr w:type="firstRow">
      <w:rPr>
        <w:rFonts w:cs="Times New Roman"/>
        <w:sz w:val="24"/>
        <w:szCs w:val="24"/>
      </w:rPr>
      <w:tblPr/>
      <w:tcPr>
        <w:tcBorders>
          <w:top w:val="nil"/>
          <w:left w:val="nil"/>
          <w:bottom w:val="single" w:sz="24" w:space="0" w:color="969696"/>
          <w:right w:val="nil"/>
          <w:insideH w:val="nil"/>
          <w:insideV w:val="nil"/>
        </w:tcBorders>
        <w:shd w:val="clear" w:color="auto" w:fill="0072BC"/>
      </w:tcPr>
    </w:tblStylePr>
    <w:tblStylePr w:type="lastRow">
      <w:rPr>
        <w:rFonts w:cs="Times New Roman"/>
      </w:rPr>
      <w:tblPr/>
      <w:tcPr>
        <w:tcBorders>
          <w:top w:val="single" w:sz="8" w:space="0" w:color="969696"/>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969696"/>
          <w:insideH w:val="nil"/>
          <w:insideV w:val="nil"/>
        </w:tcBorders>
        <w:shd w:val="clear" w:color="auto" w:fill="0072BC"/>
      </w:tcPr>
    </w:tblStylePr>
    <w:tblStylePr w:type="lastCol">
      <w:rPr>
        <w:rFonts w:cs="Times New Roman"/>
      </w:rPr>
      <w:tblPr/>
      <w:tcPr>
        <w:tcBorders>
          <w:top w:val="nil"/>
          <w:left w:val="single" w:sz="8" w:space="0" w:color="969696"/>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top w:val="nil"/>
          <w:bottom w:val="nil"/>
          <w:insideH w:val="nil"/>
          <w:insideV w:val="nil"/>
        </w:tcBorders>
        <w:shd w:val="clear" w:color="auto" w:fill="E5E5E5"/>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rednialista2akcent5">
    <w:name w:val="Medium List 2 Accent 5"/>
    <w:basedOn w:val="Standardowy"/>
    <w:uiPriority w:val="99"/>
    <w:semiHidden/>
    <w:rsid w:val="00DC4033"/>
    <w:pPr>
      <w:spacing w:after="0" w:line="240" w:lineRule="auto"/>
    </w:pPr>
    <w:rPr>
      <w:rFonts w:eastAsia="MS Gothic"/>
      <w:color w:val="000000"/>
      <w:sz w:val="20"/>
      <w:szCs w:val="20"/>
    </w:rPr>
    <w:tblPr>
      <w:tblStyleRowBandSize w:val="1"/>
      <w:tblStyleColBandSize w:val="1"/>
      <w:tblInd w:w="0" w:type="nil"/>
      <w:tblBorders>
        <w:top w:val="single" w:sz="8" w:space="0" w:color="5F5F5F"/>
        <w:left w:val="single" w:sz="8" w:space="0" w:color="5F5F5F"/>
        <w:bottom w:val="single" w:sz="8" w:space="0" w:color="5F5F5F"/>
        <w:right w:val="single" w:sz="8" w:space="0" w:color="5F5F5F"/>
      </w:tblBorders>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rednialista2akcent6">
    <w:name w:val="Medium List 2 Accent 6"/>
    <w:basedOn w:val="Standardowy"/>
    <w:uiPriority w:val="99"/>
    <w:semiHidden/>
    <w:rsid w:val="00DC4033"/>
    <w:pPr>
      <w:spacing w:after="0" w:line="240" w:lineRule="auto"/>
    </w:pPr>
    <w:rPr>
      <w:rFonts w:eastAsia="MS Gothic"/>
      <w:color w:val="000000"/>
      <w:sz w:val="20"/>
      <w:szCs w:val="20"/>
    </w:rPr>
    <w:tblPr>
      <w:tblStyleRowBandSize w:val="1"/>
      <w:tblStyleColBandSize w:val="1"/>
      <w:tblInd w:w="0" w:type="nil"/>
      <w:tblBorders>
        <w:top w:val="single" w:sz="8" w:space="0" w:color="4D4D4D"/>
        <w:left w:val="single" w:sz="8" w:space="0" w:color="4D4D4D"/>
        <w:bottom w:val="single" w:sz="8" w:space="0" w:color="4D4D4D"/>
        <w:right w:val="single" w:sz="8" w:space="0" w:color="4D4D4D"/>
      </w:tblBorders>
    </w:tblPr>
    <w:tblStylePr w:type="firstRow">
      <w:rPr>
        <w:rFonts w:cs="Times New Roman"/>
        <w:sz w:val="24"/>
        <w:szCs w:val="24"/>
      </w:rPr>
      <w:tblPr/>
      <w:tcPr>
        <w:tcBorders>
          <w:top w:val="nil"/>
          <w:left w:val="nil"/>
          <w:bottom w:val="single" w:sz="24" w:space="0" w:color="4D4D4D"/>
          <w:right w:val="nil"/>
          <w:insideH w:val="nil"/>
          <w:insideV w:val="nil"/>
        </w:tcBorders>
        <w:shd w:val="clear" w:color="auto" w:fill="0072BC"/>
      </w:tcPr>
    </w:tblStylePr>
    <w:tblStylePr w:type="lastRow">
      <w:rPr>
        <w:rFonts w:cs="Times New Roman"/>
      </w:rPr>
      <w:tblPr/>
      <w:tcPr>
        <w:tcBorders>
          <w:top w:val="single" w:sz="8" w:space="0" w:color="4D4D4D"/>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4D4D4D"/>
          <w:insideH w:val="nil"/>
          <w:insideV w:val="nil"/>
        </w:tcBorders>
        <w:shd w:val="clear" w:color="auto" w:fill="0072BC"/>
      </w:tcPr>
    </w:tblStylePr>
    <w:tblStylePr w:type="lastCol">
      <w:rPr>
        <w:rFonts w:cs="Times New Roman"/>
      </w:rPr>
      <w:tblPr/>
      <w:tcPr>
        <w:tcBorders>
          <w:top w:val="nil"/>
          <w:left w:val="single" w:sz="8" w:space="0" w:color="4D4D4D"/>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top w:val="nil"/>
          <w:bottom w:val="nil"/>
          <w:insideH w:val="nil"/>
          <w:insideV w:val="nil"/>
        </w:tcBorders>
        <w:shd w:val="clear" w:color="auto" w:fill="D3D3D3"/>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redniecieniowanie1">
    <w:name w:val="Medium Shading 1"/>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redniecieniowanie1akcent1">
    <w:name w:val="Medium Shading 1 Accent 1"/>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pPr>
      <w:rPr>
        <w:rFonts w:cs="Times New Roman"/>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pPr>
      <w:rPr>
        <w:rFonts w:cs="Times New Roman"/>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DFFF"/>
      </w:tcPr>
    </w:tblStylePr>
    <w:tblStylePr w:type="band1Horz">
      <w:rPr>
        <w:rFonts w:cs="Times New Roman"/>
      </w:rPr>
      <w:tblPr/>
      <w:tcPr>
        <w:tcBorders>
          <w:insideH w:val="nil"/>
          <w:insideV w:val="nil"/>
        </w:tcBorders>
        <w:shd w:val="clear" w:color="auto" w:fill="AFDFFF"/>
      </w:tcPr>
    </w:tblStylePr>
    <w:tblStylePr w:type="band2Horz">
      <w:rPr>
        <w:rFonts w:cs="Times New Roman"/>
      </w:rPr>
      <w:tblPr/>
      <w:tcPr>
        <w:tcBorders>
          <w:insideH w:val="nil"/>
          <w:insideV w:val="nil"/>
        </w:tcBorders>
      </w:tcPr>
    </w:tblStylePr>
  </w:style>
  <w:style w:type="table" w:styleId="redniecieniowanie1akcent2">
    <w:name w:val="Medium Shading 1 Accent 2"/>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pPr>
      <w:rPr>
        <w:rFonts w:cs="Times New Roman"/>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rFonts w:cs="Times New Roman"/>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B0B0"/>
      </w:tcPr>
    </w:tblStylePr>
    <w:tblStylePr w:type="band1Horz">
      <w:rPr>
        <w:rFonts w:cs="Times New Roman"/>
      </w:rPr>
      <w:tblPr/>
      <w:tcPr>
        <w:tcBorders>
          <w:insideH w:val="nil"/>
          <w:insideV w:val="nil"/>
        </w:tcBorders>
        <w:shd w:val="clear" w:color="auto" w:fill="FFB0B0"/>
      </w:tcPr>
    </w:tblStylePr>
    <w:tblStylePr w:type="band2Horz">
      <w:rPr>
        <w:rFonts w:cs="Times New Roman"/>
      </w:rPr>
      <w:tblPr/>
      <w:tcPr>
        <w:tcBorders>
          <w:insideH w:val="nil"/>
          <w:insideV w:val="nil"/>
        </w:tcBorders>
      </w:tcPr>
    </w:tblStylePr>
  </w:style>
  <w:style w:type="table" w:styleId="redniecieniowanie1akcent3">
    <w:name w:val="Medium Shading 1 Accent 3"/>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redniecieniowanie1akcent4">
    <w:name w:val="Medium Shading 1 Accent 4"/>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pPr>
      <w:rPr>
        <w:rFonts w:cs="Times New Roman"/>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pPr>
      <w:rPr>
        <w:rFonts w:cs="Times New Roman"/>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E5E5"/>
      </w:tcPr>
    </w:tblStylePr>
    <w:tblStylePr w:type="band1Horz">
      <w:rPr>
        <w:rFonts w:cs="Times New Roman"/>
      </w:rPr>
      <w:tblPr/>
      <w:tcPr>
        <w:tcBorders>
          <w:insideH w:val="nil"/>
          <w:insideV w:val="nil"/>
        </w:tcBorders>
        <w:shd w:val="clear" w:color="auto" w:fill="E5E5E5"/>
      </w:tcPr>
    </w:tblStylePr>
    <w:tblStylePr w:type="band2Horz">
      <w:rPr>
        <w:rFonts w:cs="Times New Roman"/>
      </w:rPr>
      <w:tblPr/>
      <w:tcPr>
        <w:tcBorders>
          <w:insideH w:val="nil"/>
          <w:insideV w:val="nil"/>
        </w:tcBorders>
      </w:tcPr>
    </w:tblStylePr>
  </w:style>
  <w:style w:type="table" w:styleId="redniecieniowanie1akcent5">
    <w:name w:val="Medium Shading 1 Accent 5"/>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redniecieniowanie1akcent6">
    <w:name w:val="Medium Shading 1 Accent 6"/>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pPr>
      <w:rPr>
        <w:rFonts w:cs="Times New Roman"/>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pPr>
      <w:rPr>
        <w:rFonts w:cs="Times New Roman"/>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3D3"/>
      </w:tcPr>
    </w:tblStylePr>
    <w:tblStylePr w:type="band1Horz">
      <w:rPr>
        <w:rFonts w:cs="Times New Roman"/>
      </w:rPr>
      <w:tblPr/>
      <w:tcPr>
        <w:tcBorders>
          <w:insideH w:val="nil"/>
          <w:insideV w:val="nil"/>
        </w:tcBorders>
        <w:shd w:val="clear" w:color="auto" w:fill="D3D3D3"/>
      </w:tcPr>
    </w:tblStylePr>
    <w:tblStylePr w:type="band2Horz">
      <w:rPr>
        <w:rFonts w:cs="Times New Roman"/>
      </w:rPr>
      <w:tblPr/>
      <w:tcPr>
        <w:tcBorders>
          <w:insideH w:val="nil"/>
          <w:insideV w:val="nil"/>
        </w:tcBorders>
      </w:tcPr>
    </w:tblStylePr>
  </w:style>
  <w:style w:type="table" w:styleId="redniecieniowanie2">
    <w:name w:val="Medium Shading 2"/>
    <w:basedOn w:val="Standardowy"/>
    <w:uiPriority w:val="99"/>
    <w:semiHidden/>
    <w:rsid w:val="00DC4033"/>
    <w:pPr>
      <w:spacing w:after="0" w:line="240" w:lineRule="auto"/>
    </w:pPr>
    <w:rPr>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0072BC"/>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99"/>
    <w:semiHidden/>
    <w:rsid w:val="00DC4033"/>
    <w:pPr>
      <w:spacing w:after="0" w:line="240" w:lineRule="auto"/>
    </w:pPr>
    <w:rPr>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72BC"/>
      </w:tcPr>
    </w:tblStylePr>
    <w:tblStylePr w:type="lastCol">
      <w:rPr>
        <w:rFonts w:cs="Times New Roman"/>
        <w:b/>
        <w:bCs/>
        <w:color w:val="0072BC"/>
      </w:rPr>
      <w:tblPr/>
      <w:tcPr>
        <w:tcBorders>
          <w:left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99"/>
    <w:semiHidden/>
    <w:rsid w:val="00DC4033"/>
    <w:pPr>
      <w:spacing w:after="0" w:line="240" w:lineRule="auto"/>
    </w:pPr>
    <w:rPr>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C00000"/>
      </w:tcPr>
    </w:tblStylePr>
    <w:tblStylePr w:type="lastCol">
      <w:rPr>
        <w:rFonts w:cs="Times New Roman"/>
        <w:b/>
        <w:bCs/>
        <w:color w:val="0072BC"/>
      </w:rPr>
      <w:tblPr/>
      <w:tcPr>
        <w:tcBorders>
          <w:left w:val="nil"/>
          <w:right w:val="nil"/>
          <w:insideH w:val="nil"/>
          <w:insideV w:val="nil"/>
        </w:tcBorders>
        <w:shd w:val="clear" w:color="auto" w:fill="C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99"/>
    <w:semiHidden/>
    <w:rsid w:val="00DC4033"/>
    <w:pPr>
      <w:spacing w:after="0" w:line="240" w:lineRule="auto"/>
    </w:pPr>
    <w:rPr>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99"/>
    <w:semiHidden/>
    <w:rsid w:val="00DC4033"/>
    <w:pPr>
      <w:spacing w:after="0" w:line="240" w:lineRule="auto"/>
    </w:pPr>
    <w:rPr>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969696"/>
      </w:tcPr>
    </w:tblStylePr>
    <w:tblStylePr w:type="lastCol">
      <w:rPr>
        <w:rFonts w:cs="Times New Roman"/>
        <w:b/>
        <w:bCs/>
        <w:color w:val="0072BC"/>
      </w:rPr>
      <w:tblPr/>
      <w:tcPr>
        <w:tcBorders>
          <w:left w:val="nil"/>
          <w:right w:val="nil"/>
          <w:insideH w:val="nil"/>
          <w:insideV w:val="nil"/>
        </w:tcBorders>
        <w:shd w:val="clear" w:color="auto" w:fill="969696"/>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99"/>
    <w:semiHidden/>
    <w:rsid w:val="00DC4033"/>
    <w:pPr>
      <w:spacing w:after="0" w:line="240" w:lineRule="auto"/>
    </w:pPr>
    <w:rPr>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99"/>
    <w:semiHidden/>
    <w:rsid w:val="00DC4033"/>
    <w:pPr>
      <w:spacing w:after="0" w:line="240" w:lineRule="auto"/>
    </w:pPr>
    <w:rPr>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4D4D4D"/>
      </w:tcPr>
    </w:tblStylePr>
    <w:tblStylePr w:type="lastCol">
      <w:rPr>
        <w:rFonts w:cs="Times New Roman"/>
        <w:b/>
        <w:bCs/>
        <w:color w:val="0072BC"/>
      </w:rPr>
      <w:tblPr/>
      <w:tcPr>
        <w:tcBorders>
          <w:left w:val="nil"/>
          <w:right w:val="nil"/>
          <w:insideH w:val="nil"/>
          <w:insideV w:val="nil"/>
        </w:tcBorders>
        <w:shd w:val="clear" w:color="auto" w:fill="4D4D4D"/>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paragraph" w:styleId="Nagwekwiadomoci">
    <w:name w:val="Message Header"/>
    <w:basedOn w:val="Normalny"/>
    <w:link w:val="NagwekwiadomociZnak"/>
    <w:uiPriority w:val="99"/>
    <w:semiHidden/>
    <w:rsid w:val="00DC4033"/>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lang w:eastAsia="pl-PL"/>
    </w:rPr>
  </w:style>
  <w:style w:type="character" w:customStyle="1" w:styleId="NagwekwiadomociZnak">
    <w:name w:val="Nagłówek wiadomości Znak"/>
    <w:basedOn w:val="Domylnaczcionkaakapitu"/>
    <w:link w:val="Nagwekwiadomoci"/>
    <w:uiPriority w:val="99"/>
    <w:semiHidden/>
    <w:locked/>
    <w:rsid w:val="00DC4033"/>
    <w:rPr>
      <w:rFonts w:ascii="Times New Roman" w:eastAsia="MS Gothic" w:hAnsi="Times New Roman"/>
      <w:sz w:val="24"/>
      <w:shd w:val="pct20" w:color="auto" w:fill="auto"/>
    </w:rPr>
  </w:style>
  <w:style w:type="paragraph" w:styleId="NormalnyWeb">
    <w:name w:val="Normal (Web)"/>
    <w:basedOn w:val="Normalny"/>
    <w:uiPriority w:val="99"/>
    <w:semiHidden/>
    <w:rsid w:val="00DC4033"/>
  </w:style>
  <w:style w:type="paragraph" w:styleId="Wcicienormalne">
    <w:name w:val="Normal Indent"/>
    <w:basedOn w:val="Normalny"/>
    <w:uiPriority w:val="99"/>
    <w:semiHidden/>
    <w:rsid w:val="00DC4033"/>
    <w:pPr>
      <w:ind w:left="720"/>
    </w:pPr>
  </w:style>
  <w:style w:type="paragraph" w:styleId="Nagweknotatki">
    <w:name w:val="Note Heading"/>
    <w:basedOn w:val="Normalny"/>
    <w:next w:val="Normalny"/>
    <w:link w:val="NagweknotatkiZnak"/>
    <w:uiPriority w:val="99"/>
    <w:semiHidden/>
    <w:rsid w:val="00DC4033"/>
    <w:rPr>
      <w:lang w:eastAsia="pl-PL"/>
    </w:rPr>
  </w:style>
  <w:style w:type="character" w:customStyle="1" w:styleId="NagweknotatkiZnak">
    <w:name w:val="Nagłówek notatki Znak"/>
    <w:basedOn w:val="Domylnaczcionkaakapitu"/>
    <w:link w:val="Nagweknotatki"/>
    <w:uiPriority w:val="99"/>
    <w:semiHidden/>
    <w:locked/>
    <w:rsid w:val="00DC4033"/>
    <w:rPr>
      <w:rFonts w:eastAsia="MS Mincho"/>
      <w:sz w:val="24"/>
    </w:rPr>
  </w:style>
  <w:style w:type="character" w:styleId="Tekstzastpczy">
    <w:name w:val="Placeholder Text"/>
    <w:basedOn w:val="Domylnaczcionkaakapitu"/>
    <w:uiPriority w:val="99"/>
    <w:semiHidden/>
    <w:rsid w:val="0045649E"/>
    <w:rPr>
      <w:rFonts w:cs="Times New Roman"/>
      <w:color w:val="auto"/>
      <w:shd w:val="clear" w:color="auto" w:fill="DFDFDF"/>
    </w:rPr>
  </w:style>
  <w:style w:type="paragraph" w:styleId="Zwykytekst">
    <w:name w:val="Plain Text"/>
    <w:basedOn w:val="Normalny"/>
    <w:link w:val="ZwykytekstZnak"/>
    <w:uiPriority w:val="99"/>
    <w:semiHidden/>
    <w:rsid w:val="00DC4033"/>
    <w:rPr>
      <w:rFonts w:ascii="Consolas" w:hAnsi="Consolas" w:cs="Consolas"/>
      <w:sz w:val="21"/>
      <w:szCs w:val="21"/>
      <w:lang w:eastAsia="pl-PL"/>
    </w:rPr>
  </w:style>
  <w:style w:type="character" w:customStyle="1" w:styleId="ZwykytekstZnak">
    <w:name w:val="Zwykły tekst Znak"/>
    <w:basedOn w:val="Domylnaczcionkaakapitu"/>
    <w:link w:val="Zwykytekst"/>
    <w:uiPriority w:val="99"/>
    <w:semiHidden/>
    <w:locked/>
    <w:rsid w:val="00DC4033"/>
    <w:rPr>
      <w:rFonts w:ascii="Consolas" w:eastAsia="MS Mincho" w:hAnsi="Consolas"/>
      <w:sz w:val="21"/>
    </w:rPr>
  </w:style>
  <w:style w:type="paragraph" w:styleId="Zwrotgrzecznociowy">
    <w:name w:val="Salutation"/>
    <w:basedOn w:val="Normalny"/>
    <w:next w:val="Normalny"/>
    <w:link w:val="ZwrotgrzecznociowyZnak"/>
    <w:uiPriority w:val="99"/>
    <w:semiHidden/>
    <w:rsid w:val="00DC4033"/>
    <w:rPr>
      <w:lang w:eastAsia="pl-PL"/>
    </w:rPr>
  </w:style>
  <w:style w:type="character" w:customStyle="1" w:styleId="ZwrotgrzecznociowyZnak">
    <w:name w:val="Zwrot grzecznościowy Znak"/>
    <w:basedOn w:val="Domylnaczcionkaakapitu"/>
    <w:link w:val="Zwrotgrzecznociowy"/>
    <w:uiPriority w:val="99"/>
    <w:semiHidden/>
    <w:locked/>
    <w:rsid w:val="00DC4033"/>
    <w:rPr>
      <w:rFonts w:eastAsia="MS Mincho"/>
      <w:sz w:val="24"/>
    </w:rPr>
  </w:style>
  <w:style w:type="paragraph" w:styleId="Podpis">
    <w:name w:val="Signature"/>
    <w:basedOn w:val="Normalny"/>
    <w:link w:val="PodpisZnak"/>
    <w:uiPriority w:val="99"/>
    <w:semiHidden/>
    <w:rsid w:val="00DC4033"/>
    <w:pPr>
      <w:ind w:left="4252"/>
    </w:pPr>
    <w:rPr>
      <w:lang w:eastAsia="pl-PL"/>
    </w:rPr>
  </w:style>
  <w:style w:type="character" w:customStyle="1" w:styleId="PodpisZnak">
    <w:name w:val="Podpis Znak"/>
    <w:basedOn w:val="Domylnaczcionkaakapitu"/>
    <w:link w:val="Podpis"/>
    <w:uiPriority w:val="99"/>
    <w:semiHidden/>
    <w:locked/>
    <w:rsid w:val="00DC4033"/>
    <w:rPr>
      <w:rFonts w:eastAsia="MS Mincho"/>
      <w:sz w:val="24"/>
    </w:rPr>
  </w:style>
  <w:style w:type="table" w:styleId="Tabela-Efekty3W1">
    <w:name w:val="Table 3D effects 1"/>
    <w:basedOn w:val="Standardowy"/>
    <w:uiPriority w:val="99"/>
    <w:semiHidden/>
    <w:rsid w:val="00DC4033"/>
    <w:pPr>
      <w:spacing w:after="0" w:line="240" w:lineRule="auto"/>
      <w:jc w:val="both"/>
    </w:pPr>
    <w:rPr>
      <w:sz w:val="20"/>
      <w:szCs w:val="20"/>
    </w:rPr>
    <w:tblPr>
      <w:tblInd w:w="0" w:type="nil"/>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semiHidden/>
    <w:rsid w:val="00DC4033"/>
    <w:pPr>
      <w:spacing w:after="0" w:line="240" w:lineRule="auto"/>
      <w:jc w:val="both"/>
    </w:pPr>
    <w:rPr>
      <w:sz w:val="20"/>
      <w:szCs w:val="20"/>
    </w:rPr>
    <w:tblPr>
      <w:tblStyleRowBandSize w:val="1"/>
      <w:tblInd w:w="0" w:type="nil"/>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fekty3W3">
    <w:name w:val="Table 3D effects 3"/>
    <w:basedOn w:val="Standardowy"/>
    <w:uiPriority w:val="99"/>
    <w:semiHidden/>
    <w:rsid w:val="00DC4033"/>
    <w:pPr>
      <w:spacing w:after="0" w:line="240" w:lineRule="auto"/>
      <w:jc w:val="both"/>
    </w:pPr>
    <w:rPr>
      <w:sz w:val="20"/>
      <w:szCs w:val="20"/>
    </w:rPr>
    <w:tblPr>
      <w:tblStyleRowBandSize w:val="1"/>
      <w:tblStyleColBandSize w:val="1"/>
      <w:tblInd w:w="0" w:type="nil"/>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rsid w:val="00DC4033"/>
    <w:pPr>
      <w:spacing w:after="0" w:line="240" w:lineRule="auto"/>
      <w:jc w:val="both"/>
    </w:pPr>
    <w:rPr>
      <w:sz w:val="20"/>
      <w:szCs w:val="20"/>
    </w:rPr>
    <w:tblPr>
      <w:tblInd w:w="0" w:type="nil"/>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rsid w:val="00DC4033"/>
    <w:pPr>
      <w:spacing w:after="0" w:line="240" w:lineRule="auto"/>
      <w:jc w:val="both"/>
    </w:pPr>
    <w:rPr>
      <w:sz w:val="20"/>
      <w:szCs w:val="20"/>
    </w:rPr>
    <w:tblPr>
      <w:tblInd w:w="0" w:type="nil"/>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rsid w:val="00DC4033"/>
    <w:pPr>
      <w:spacing w:after="0" w:line="240" w:lineRule="auto"/>
      <w:jc w:val="both"/>
    </w:pPr>
    <w:rPr>
      <w:color w:val="00008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rsid w:val="00DC4033"/>
    <w:pPr>
      <w:spacing w:after="0" w:line="240" w:lineRule="auto"/>
      <w:jc w:val="both"/>
    </w:pPr>
    <w:rPr>
      <w:sz w:val="20"/>
      <w:szCs w:val="20"/>
    </w:rPr>
    <w:tblPr>
      <w:tblInd w:w="0" w:type="nil"/>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rsid w:val="00DC4033"/>
    <w:pPr>
      <w:spacing w:after="0" w:line="240" w:lineRule="auto"/>
      <w:jc w:val="both"/>
    </w:pPr>
    <w:rPr>
      <w:color w:val="FFFFFF"/>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rsid w:val="00DC4033"/>
    <w:pPr>
      <w:spacing w:after="0" w:line="240" w:lineRule="auto"/>
      <w:jc w:val="both"/>
    </w:pPr>
    <w:rPr>
      <w:sz w:val="20"/>
      <w:szCs w:val="20"/>
    </w:rPr>
    <w:tblPr>
      <w:tblInd w:w="0" w:type="nil"/>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rsid w:val="00DC4033"/>
    <w:pPr>
      <w:spacing w:after="0" w:line="240" w:lineRule="auto"/>
      <w:jc w:val="both"/>
    </w:pPr>
    <w:rPr>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rsid w:val="00DC4033"/>
    <w:pPr>
      <w:spacing w:after="0" w:line="240" w:lineRule="auto"/>
      <w:jc w:val="both"/>
    </w:pPr>
    <w:rPr>
      <w:b/>
      <w:bCs/>
      <w:sz w:val="20"/>
      <w:szCs w:val="20"/>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rsid w:val="00DC4033"/>
    <w:pPr>
      <w:spacing w:after="0" w:line="240" w:lineRule="auto"/>
      <w:jc w:val="both"/>
    </w:pPr>
    <w:rPr>
      <w:b/>
      <w:bCs/>
      <w:sz w:val="20"/>
      <w:szCs w:val="20"/>
    </w:rPr>
    <w:tblPr>
      <w:tblStyleColBandSize w:val="1"/>
      <w:tblInd w:w="0" w:type="nil"/>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rsid w:val="00DC4033"/>
    <w:pPr>
      <w:spacing w:after="0" w:line="240" w:lineRule="auto"/>
      <w:jc w:val="both"/>
    </w:pPr>
    <w:rPr>
      <w:b/>
      <w:bCs/>
      <w:sz w:val="20"/>
      <w:szCs w:val="20"/>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rsid w:val="00DC4033"/>
    <w:pPr>
      <w:spacing w:after="0" w:line="240" w:lineRule="auto"/>
      <w:jc w:val="both"/>
    </w:pPr>
    <w:rPr>
      <w:sz w:val="20"/>
      <w:szCs w:val="20"/>
    </w:rPr>
    <w:tblPr>
      <w:tblStyleColBandSize w:val="1"/>
      <w:tblInd w:w="0" w:type="nil"/>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a-Kolumnowy5">
    <w:name w:val="Table Columns 5"/>
    <w:basedOn w:val="Standardowy"/>
    <w:uiPriority w:val="99"/>
    <w:semiHidden/>
    <w:rsid w:val="00DC4033"/>
    <w:pPr>
      <w:spacing w:after="0" w:line="240" w:lineRule="auto"/>
      <w:jc w:val="both"/>
    </w:pPr>
    <w:rPr>
      <w:sz w:val="20"/>
      <w:szCs w:val="20"/>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a-Wspczesny">
    <w:name w:val="Table Contemporary"/>
    <w:basedOn w:val="Standardowy"/>
    <w:uiPriority w:val="99"/>
    <w:semiHidden/>
    <w:rsid w:val="00DC4033"/>
    <w:pPr>
      <w:spacing w:after="0" w:line="240" w:lineRule="auto"/>
      <w:jc w:val="both"/>
    </w:pPr>
    <w:rPr>
      <w:sz w:val="20"/>
      <w:szCs w:val="20"/>
    </w:rPr>
    <w:tblPr>
      <w:tblStyleRowBandSize w:val="1"/>
      <w:tblInd w:w="0" w:type="nil"/>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rsid w:val="00DC4033"/>
    <w:pPr>
      <w:spacing w:after="0" w:line="240" w:lineRule="auto"/>
      <w:jc w:val="both"/>
    </w:pPr>
    <w:rPr>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Siatka1">
    <w:name w:val="Table Grid 1"/>
    <w:basedOn w:val="Standardowy"/>
    <w:uiPriority w:val="99"/>
    <w:semiHidden/>
    <w:rsid w:val="00DC4033"/>
    <w:pPr>
      <w:spacing w:after="0" w:line="240" w:lineRule="auto"/>
      <w:jc w:val="both"/>
    </w:pPr>
    <w:rPr>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a-Siatka2">
    <w:name w:val="Table Grid 2"/>
    <w:basedOn w:val="Standardowy"/>
    <w:uiPriority w:val="99"/>
    <w:semiHidden/>
    <w:rsid w:val="00DC4033"/>
    <w:pPr>
      <w:spacing w:after="0" w:line="240" w:lineRule="auto"/>
      <w:jc w:val="both"/>
    </w:pPr>
    <w:rPr>
      <w:sz w:val="20"/>
      <w:szCs w:val="20"/>
    </w:rPr>
    <w:tblPr>
      <w:tblInd w:w="0" w:type="nil"/>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a-Siatka3">
    <w:name w:val="Table Grid 3"/>
    <w:basedOn w:val="Standardowy"/>
    <w:uiPriority w:val="99"/>
    <w:semiHidden/>
    <w:rsid w:val="00DC4033"/>
    <w:pPr>
      <w:spacing w:after="0" w:line="240" w:lineRule="auto"/>
      <w:jc w:val="both"/>
    </w:pPr>
    <w:rPr>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a-Siatka4">
    <w:name w:val="Table Grid 4"/>
    <w:basedOn w:val="Standardowy"/>
    <w:uiPriority w:val="99"/>
    <w:semiHidden/>
    <w:rsid w:val="00DC4033"/>
    <w:pPr>
      <w:spacing w:after="0" w:line="240" w:lineRule="auto"/>
      <w:jc w:val="both"/>
    </w:pPr>
    <w:rPr>
      <w:sz w:val="20"/>
      <w:szCs w:val="20"/>
    </w:rPr>
    <w:tblPr>
      <w:tblInd w:w="0" w:type="nil"/>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rsid w:val="00DC4033"/>
    <w:pPr>
      <w:spacing w:after="0" w:line="240" w:lineRule="auto"/>
      <w:jc w:val="both"/>
    </w:pPr>
    <w:rPr>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Siatka6">
    <w:name w:val="Table Grid 6"/>
    <w:basedOn w:val="Standardowy"/>
    <w:uiPriority w:val="99"/>
    <w:semiHidden/>
    <w:rsid w:val="00DC4033"/>
    <w:pPr>
      <w:spacing w:after="0" w:line="240" w:lineRule="auto"/>
      <w:jc w:val="both"/>
    </w:pPr>
    <w:rPr>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Siatka7">
    <w:name w:val="Table Grid 7"/>
    <w:basedOn w:val="Standardowy"/>
    <w:uiPriority w:val="99"/>
    <w:semiHidden/>
    <w:rsid w:val="00DC4033"/>
    <w:pPr>
      <w:spacing w:after="0" w:line="240" w:lineRule="auto"/>
      <w:jc w:val="both"/>
    </w:pPr>
    <w:rPr>
      <w:b/>
      <w:bCs/>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Siatka8">
    <w:name w:val="Table Grid 8"/>
    <w:basedOn w:val="Standardowy"/>
    <w:uiPriority w:val="99"/>
    <w:semiHidden/>
    <w:rsid w:val="00DC4033"/>
    <w:pPr>
      <w:spacing w:after="0" w:line="240" w:lineRule="auto"/>
      <w:jc w:val="both"/>
    </w:pPr>
    <w:rPr>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a-Lista1">
    <w:name w:val="Table List 1"/>
    <w:basedOn w:val="Standardowy"/>
    <w:uiPriority w:val="99"/>
    <w:semiHidden/>
    <w:rsid w:val="00DC4033"/>
    <w:pPr>
      <w:spacing w:after="0" w:line="240" w:lineRule="auto"/>
      <w:jc w:val="both"/>
    </w:pPr>
    <w:rPr>
      <w:sz w:val="20"/>
      <w:szCs w:val="20"/>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Lista2">
    <w:name w:val="Table List 2"/>
    <w:basedOn w:val="Standardowy"/>
    <w:uiPriority w:val="99"/>
    <w:semiHidden/>
    <w:rsid w:val="00DC4033"/>
    <w:pPr>
      <w:spacing w:after="0" w:line="240" w:lineRule="auto"/>
      <w:jc w:val="both"/>
    </w:pPr>
    <w:rPr>
      <w:sz w:val="20"/>
      <w:szCs w:val="20"/>
    </w:rPr>
    <w:tblPr>
      <w:tblStyleRowBandSize w:val="2"/>
      <w:tblInd w:w="0" w:type="nil"/>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Lista3">
    <w:name w:val="Table List 3"/>
    <w:basedOn w:val="Standardowy"/>
    <w:uiPriority w:val="99"/>
    <w:semiHidden/>
    <w:rsid w:val="00DC4033"/>
    <w:pPr>
      <w:spacing w:after="0" w:line="240" w:lineRule="auto"/>
      <w:jc w:val="both"/>
    </w:pPr>
    <w:rPr>
      <w:sz w:val="20"/>
      <w:szCs w:val="20"/>
    </w:rPr>
    <w:tblPr>
      <w:tblInd w:w="0" w:type="nil"/>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rsid w:val="00DC4033"/>
    <w:pPr>
      <w:spacing w:after="0" w:line="240" w:lineRule="auto"/>
      <w:jc w:val="both"/>
    </w:pPr>
    <w:rPr>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rsid w:val="00DC4033"/>
    <w:pPr>
      <w:spacing w:after="0" w:line="240" w:lineRule="auto"/>
      <w:jc w:val="both"/>
    </w:pPr>
    <w:rPr>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a-Lista6">
    <w:name w:val="Table List 6"/>
    <w:basedOn w:val="Standardowy"/>
    <w:uiPriority w:val="99"/>
    <w:semiHidden/>
    <w:rsid w:val="00DC4033"/>
    <w:pPr>
      <w:spacing w:after="0" w:line="240" w:lineRule="auto"/>
      <w:jc w:val="both"/>
    </w:pPr>
    <w:rPr>
      <w:sz w:val="20"/>
      <w:szCs w:val="20"/>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rsid w:val="00DC4033"/>
    <w:pPr>
      <w:spacing w:after="0" w:line="240" w:lineRule="auto"/>
      <w:jc w:val="both"/>
    </w:pPr>
    <w:rPr>
      <w:sz w:val="20"/>
      <w:szCs w:val="20"/>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rsid w:val="00DC4033"/>
    <w:pPr>
      <w:spacing w:after="0" w:line="240" w:lineRule="auto"/>
      <w:jc w:val="both"/>
    </w:pPr>
    <w:rPr>
      <w:sz w:val="20"/>
      <w:szCs w:val="20"/>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uiPriority w:val="99"/>
    <w:semiHidden/>
    <w:rsid w:val="00DC4033"/>
    <w:pPr>
      <w:ind w:left="240" w:hanging="240"/>
    </w:pPr>
  </w:style>
  <w:style w:type="paragraph" w:styleId="Spisilustracji">
    <w:name w:val="table of figures"/>
    <w:basedOn w:val="Normalny"/>
    <w:next w:val="Normalny"/>
    <w:uiPriority w:val="99"/>
    <w:semiHidden/>
    <w:rsid w:val="00DC4033"/>
  </w:style>
  <w:style w:type="table" w:styleId="Tabela-Profesjonalny">
    <w:name w:val="Table Professional"/>
    <w:basedOn w:val="Standardowy"/>
    <w:uiPriority w:val="99"/>
    <w:semiHidden/>
    <w:rsid w:val="00DC4033"/>
    <w:pPr>
      <w:spacing w:after="0" w:line="240" w:lineRule="auto"/>
      <w:jc w:val="both"/>
    </w:pPr>
    <w:rPr>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rsid w:val="00DC4033"/>
    <w:pPr>
      <w:spacing w:after="0" w:line="240" w:lineRule="auto"/>
      <w:jc w:val="both"/>
    </w:pPr>
    <w:rPr>
      <w:sz w:val="20"/>
      <w:szCs w:val="20"/>
    </w:rPr>
    <w:tblPr>
      <w:tblInd w:w="0" w:type="nil"/>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rsid w:val="00DC4033"/>
    <w:pPr>
      <w:spacing w:after="0" w:line="240" w:lineRule="auto"/>
      <w:jc w:val="both"/>
    </w:pPr>
    <w:rPr>
      <w:sz w:val="20"/>
      <w:szCs w:val="20"/>
    </w:rPr>
    <w:tblPr>
      <w:tblInd w:w="0" w:type="nil"/>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rsid w:val="00DC4033"/>
    <w:pPr>
      <w:spacing w:after="0" w:line="240" w:lineRule="auto"/>
      <w:jc w:val="both"/>
    </w:pPr>
    <w:rPr>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rsid w:val="00DC4033"/>
    <w:pPr>
      <w:spacing w:after="0" w:line="240" w:lineRule="auto"/>
      <w:jc w:val="both"/>
    </w:pPr>
    <w:rPr>
      <w:sz w:val="20"/>
      <w:szCs w:val="20"/>
    </w:rPr>
    <w:tblPr>
      <w:tblStyleRowBandSize w:val="1"/>
      <w:tblInd w:w="0" w:type="nil"/>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Delikatny2">
    <w:name w:val="Table Subtle 2"/>
    <w:basedOn w:val="Standardowy"/>
    <w:uiPriority w:val="99"/>
    <w:semiHidden/>
    <w:rsid w:val="00DC4033"/>
    <w:pPr>
      <w:spacing w:after="0" w:line="240" w:lineRule="auto"/>
      <w:jc w:val="both"/>
    </w:pPr>
    <w:rPr>
      <w:sz w:val="20"/>
      <w:szCs w:val="20"/>
    </w:rPr>
    <w:tblPr>
      <w:tblInd w:w="0" w:type="nil"/>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Motyw">
    <w:name w:val="Table Theme"/>
    <w:basedOn w:val="Standardowy"/>
    <w:uiPriority w:val="99"/>
    <w:semiHidden/>
    <w:rsid w:val="00DC4033"/>
    <w:pPr>
      <w:spacing w:after="0" w:line="240" w:lineRule="auto"/>
      <w:jc w:val="both"/>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rsid w:val="00DC4033"/>
    <w:pPr>
      <w:spacing w:after="0" w:line="240" w:lineRule="auto"/>
      <w:jc w:val="both"/>
    </w:pPr>
    <w:rPr>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rsid w:val="00DC4033"/>
    <w:pPr>
      <w:spacing w:after="0" w:line="240" w:lineRule="auto"/>
      <w:jc w:val="both"/>
    </w:pPr>
    <w:rPr>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rsid w:val="00DC4033"/>
    <w:pPr>
      <w:spacing w:after="0" w:line="240" w:lineRule="auto"/>
      <w:jc w:val="both"/>
    </w:pPr>
    <w:rPr>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pistreci6">
    <w:name w:val="toc 6"/>
    <w:basedOn w:val="Normalny"/>
    <w:next w:val="Normalny"/>
    <w:autoRedefine/>
    <w:uiPriority w:val="99"/>
    <w:semiHidden/>
    <w:rsid w:val="0045649E"/>
    <w:pPr>
      <w:tabs>
        <w:tab w:val="right" w:leader="dot" w:pos="7371"/>
      </w:tabs>
      <w:spacing w:after="60" w:line="240" w:lineRule="exact"/>
      <w:ind w:left="2041" w:right="567" w:hanging="340"/>
    </w:pPr>
    <w:rPr>
      <w:sz w:val="20"/>
      <w:szCs w:val="20"/>
    </w:rPr>
  </w:style>
  <w:style w:type="paragraph" w:styleId="Spistreci7">
    <w:name w:val="toc 7"/>
    <w:basedOn w:val="Normalny"/>
    <w:next w:val="Normalny"/>
    <w:autoRedefine/>
    <w:uiPriority w:val="99"/>
    <w:semiHidden/>
    <w:rsid w:val="0045649E"/>
    <w:pPr>
      <w:tabs>
        <w:tab w:val="right" w:leader="dot" w:pos="7371"/>
      </w:tabs>
      <w:spacing w:after="60" w:line="240" w:lineRule="exact"/>
      <w:ind w:left="2381" w:right="567" w:hanging="340"/>
    </w:pPr>
    <w:rPr>
      <w:sz w:val="20"/>
      <w:szCs w:val="20"/>
    </w:rPr>
  </w:style>
  <w:style w:type="paragraph" w:styleId="Spistreci8">
    <w:name w:val="toc 8"/>
    <w:basedOn w:val="Normalny"/>
    <w:next w:val="Normalny"/>
    <w:autoRedefine/>
    <w:uiPriority w:val="99"/>
    <w:semiHidden/>
    <w:rsid w:val="00DC4033"/>
    <w:pPr>
      <w:spacing w:after="100"/>
      <w:ind w:left="1680"/>
    </w:pPr>
  </w:style>
  <w:style w:type="paragraph" w:styleId="Spistreci9">
    <w:name w:val="toc 9"/>
    <w:basedOn w:val="Normalny"/>
    <w:next w:val="Normalny"/>
    <w:autoRedefine/>
    <w:uiPriority w:val="99"/>
    <w:semiHidden/>
    <w:rsid w:val="00DC4033"/>
    <w:pPr>
      <w:spacing w:after="100"/>
      <w:ind w:left="1920"/>
    </w:pPr>
  </w:style>
  <w:style w:type="paragraph" w:customStyle="1" w:styleId="OpiH1">
    <w:name w:val="Opi_H_1"/>
    <w:basedOn w:val="ECHRHeading2"/>
    <w:uiPriority w:val="99"/>
    <w:rsid w:val="000F10FB"/>
    <w:pPr>
      <w:ind w:left="635" w:hanging="357"/>
      <w:outlineLvl w:val="2"/>
    </w:pPr>
  </w:style>
  <w:style w:type="paragraph" w:customStyle="1" w:styleId="OpiHa0">
    <w:name w:val="Opi_H_a"/>
    <w:basedOn w:val="ECHRHeading3"/>
    <w:uiPriority w:val="99"/>
    <w:rsid w:val="000F10FB"/>
    <w:pPr>
      <w:ind w:left="833" w:hanging="357"/>
      <w:outlineLvl w:val="3"/>
    </w:pPr>
    <w:rPr>
      <w:b/>
      <w:bCs/>
      <w:i w:val="0"/>
      <w:iCs w:val="0"/>
      <w:sz w:val="20"/>
      <w:szCs w:val="20"/>
    </w:rPr>
  </w:style>
  <w:style w:type="paragraph" w:customStyle="1" w:styleId="ECHRFooter">
    <w:name w:val="ECHR_Footer"/>
    <w:aliases w:val="Footer_ECHR"/>
    <w:basedOn w:val="Stopka"/>
    <w:uiPriority w:val="99"/>
    <w:semiHidden/>
    <w:rsid w:val="0045649E"/>
    <w:pPr>
      <w:jc w:val="left"/>
    </w:pPr>
    <w:rPr>
      <w:sz w:val="8"/>
      <w:szCs w:val="8"/>
    </w:rPr>
  </w:style>
  <w:style w:type="paragraph" w:customStyle="1" w:styleId="ECHRFooterLine">
    <w:name w:val="ECHR_Footer_Line"/>
    <w:aliases w:val="Footer_Line"/>
    <w:basedOn w:val="Normalny"/>
    <w:next w:val="ECHRFooter"/>
    <w:uiPriority w:val="99"/>
    <w:semiHidden/>
    <w:rsid w:val="0045649E"/>
    <w:pPr>
      <w:pBdr>
        <w:top w:val="single" w:sz="6" w:space="1" w:color="5F5F5F"/>
      </w:pBdr>
      <w:tabs>
        <w:tab w:val="center" w:pos="4536"/>
        <w:tab w:val="right" w:pos="9696"/>
      </w:tabs>
      <w:ind w:left="-680" w:right="-680"/>
      <w:jc w:val="left"/>
    </w:pPr>
    <w:rPr>
      <w:color w:val="5F5F5F"/>
    </w:rPr>
  </w:style>
  <w:style w:type="paragraph" w:customStyle="1" w:styleId="ECHRTitleCentre2">
    <w:name w:val="ECHR_Title_Centre_2"/>
    <w:aliases w:val="Dec_H_Case"/>
    <w:basedOn w:val="Normalny"/>
    <w:next w:val="ECHRPara"/>
    <w:uiPriority w:val="99"/>
    <w:rsid w:val="000F10FB"/>
    <w:pPr>
      <w:spacing w:after="240"/>
      <w:jc w:val="center"/>
      <w:outlineLvl w:val="0"/>
    </w:pPr>
  </w:style>
  <w:style w:type="paragraph" w:customStyle="1" w:styleId="OpiHi">
    <w:name w:val="Opi_H_i"/>
    <w:basedOn w:val="ECHRHeading4"/>
    <w:uiPriority w:val="99"/>
    <w:rsid w:val="000F10FB"/>
    <w:pPr>
      <w:ind w:left="1037" w:hanging="357"/>
      <w:outlineLvl w:val="4"/>
    </w:pPr>
    <w:rPr>
      <w:b w:val="0"/>
      <w:bCs w:val="0"/>
      <w:i/>
      <w:iCs/>
    </w:rPr>
  </w:style>
  <w:style w:type="paragraph" w:customStyle="1" w:styleId="DummyStyle">
    <w:name w:val="Dummy_Style"/>
    <w:basedOn w:val="Normalny"/>
    <w:uiPriority w:val="99"/>
    <w:semiHidden/>
    <w:rsid w:val="000F10FB"/>
    <w:rPr>
      <w:color w:val="00B050"/>
    </w:rPr>
  </w:style>
  <w:style w:type="paragraph" w:customStyle="1" w:styleId="JuHeaderLandscape">
    <w:name w:val="Ju_Header_Landscape"/>
    <w:basedOn w:val="ECHRHeader"/>
    <w:uiPriority w:val="99"/>
    <w:rsid w:val="000F10FB"/>
    <w:pPr>
      <w:tabs>
        <w:tab w:val="clear" w:pos="3686"/>
        <w:tab w:val="clear" w:pos="7371"/>
        <w:tab w:val="center" w:pos="6146"/>
        <w:tab w:val="right" w:pos="12293"/>
      </w:tabs>
    </w:pPr>
  </w:style>
  <w:style w:type="character" w:customStyle="1" w:styleId="JuNames0">
    <w:name w:val="Ju_Names"/>
    <w:uiPriority w:val="99"/>
    <w:rsid w:val="00AE484E"/>
    <w:rPr>
      <w:smallCaps/>
    </w:rPr>
  </w:style>
  <w:style w:type="character" w:customStyle="1" w:styleId="ECHRParaChar">
    <w:name w:val="ECHR_Para Char"/>
    <w:aliases w:val="Ju_Para Char"/>
    <w:link w:val="ECHRPara"/>
    <w:uiPriority w:val="99"/>
    <w:locked/>
    <w:rsid w:val="00AE484E"/>
    <w:rPr>
      <w:rFonts w:eastAsia="MS Mincho"/>
      <w:sz w:val="24"/>
    </w:rPr>
  </w:style>
  <w:style w:type="character" w:customStyle="1" w:styleId="JuHAChar">
    <w:name w:val="Ju_H_A Char"/>
    <w:link w:val="ECHRHeading2"/>
    <w:uiPriority w:val="99"/>
    <w:locked/>
    <w:rsid w:val="00AE484E"/>
    <w:rPr>
      <w:rFonts w:ascii="Times New Roman" w:eastAsia="MS Gothic" w:hAnsi="Times New Roman"/>
      <w:b/>
      <w:sz w:val="26"/>
    </w:rPr>
  </w:style>
  <w:style w:type="paragraph" w:styleId="Poprawka">
    <w:name w:val="Revision"/>
    <w:hidden/>
    <w:uiPriority w:val="99"/>
    <w:semiHidden/>
    <w:rsid w:val="0087128D"/>
    <w:pPr>
      <w:spacing w:after="0" w:line="240" w:lineRule="auto"/>
    </w:pPr>
    <w:rPr>
      <w:sz w:val="24"/>
      <w:szCs w:val="24"/>
      <w:lang w:eastAsia="fr-FR"/>
    </w:rPr>
  </w:style>
  <w:style w:type="character" w:customStyle="1" w:styleId="s4f807e54">
    <w:name w:val="s4f807e54"/>
    <w:uiPriority w:val="99"/>
    <w:rsid w:val="00FB770D"/>
  </w:style>
  <w:style w:type="paragraph" w:customStyle="1" w:styleId="s50c0b1c7">
    <w:name w:val="s50c0b1c7"/>
    <w:basedOn w:val="Normalny"/>
    <w:uiPriority w:val="99"/>
    <w:rsid w:val="001E7FA6"/>
    <w:pPr>
      <w:spacing w:before="100" w:beforeAutospacing="1" w:after="100" w:afterAutospacing="1"/>
      <w:jc w:val="left"/>
    </w:pPr>
    <w:rPr>
      <w:rFonts w:eastAsia="Times New Roman"/>
      <w:lang w:eastAsia="pl-PL"/>
    </w:rPr>
  </w:style>
  <w:style w:type="character" w:customStyle="1" w:styleId="s3aeeab2">
    <w:name w:val="s3aeeab2"/>
    <w:uiPriority w:val="99"/>
    <w:rsid w:val="001E7FA6"/>
    <w:rPr>
      <w:lang w:val="pl-PL" w:eastAsia="pl-PL"/>
    </w:rPr>
  </w:style>
  <w:style w:type="character" w:customStyle="1" w:styleId="sfbbfee58">
    <w:name w:val="sfbbfee58"/>
    <w:uiPriority w:val="99"/>
    <w:rsid w:val="001E7FA6"/>
    <w:rPr>
      <w:lang w:val="pl-PL" w:eastAsia="pl-PL"/>
    </w:rPr>
  </w:style>
  <w:style w:type="character" w:customStyle="1" w:styleId="tlid-translation">
    <w:name w:val="tlid-translation"/>
    <w:uiPriority w:val="99"/>
    <w:rsid w:val="0020201A"/>
  </w:style>
  <w:style w:type="numbering" w:customStyle="1" w:styleId="ArticleSection">
    <w:name w:val="Article / Section"/>
    <w:pPr>
      <w:numPr>
        <w:numId w:val="43"/>
      </w:numPr>
    </w:pPr>
  </w:style>
  <w:style w:type="numbering" w:styleId="1ai">
    <w:name w:val="Outline List 1"/>
    <w:basedOn w:val="Bezlisty"/>
    <w:uiPriority w:val="99"/>
    <w:semiHidden/>
    <w:unhideWhenUsed/>
    <w:pPr>
      <w:numPr>
        <w:numId w:val="42"/>
      </w:numPr>
    </w:pPr>
  </w:style>
  <w:style w:type="numbering" w:styleId="111111">
    <w:name w:val="Outline List 2"/>
    <w:basedOn w:val="Bezlisty"/>
    <w:uiPriority w:val="99"/>
    <w:semiHidden/>
    <w:unhideWhenUsed/>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775338">
      <w:marLeft w:val="0"/>
      <w:marRight w:val="0"/>
      <w:marTop w:val="0"/>
      <w:marBottom w:val="0"/>
      <w:divBdr>
        <w:top w:val="none" w:sz="0" w:space="0" w:color="auto"/>
        <w:left w:val="none" w:sz="0" w:space="0" w:color="auto"/>
        <w:bottom w:val="none" w:sz="0" w:space="0" w:color="auto"/>
        <w:right w:val="none" w:sz="0" w:space="0" w:color="auto"/>
      </w:divBdr>
      <w:divsChild>
        <w:div w:id="2131775340">
          <w:marLeft w:val="0"/>
          <w:marRight w:val="0"/>
          <w:marTop w:val="0"/>
          <w:marBottom w:val="0"/>
          <w:divBdr>
            <w:top w:val="none" w:sz="0" w:space="0" w:color="auto"/>
            <w:left w:val="none" w:sz="0" w:space="0" w:color="auto"/>
            <w:bottom w:val="none" w:sz="0" w:space="0" w:color="auto"/>
            <w:right w:val="none" w:sz="0" w:space="0" w:color="auto"/>
          </w:divBdr>
          <w:divsChild>
            <w:div w:id="2131775347">
              <w:marLeft w:val="0"/>
              <w:marRight w:val="0"/>
              <w:marTop w:val="0"/>
              <w:marBottom w:val="0"/>
              <w:divBdr>
                <w:top w:val="none" w:sz="0" w:space="0" w:color="auto"/>
                <w:left w:val="none" w:sz="0" w:space="0" w:color="auto"/>
                <w:bottom w:val="none" w:sz="0" w:space="0" w:color="auto"/>
                <w:right w:val="none" w:sz="0" w:space="0" w:color="auto"/>
              </w:divBdr>
              <w:divsChild>
                <w:div w:id="2131775342">
                  <w:marLeft w:val="0"/>
                  <w:marRight w:val="0"/>
                  <w:marTop w:val="0"/>
                  <w:marBottom w:val="0"/>
                  <w:divBdr>
                    <w:top w:val="none" w:sz="0" w:space="0" w:color="auto"/>
                    <w:left w:val="none" w:sz="0" w:space="0" w:color="auto"/>
                    <w:bottom w:val="none" w:sz="0" w:space="0" w:color="auto"/>
                    <w:right w:val="none" w:sz="0" w:space="0" w:color="auto"/>
                  </w:divBdr>
                  <w:divsChild>
                    <w:div w:id="2131775343">
                      <w:marLeft w:val="0"/>
                      <w:marRight w:val="0"/>
                      <w:marTop w:val="0"/>
                      <w:marBottom w:val="0"/>
                      <w:divBdr>
                        <w:top w:val="none" w:sz="0" w:space="0" w:color="auto"/>
                        <w:left w:val="none" w:sz="0" w:space="0" w:color="auto"/>
                        <w:bottom w:val="none" w:sz="0" w:space="0" w:color="auto"/>
                        <w:right w:val="none" w:sz="0" w:space="0" w:color="auto"/>
                      </w:divBdr>
                      <w:divsChild>
                        <w:div w:id="2131775345">
                          <w:marLeft w:val="0"/>
                          <w:marRight w:val="0"/>
                          <w:marTop w:val="0"/>
                          <w:marBottom w:val="0"/>
                          <w:divBdr>
                            <w:top w:val="none" w:sz="0" w:space="0" w:color="auto"/>
                            <w:left w:val="none" w:sz="0" w:space="0" w:color="auto"/>
                            <w:bottom w:val="none" w:sz="0" w:space="0" w:color="auto"/>
                            <w:right w:val="none" w:sz="0" w:space="0" w:color="auto"/>
                          </w:divBdr>
                          <w:divsChild>
                            <w:div w:id="2131775341">
                              <w:marLeft w:val="0"/>
                              <w:marRight w:val="0"/>
                              <w:marTop w:val="0"/>
                              <w:marBottom w:val="0"/>
                              <w:divBdr>
                                <w:top w:val="none" w:sz="0" w:space="0" w:color="auto"/>
                                <w:left w:val="none" w:sz="0" w:space="0" w:color="auto"/>
                                <w:bottom w:val="none" w:sz="0" w:space="0" w:color="auto"/>
                                <w:right w:val="none" w:sz="0" w:space="0" w:color="auto"/>
                              </w:divBdr>
                              <w:divsChild>
                                <w:div w:id="2131775336">
                                  <w:marLeft w:val="0"/>
                                  <w:marRight w:val="0"/>
                                  <w:marTop w:val="0"/>
                                  <w:marBottom w:val="0"/>
                                  <w:divBdr>
                                    <w:top w:val="none" w:sz="0" w:space="0" w:color="auto"/>
                                    <w:left w:val="none" w:sz="0" w:space="0" w:color="auto"/>
                                    <w:bottom w:val="none" w:sz="0" w:space="0" w:color="auto"/>
                                    <w:right w:val="none" w:sz="0" w:space="0" w:color="auto"/>
                                  </w:divBdr>
                                  <w:divsChild>
                                    <w:div w:id="2131775339">
                                      <w:marLeft w:val="0"/>
                                      <w:marRight w:val="0"/>
                                      <w:marTop w:val="0"/>
                                      <w:marBottom w:val="0"/>
                                      <w:divBdr>
                                        <w:top w:val="none" w:sz="0" w:space="0" w:color="auto"/>
                                        <w:left w:val="none" w:sz="0" w:space="0" w:color="auto"/>
                                        <w:bottom w:val="none" w:sz="0" w:space="0" w:color="auto"/>
                                        <w:right w:val="none" w:sz="0" w:space="0" w:color="auto"/>
                                      </w:divBdr>
                                      <w:divsChild>
                                        <w:div w:id="2131775344">
                                          <w:marLeft w:val="0"/>
                                          <w:marRight w:val="0"/>
                                          <w:marTop w:val="0"/>
                                          <w:marBottom w:val="0"/>
                                          <w:divBdr>
                                            <w:top w:val="none" w:sz="0" w:space="0" w:color="auto"/>
                                            <w:left w:val="none" w:sz="0" w:space="0" w:color="auto"/>
                                            <w:bottom w:val="none" w:sz="0" w:space="0" w:color="auto"/>
                                            <w:right w:val="none" w:sz="0" w:space="0" w:color="auto"/>
                                          </w:divBdr>
                                          <w:divsChild>
                                            <w:div w:id="21317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17753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DF6CA-5D06-488F-BEEC-692368CC6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9035</Words>
  <Characters>54215</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2019-11-18T09:32:00Z</dcterms:created>
  <dcterms:modified xsi:type="dcterms:W3CDTF">2019-11-18T10:52:00Z</dcterms:modified>
</cp:coreProperties>
</file>