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AD" w:rsidRDefault="004F19AD" w:rsidP="001F2FA6">
      <w:pPr>
        <w:jc w:val="center"/>
      </w:pPr>
      <w:r>
        <w:rPr>
          <w:rStyle w:val="s4f807e54"/>
          <w:rFonts w:ascii="Arial" w:hAnsi="Arial" w:cs="Arial"/>
          <w:sz w:val="18"/>
          <w:szCs w:val="18"/>
        </w:rPr>
        <w:t>© Copyright for the Polish translation by Naczelny Sąd Administracyjny, Warszawa 2020</w:t>
      </w:r>
    </w:p>
    <w:p w:rsidR="004F19AD" w:rsidRDefault="004F19AD" w:rsidP="00BF7B14">
      <w:pPr>
        <w:jc w:val="center"/>
        <w:rPr>
          <w:lang w:val="pl-PL"/>
        </w:rPr>
      </w:pPr>
    </w:p>
    <w:p w:rsidR="004F19AD" w:rsidRPr="00C852FF" w:rsidRDefault="004F19AD" w:rsidP="00BF7B14">
      <w:pPr>
        <w:jc w:val="center"/>
        <w:rPr>
          <w:lang w:val="pl-PL"/>
        </w:rPr>
      </w:pPr>
      <w:r w:rsidRPr="00BF7B14">
        <w:rPr>
          <w:lang w:val="pl-PL"/>
        </w:rPr>
        <w:t>EUROPEJSKI TRYBUNAŁ PRAW CZŁOWIEKA</w:t>
      </w:r>
    </w:p>
    <w:p w:rsidR="004F19AD" w:rsidRPr="00C852FF" w:rsidRDefault="004F19AD" w:rsidP="006C2E98">
      <w:pPr>
        <w:jc w:val="center"/>
        <w:rPr>
          <w:lang w:val="pl-PL"/>
        </w:rPr>
      </w:pPr>
    </w:p>
    <w:p w:rsidR="004F19AD" w:rsidRPr="00C852FF" w:rsidRDefault="004F19AD" w:rsidP="006C2E98">
      <w:pPr>
        <w:jc w:val="center"/>
        <w:rPr>
          <w:lang w:val="pl-PL"/>
        </w:rPr>
      </w:pPr>
    </w:p>
    <w:p w:rsidR="004F19AD" w:rsidRPr="00C852FF" w:rsidRDefault="004F19AD" w:rsidP="006C2E98">
      <w:pPr>
        <w:jc w:val="center"/>
        <w:rPr>
          <w:lang w:val="pl-PL"/>
        </w:rPr>
      </w:pPr>
      <w:r w:rsidRPr="00C852FF">
        <w:rPr>
          <w:lang w:val="pl-PL"/>
        </w:rPr>
        <w:t>SEKCJA CZWARTA</w:t>
      </w:r>
    </w:p>
    <w:p w:rsidR="004F19AD" w:rsidRPr="00C852FF" w:rsidRDefault="004F19AD" w:rsidP="006C2E98">
      <w:pPr>
        <w:jc w:val="center"/>
        <w:rPr>
          <w:lang w:val="pl-PL"/>
        </w:rPr>
      </w:pPr>
    </w:p>
    <w:p w:rsidR="004F19AD" w:rsidRPr="00C852FF" w:rsidRDefault="004F19AD" w:rsidP="006C2E98">
      <w:pPr>
        <w:jc w:val="center"/>
        <w:rPr>
          <w:lang w:val="pl-PL"/>
        </w:rPr>
      </w:pPr>
    </w:p>
    <w:p w:rsidR="004F19AD" w:rsidRPr="00C852FF" w:rsidRDefault="004F19AD" w:rsidP="006C2E98">
      <w:pPr>
        <w:jc w:val="center"/>
        <w:rPr>
          <w:lang w:val="pl-PL"/>
        </w:rPr>
      </w:pPr>
    </w:p>
    <w:p w:rsidR="004F19AD" w:rsidRPr="00C852FF" w:rsidRDefault="004F19AD" w:rsidP="006C2E98">
      <w:pPr>
        <w:jc w:val="center"/>
        <w:rPr>
          <w:lang w:val="pl-PL"/>
        </w:rPr>
      </w:pPr>
    </w:p>
    <w:p w:rsidR="004F19AD" w:rsidRPr="00C852FF" w:rsidRDefault="004F19AD" w:rsidP="006C2E98">
      <w:pPr>
        <w:jc w:val="center"/>
        <w:rPr>
          <w:lang w:val="pl-PL"/>
        </w:rPr>
      </w:pPr>
    </w:p>
    <w:p w:rsidR="004F19AD" w:rsidRPr="00C852FF" w:rsidRDefault="004F19AD" w:rsidP="006C2E98">
      <w:pPr>
        <w:jc w:val="center"/>
        <w:rPr>
          <w:lang w:val="pl-PL"/>
        </w:rPr>
      </w:pPr>
    </w:p>
    <w:p w:rsidR="004F19AD" w:rsidRPr="00C852FF" w:rsidRDefault="004F19AD" w:rsidP="006C2E98">
      <w:pPr>
        <w:jc w:val="center"/>
        <w:rPr>
          <w:b/>
          <w:bCs/>
          <w:lang w:val="pl-PL"/>
        </w:rPr>
      </w:pPr>
      <w:bookmarkStart w:id="0" w:name="To"/>
      <w:r w:rsidRPr="00C852FF">
        <w:rPr>
          <w:b/>
          <w:bCs/>
          <w:lang w:val="pl-PL"/>
        </w:rPr>
        <w:t>SPRAWA</w:t>
      </w:r>
      <w:bookmarkEnd w:id="0"/>
      <w:r>
        <w:rPr>
          <w:b/>
          <w:bCs/>
          <w:lang w:val="pl-PL"/>
        </w:rPr>
        <w:t xml:space="preserve"> </w:t>
      </w:r>
      <w:r w:rsidRPr="00C852FF">
        <w:rPr>
          <w:b/>
          <w:bCs/>
          <w:lang w:val="pl-PL"/>
        </w:rPr>
        <w:t>SOMORJAI PRZECIWKO WĘGROM</w:t>
      </w:r>
    </w:p>
    <w:p w:rsidR="004F19AD" w:rsidRPr="00C852FF" w:rsidRDefault="004F19AD" w:rsidP="006C2E98">
      <w:pPr>
        <w:jc w:val="center"/>
        <w:rPr>
          <w:lang w:val="pl-PL"/>
        </w:rPr>
      </w:pPr>
    </w:p>
    <w:p w:rsidR="004F19AD" w:rsidRPr="00C852FF" w:rsidRDefault="004F19AD" w:rsidP="006C2E98">
      <w:pPr>
        <w:jc w:val="center"/>
        <w:rPr>
          <w:i/>
          <w:iCs/>
          <w:lang w:val="pl-PL"/>
        </w:rPr>
      </w:pPr>
      <w:r w:rsidRPr="00C852FF">
        <w:rPr>
          <w:i/>
          <w:iCs/>
          <w:lang w:val="pl-PL"/>
        </w:rPr>
        <w:t>(Skarga nr 60934/13)</w:t>
      </w:r>
    </w:p>
    <w:p w:rsidR="004F19AD" w:rsidRPr="00C852FF" w:rsidRDefault="004F19AD" w:rsidP="006C2E98">
      <w:pPr>
        <w:jc w:val="center"/>
        <w:rPr>
          <w:lang w:val="pl-PL"/>
        </w:rPr>
      </w:pPr>
    </w:p>
    <w:p w:rsidR="004F19AD" w:rsidRPr="00C852FF" w:rsidRDefault="004F19AD" w:rsidP="006C2E98">
      <w:pPr>
        <w:jc w:val="center"/>
        <w:rPr>
          <w:lang w:val="pl-PL"/>
        </w:rPr>
      </w:pPr>
    </w:p>
    <w:p w:rsidR="004F19AD" w:rsidRPr="00C852FF" w:rsidRDefault="004F19AD" w:rsidP="006C2E98">
      <w:pPr>
        <w:jc w:val="center"/>
        <w:rPr>
          <w:lang w:val="pl-PL"/>
        </w:rPr>
      </w:pPr>
    </w:p>
    <w:p w:rsidR="004F19AD" w:rsidRPr="00C852FF" w:rsidRDefault="004F19AD" w:rsidP="006C2E98">
      <w:pPr>
        <w:jc w:val="center"/>
        <w:rPr>
          <w:lang w:val="pl-PL"/>
        </w:rPr>
      </w:pPr>
    </w:p>
    <w:p w:rsidR="004F19AD" w:rsidRPr="00C852FF" w:rsidRDefault="004F19AD" w:rsidP="006C2E98">
      <w:pPr>
        <w:jc w:val="center"/>
        <w:rPr>
          <w:lang w:val="pl-PL"/>
        </w:rPr>
      </w:pPr>
    </w:p>
    <w:p w:rsidR="004F19AD" w:rsidRPr="00C852FF" w:rsidRDefault="004F19AD" w:rsidP="006C2E98">
      <w:pPr>
        <w:jc w:val="center"/>
        <w:rPr>
          <w:lang w:val="pl-PL"/>
        </w:rPr>
      </w:pPr>
    </w:p>
    <w:p w:rsidR="004F19AD" w:rsidRPr="00C852FF" w:rsidRDefault="004F19AD" w:rsidP="006C2E98">
      <w:pPr>
        <w:jc w:val="center"/>
        <w:rPr>
          <w:lang w:val="pl-PL"/>
        </w:rPr>
      </w:pPr>
    </w:p>
    <w:p w:rsidR="004F19AD" w:rsidRPr="00C852FF" w:rsidRDefault="004F19AD" w:rsidP="006C2E98">
      <w:pPr>
        <w:jc w:val="center"/>
        <w:rPr>
          <w:lang w:val="pl-PL"/>
        </w:rPr>
      </w:pPr>
      <w:r w:rsidRPr="00C852FF">
        <w:rPr>
          <w:lang w:val="pl-PL"/>
        </w:rPr>
        <w:t>WYROK</w:t>
      </w:r>
    </w:p>
    <w:p w:rsidR="004F19AD" w:rsidRPr="00C852FF" w:rsidRDefault="004F19AD" w:rsidP="006C2E98">
      <w:pPr>
        <w:jc w:val="center"/>
        <w:rPr>
          <w:lang w:val="pl-PL"/>
        </w:rPr>
      </w:pPr>
    </w:p>
    <w:p w:rsidR="004F19AD" w:rsidRPr="00C852FF" w:rsidRDefault="004F19AD" w:rsidP="006C2E98">
      <w:pPr>
        <w:jc w:val="center"/>
        <w:rPr>
          <w:lang w:val="pl-PL"/>
        </w:rPr>
      </w:pPr>
    </w:p>
    <w:p w:rsidR="004F19AD" w:rsidRPr="00C852FF" w:rsidRDefault="004F19AD" w:rsidP="006C2E98">
      <w:pPr>
        <w:jc w:val="center"/>
        <w:rPr>
          <w:lang w:val="pl-PL"/>
        </w:rPr>
      </w:pPr>
      <w:r w:rsidRPr="00C852FF">
        <w:rPr>
          <w:lang w:val="pl-PL"/>
        </w:rPr>
        <w:t>STRASBURG</w:t>
      </w:r>
    </w:p>
    <w:p w:rsidR="004F19AD" w:rsidRPr="00C852FF" w:rsidRDefault="004F19AD" w:rsidP="006C2E98">
      <w:pPr>
        <w:jc w:val="center"/>
        <w:rPr>
          <w:lang w:val="pl-PL"/>
        </w:rPr>
      </w:pPr>
    </w:p>
    <w:p w:rsidR="004F19AD" w:rsidRPr="00C852FF" w:rsidRDefault="004F19AD" w:rsidP="006C2E98">
      <w:pPr>
        <w:jc w:val="center"/>
        <w:rPr>
          <w:lang w:val="pl-PL"/>
        </w:rPr>
      </w:pPr>
      <w:r w:rsidRPr="00C852FF">
        <w:rPr>
          <w:lang w:val="pl-PL"/>
        </w:rPr>
        <w:t>z dnia 28 sierpnia 2018 r.</w:t>
      </w:r>
    </w:p>
    <w:p w:rsidR="004F19AD" w:rsidRPr="00C852FF" w:rsidRDefault="004F19AD" w:rsidP="006C2E98">
      <w:pPr>
        <w:jc w:val="center"/>
        <w:rPr>
          <w:lang w:val="pl-PL"/>
        </w:rPr>
      </w:pPr>
    </w:p>
    <w:p w:rsidR="004F19AD" w:rsidRPr="00C852FF" w:rsidRDefault="004F19AD" w:rsidP="006C2E98">
      <w:pPr>
        <w:jc w:val="center"/>
        <w:rPr>
          <w:lang w:val="pl-PL"/>
        </w:rPr>
      </w:pPr>
    </w:p>
    <w:p w:rsidR="004F19AD" w:rsidRPr="00C852FF" w:rsidRDefault="004F19AD" w:rsidP="006C2E98">
      <w:pPr>
        <w:pStyle w:val="jucase0"/>
        <w:ind w:firstLine="0"/>
        <w:jc w:val="center"/>
        <w:rPr>
          <w:color w:val="FF0000"/>
          <w:sz w:val="28"/>
          <w:szCs w:val="28"/>
          <w:u w:val="single"/>
          <w:lang w:val="pl-PL"/>
        </w:rPr>
      </w:pPr>
      <w:bookmarkStart w:id="1" w:name="_GoBack"/>
      <w:bookmarkEnd w:id="1"/>
      <w:r w:rsidRPr="00C852FF">
        <w:rPr>
          <w:color w:val="FF0000"/>
          <w:sz w:val="28"/>
          <w:szCs w:val="28"/>
          <w:u w:val="single"/>
          <w:lang w:val="pl-PL"/>
        </w:rPr>
        <w:t>OSTATECZNY</w:t>
      </w:r>
    </w:p>
    <w:p w:rsidR="004F19AD" w:rsidRPr="00C852FF" w:rsidRDefault="004F19AD" w:rsidP="006C2E98">
      <w:pPr>
        <w:pStyle w:val="jupara"/>
        <w:tabs>
          <w:tab w:val="left" w:pos="4650"/>
        </w:tabs>
        <w:ind w:firstLine="0"/>
        <w:jc w:val="center"/>
        <w:rPr>
          <w:color w:val="FF0000"/>
          <w:sz w:val="28"/>
          <w:szCs w:val="28"/>
          <w:lang w:val="pl-PL"/>
        </w:rPr>
      </w:pPr>
    </w:p>
    <w:p w:rsidR="004F19AD" w:rsidRPr="00C852FF" w:rsidRDefault="004F19AD" w:rsidP="006C2E98">
      <w:pPr>
        <w:pStyle w:val="jupara"/>
        <w:ind w:firstLine="0"/>
        <w:jc w:val="center"/>
        <w:rPr>
          <w:color w:val="FF0000"/>
          <w:sz w:val="28"/>
          <w:szCs w:val="28"/>
          <w:lang w:val="pl-PL"/>
        </w:rPr>
      </w:pPr>
      <w:r w:rsidRPr="00C852FF">
        <w:rPr>
          <w:color w:val="FF0000"/>
          <w:sz w:val="28"/>
          <w:szCs w:val="28"/>
          <w:lang w:val="pl-PL"/>
        </w:rPr>
        <w:t>28/11/2018</w:t>
      </w:r>
    </w:p>
    <w:p w:rsidR="004F19AD" w:rsidRPr="00C852FF" w:rsidRDefault="004F19AD" w:rsidP="006C2E98">
      <w:pPr>
        <w:pStyle w:val="jupara"/>
        <w:ind w:firstLine="0"/>
        <w:jc w:val="center"/>
        <w:rPr>
          <w:lang w:val="pl-PL"/>
        </w:rPr>
      </w:pPr>
    </w:p>
    <w:p w:rsidR="004F19AD" w:rsidRPr="00C852FF" w:rsidRDefault="004F19AD" w:rsidP="006C2E98">
      <w:pPr>
        <w:jc w:val="center"/>
        <w:rPr>
          <w:i/>
          <w:iCs/>
          <w:sz w:val="22"/>
          <w:szCs w:val="22"/>
          <w:lang w:val="pl-PL"/>
        </w:rPr>
      </w:pPr>
      <w:r w:rsidRPr="00C852FF">
        <w:rPr>
          <w:i/>
          <w:iCs/>
          <w:sz w:val="22"/>
          <w:szCs w:val="22"/>
          <w:lang w:val="pl-PL"/>
        </w:rPr>
        <w:t>Wyrok ten stał się ostateczny na podstawie art. 44 ust. 2 Konwencji. Wyrok może podlegać korekcie wydawniczej.</w:t>
      </w:r>
    </w:p>
    <w:p w:rsidR="004F19AD" w:rsidRPr="00C852FF" w:rsidRDefault="004F19AD" w:rsidP="006C2E98">
      <w:pPr>
        <w:pStyle w:val="ECHRPara"/>
        <w:rPr>
          <w:lang w:val="pl-PL"/>
        </w:rPr>
      </w:pPr>
    </w:p>
    <w:p w:rsidR="004F19AD" w:rsidRPr="00C852FF" w:rsidRDefault="004F19AD" w:rsidP="006C2E98">
      <w:pPr>
        <w:pStyle w:val="ECHRPara"/>
        <w:rPr>
          <w:lang w:val="pl-PL"/>
        </w:rPr>
        <w:sectPr w:rsidR="004F19AD" w:rsidRPr="00C852FF" w:rsidSect="00931733">
          <w:headerReference w:type="default" r:id="rId7"/>
          <w:headerReference w:type="first" r:id="rId8"/>
          <w:footerReference w:type="first" r:id="rId9"/>
          <w:footnotePr>
            <w:numRestart w:val="eachSect"/>
          </w:footnotePr>
          <w:pgSz w:w="11906" w:h="16838" w:code="9"/>
          <w:pgMar w:top="2274" w:right="2274" w:bottom="2274" w:left="2274" w:header="1701" w:footer="708" w:gutter="0"/>
          <w:pgNumType w:start="1"/>
          <w:cols w:space="708"/>
          <w:titlePg/>
          <w:docGrid w:linePitch="326"/>
        </w:sectPr>
      </w:pPr>
    </w:p>
    <w:p w:rsidR="004F19AD" w:rsidRPr="00C852FF" w:rsidRDefault="004F19AD" w:rsidP="006C2E98">
      <w:pPr>
        <w:pStyle w:val="JuCase"/>
        <w:rPr>
          <w:lang w:val="pl-PL"/>
        </w:rPr>
      </w:pPr>
      <w:r w:rsidRPr="00C852FF">
        <w:rPr>
          <w:lang w:val="pl-PL"/>
        </w:rPr>
        <w:t>W sprawie Somorjai przeciwko Węgrom,</w:t>
      </w:r>
    </w:p>
    <w:p w:rsidR="004F19AD" w:rsidRPr="00C852FF" w:rsidRDefault="004F19AD" w:rsidP="006C2E98">
      <w:pPr>
        <w:pStyle w:val="ECHRPara"/>
        <w:rPr>
          <w:lang w:val="pl-PL"/>
        </w:rPr>
      </w:pPr>
      <w:r w:rsidRPr="00C852FF">
        <w:rPr>
          <w:lang w:val="pl-PL"/>
        </w:rPr>
        <w:t>Europejski Trybunał Praw Człowieka (Sekcja Czwarta), zasiadając jako Izba w składzie:</w:t>
      </w:r>
    </w:p>
    <w:p w:rsidR="004F19AD" w:rsidRPr="00C852FF" w:rsidRDefault="004F19AD" w:rsidP="006C2E98">
      <w:pPr>
        <w:pStyle w:val="ECHRDecisionBody"/>
        <w:rPr>
          <w:lang w:val="pl-PL"/>
        </w:rPr>
      </w:pPr>
      <w:r w:rsidRPr="00C852FF">
        <w:rPr>
          <w:lang w:val="pl-PL"/>
        </w:rPr>
        <w:tab/>
        <w:t xml:space="preserve">Vincent A. De Gaetano, </w:t>
      </w:r>
      <w:r w:rsidRPr="00C852FF">
        <w:rPr>
          <w:i/>
          <w:iCs/>
          <w:lang w:val="pl-PL"/>
        </w:rPr>
        <w:t>Przewodniczący</w:t>
      </w:r>
      <w:r w:rsidRPr="00C852FF">
        <w:rPr>
          <w:lang w:val="pl-PL"/>
        </w:rPr>
        <w:t>,</w:t>
      </w:r>
      <w:r w:rsidRPr="00C852FF">
        <w:rPr>
          <w:lang w:val="pl-PL"/>
        </w:rPr>
        <w:br/>
      </w:r>
      <w:r w:rsidRPr="00C852FF">
        <w:rPr>
          <w:lang w:val="pl-PL"/>
        </w:rPr>
        <w:tab/>
        <w:t>András Sajó,</w:t>
      </w:r>
      <w:r w:rsidRPr="00C852FF">
        <w:rPr>
          <w:lang w:val="pl-PL"/>
        </w:rPr>
        <w:br/>
      </w:r>
      <w:r w:rsidRPr="00C852FF">
        <w:rPr>
          <w:lang w:val="pl-PL"/>
        </w:rPr>
        <w:tab/>
        <w:t>Paulo Pinto de Albuquerque,</w:t>
      </w:r>
      <w:r w:rsidRPr="00C852FF">
        <w:rPr>
          <w:lang w:val="pl-PL"/>
        </w:rPr>
        <w:br/>
      </w:r>
      <w:r w:rsidRPr="00C852FF">
        <w:rPr>
          <w:lang w:val="pl-PL"/>
        </w:rPr>
        <w:tab/>
        <w:t>Krzysztof Wojtyczek,</w:t>
      </w:r>
      <w:r w:rsidRPr="00C852FF">
        <w:rPr>
          <w:lang w:val="pl-PL"/>
        </w:rPr>
        <w:br/>
      </w:r>
      <w:r w:rsidRPr="00C852FF">
        <w:rPr>
          <w:lang w:val="pl-PL"/>
        </w:rPr>
        <w:tab/>
        <w:t>Egidijus Kūris,</w:t>
      </w:r>
      <w:r w:rsidRPr="00C852FF">
        <w:rPr>
          <w:lang w:val="pl-PL"/>
        </w:rPr>
        <w:br/>
      </w:r>
      <w:r w:rsidRPr="00C852FF">
        <w:rPr>
          <w:lang w:val="pl-PL"/>
        </w:rPr>
        <w:tab/>
        <w:t>Iulia Motoc,</w:t>
      </w:r>
      <w:r w:rsidRPr="00C852FF">
        <w:rPr>
          <w:lang w:val="pl-PL"/>
        </w:rPr>
        <w:br/>
      </w:r>
      <w:r w:rsidRPr="00C852FF">
        <w:rPr>
          <w:lang w:val="pl-PL"/>
        </w:rPr>
        <w:tab/>
        <w:t>Marko Bošnjak,</w:t>
      </w:r>
      <w:r w:rsidRPr="00C852FF">
        <w:rPr>
          <w:i/>
          <w:iCs/>
          <w:lang w:val="pl-PL"/>
        </w:rPr>
        <w:t xml:space="preserve"> sędziowie,</w:t>
      </w:r>
      <w:r w:rsidRPr="00C852FF">
        <w:rPr>
          <w:lang w:val="pl-PL"/>
        </w:rPr>
        <w:br/>
        <w:t xml:space="preserve">i Marialena Tsirli, </w:t>
      </w:r>
      <w:r w:rsidRPr="00C852FF">
        <w:rPr>
          <w:i/>
          <w:iCs/>
          <w:lang w:val="pl-PL"/>
        </w:rPr>
        <w:t>Kanclerz Sekcji,</w:t>
      </w:r>
    </w:p>
    <w:p w:rsidR="004F19AD" w:rsidRPr="00C852FF" w:rsidRDefault="004F19AD" w:rsidP="006C2E98">
      <w:pPr>
        <w:pStyle w:val="ECHRPara"/>
        <w:rPr>
          <w:lang w:val="pl-PL"/>
        </w:rPr>
      </w:pPr>
      <w:r w:rsidRPr="00C852FF">
        <w:rPr>
          <w:lang w:val="pl-PL"/>
        </w:rPr>
        <w:t>Obradując na posiedzeniu niejawnym w dniu 5 stycznia i 21 listopada 2017 r. oraz 12 czerwca 2018 r.,</w:t>
      </w:r>
    </w:p>
    <w:p w:rsidR="004F19AD" w:rsidRPr="00C852FF" w:rsidRDefault="004F19AD" w:rsidP="006C2E98">
      <w:pPr>
        <w:pStyle w:val="ECHRPara"/>
        <w:rPr>
          <w:lang w:val="pl-PL"/>
        </w:rPr>
      </w:pPr>
      <w:r w:rsidRPr="00C852FF">
        <w:rPr>
          <w:lang w:val="pl-PL"/>
        </w:rPr>
        <w:t>wydaje następujący wyrok, który został przyjęty w ostatnim z wymienionych dni:</w:t>
      </w:r>
    </w:p>
    <w:p w:rsidR="004F19AD" w:rsidRPr="001F2FA6" w:rsidRDefault="004F19AD" w:rsidP="006C2E98">
      <w:pPr>
        <w:pStyle w:val="ECHRTitle1"/>
        <w:rPr>
          <w:lang w:val="pl-PL"/>
        </w:rPr>
      </w:pPr>
      <w:r w:rsidRPr="001F2FA6">
        <w:rPr>
          <w:lang w:val="pl-PL"/>
        </w:rPr>
        <w:t>POSTĘPOWANIE</w:t>
      </w:r>
    </w:p>
    <w:p w:rsidR="004F19AD" w:rsidRPr="001F2FA6" w:rsidRDefault="004F19AD" w:rsidP="006C2E98">
      <w:pPr>
        <w:pStyle w:val="ECHRTitle1"/>
        <w:rPr>
          <w:i/>
          <w:iCs/>
          <w:sz w:val="24"/>
          <w:szCs w:val="24"/>
          <w:lang w:val="pl-PL"/>
        </w:rPr>
      </w:pPr>
      <w:r w:rsidRPr="001F2FA6">
        <w:rPr>
          <w:i/>
          <w:iCs/>
          <w:sz w:val="24"/>
          <w:szCs w:val="24"/>
          <w:lang w:val="pl-PL"/>
        </w:rPr>
        <w:t>[Paragrafy 1-4 wyroku pominięto]</w:t>
      </w:r>
    </w:p>
    <w:p w:rsidR="004F19AD" w:rsidRPr="001F2FA6" w:rsidRDefault="004F19AD" w:rsidP="006C2E98">
      <w:pPr>
        <w:pStyle w:val="ECHRTitle1"/>
        <w:rPr>
          <w:lang w:val="pl-PL"/>
        </w:rPr>
      </w:pPr>
      <w:r w:rsidRPr="001F2FA6">
        <w:rPr>
          <w:lang w:val="pl-PL"/>
        </w:rPr>
        <w:t>FAKTY</w:t>
      </w:r>
    </w:p>
    <w:p w:rsidR="004F19AD" w:rsidRPr="001F2FA6" w:rsidRDefault="004F19AD" w:rsidP="004760CE">
      <w:pPr>
        <w:pStyle w:val="ECHRPara"/>
        <w:rPr>
          <w:lang w:val="pl-PL"/>
        </w:rPr>
      </w:pPr>
    </w:p>
    <w:p w:rsidR="004F19AD" w:rsidRPr="001F2FA6" w:rsidRDefault="004F19AD" w:rsidP="004760CE">
      <w:pPr>
        <w:pStyle w:val="ECHRPara"/>
        <w:ind w:firstLine="0"/>
        <w:rPr>
          <w:i/>
          <w:iCs/>
          <w:lang w:val="pl-PL"/>
        </w:rPr>
      </w:pPr>
      <w:r w:rsidRPr="001F2FA6">
        <w:rPr>
          <w:i/>
          <w:iCs/>
          <w:lang w:val="pl-PL"/>
        </w:rPr>
        <w:t>[Paragrafy 5–42 wyroku pominięte i zastąpione tłumaczeniem poniższego streszczenia przygotowanego przez Kancelarię Europejskiego Trybunału Praw Człowieka]</w:t>
      </w:r>
    </w:p>
    <w:p w:rsidR="004F19AD" w:rsidRPr="001F2FA6" w:rsidRDefault="004F19AD" w:rsidP="004760CE">
      <w:pPr>
        <w:pStyle w:val="ECHRPara"/>
        <w:rPr>
          <w:i/>
          <w:iCs/>
          <w:u w:val="single"/>
          <w:lang w:val="pl-PL"/>
        </w:rPr>
      </w:pPr>
    </w:p>
    <w:p w:rsidR="004F19AD" w:rsidRPr="001F2FA6" w:rsidRDefault="004F19AD" w:rsidP="004760CE">
      <w:pPr>
        <w:pStyle w:val="ECHRPara"/>
        <w:rPr>
          <w:u w:val="single"/>
          <w:lang w:val="pl-PL"/>
        </w:rPr>
      </w:pPr>
      <w:r w:rsidRPr="001F2FA6">
        <w:rPr>
          <w:u w:val="single"/>
          <w:lang w:val="pl-PL"/>
        </w:rPr>
        <w:t>Streszczenie stanu faktycznego</w:t>
      </w:r>
      <w:r w:rsidRPr="001F2FA6">
        <w:rPr>
          <w:rStyle w:val="FootnoteReference"/>
          <w:lang w:val="pl-PL"/>
        </w:rPr>
        <w:footnoteReference w:id="1"/>
      </w:r>
      <w:r w:rsidRPr="001F2FA6">
        <w:rPr>
          <w:u w:val="single"/>
          <w:lang w:val="pl-PL"/>
        </w:rPr>
        <w:t>:</w:t>
      </w:r>
    </w:p>
    <w:p w:rsidR="004F19AD" w:rsidRPr="00C852FF" w:rsidRDefault="004F19AD" w:rsidP="004760CE">
      <w:pPr>
        <w:autoSpaceDE w:val="0"/>
        <w:autoSpaceDN w:val="0"/>
        <w:adjustRightInd w:val="0"/>
        <w:rPr>
          <w:rFonts w:eastAsia="Times New Roman"/>
          <w:lang w:val="pl-PL"/>
        </w:rPr>
      </w:pPr>
      <w:r w:rsidRPr="001F2FA6">
        <w:rPr>
          <w:rFonts w:eastAsia="Times New Roman"/>
          <w:lang w:val="pl-PL"/>
        </w:rPr>
        <w:t>Skarżący, Gábor Somorjai, jest obywatelem Węgier, który urodził się w 1939 r. i mieszka w Vácu (Węgry). W 1995 r. panu Somorjaiemu, który pracował wcześniej na Węgrzech i w Austrii, przyznano rentę inwalidzką. W kwietniu 2006 r. po przystąpieniu Węgier do UE w 2004 r. zwrócił się o ponowne rozpatrzenie swoich uprawnień rentowych zgodnie</w:t>
      </w:r>
      <w:r w:rsidRPr="00C852FF">
        <w:rPr>
          <w:rFonts w:eastAsia="Times New Roman"/>
          <w:lang w:val="pl-PL"/>
        </w:rPr>
        <w:t xml:space="preserve"> z</w:t>
      </w:r>
      <w:r>
        <w:rPr>
          <w:rFonts w:eastAsia="Times New Roman"/>
          <w:lang w:val="pl-PL"/>
        </w:rPr>
        <w:t> </w:t>
      </w:r>
      <w:r w:rsidRPr="00C852FF">
        <w:rPr>
          <w:rFonts w:eastAsia="Times New Roman"/>
          <w:lang w:val="pl-PL"/>
        </w:rPr>
        <w:t>rozporządzeniem UE (rozporządzenie 1408/71/EWG), które stanowi, że prawa osób, które uzyskały rentę, mogą zostać ponownie naliczone na ich wniosek. We wrześniu 2006 r. organ rentowy pierwszej instancji przeprowadził kontrolę miesięcznej renty pana Somorjai</w:t>
      </w:r>
      <w:r>
        <w:rPr>
          <w:rFonts w:eastAsia="Times New Roman"/>
          <w:lang w:val="pl-PL"/>
        </w:rPr>
        <w:t>ego</w:t>
      </w:r>
      <w:r w:rsidRPr="00C852FF">
        <w:rPr>
          <w:rFonts w:eastAsia="Times New Roman"/>
          <w:lang w:val="pl-PL"/>
        </w:rPr>
        <w:t xml:space="preserve"> i podwyższył ją z</w:t>
      </w:r>
      <w:r>
        <w:rPr>
          <w:rFonts w:eastAsia="Times New Roman"/>
          <w:lang w:val="pl-PL"/>
        </w:rPr>
        <w:t> </w:t>
      </w:r>
      <w:r w:rsidRPr="00C852FF">
        <w:rPr>
          <w:rFonts w:eastAsia="Times New Roman"/>
          <w:lang w:val="pl-PL"/>
        </w:rPr>
        <w:t>74 361 forintów (HUF) (około 250 euro (EUR)</w:t>
      </w:r>
      <w:r>
        <w:rPr>
          <w:rFonts w:eastAsia="Times New Roman"/>
          <w:lang w:val="pl-PL"/>
        </w:rPr>
        <w:t>)</w:t>
      </w:r>
      <w:r w:rsidRPr="00C852FF">
        <w:rPr>
          <w:rFonts w:eastAsia="Times New Roman"/>
          <w:lang w:val="pl-PL"/>
        </w:rPr>
        <w:t xml:space="preserve"> do 134 566 HUF (około 449 EUR) miesięcznie ze skutkiem od dnia 1 maja 2004 r. Pan Somorjai odwołał się od tej decyzji i organ rentowy drugiej instancji podwyższył jego miesięczną rentę do 135 450 HUF (około 452 EUR).</w:t>
      </w:r>
    </w:p>
    <w:p w:rsidR="004F19AD" w:rsidRPr="00C852FF" w:rsidRDefault="004F19AD" w:rsidP="004760CE">
      <w:pPr>
        <w:autoSpaceDE w:val="0"/>
        <w:autoSpaceDN w:val="0"/>
        <w:adjustRightInd w:val="0"/>
        <w:rPr>
          <w:rFonts w:eastAsia="Times New Roman"/>
          <w:lang w:val="pl-PL"/>
        </w:rPr>
      </w:pPr>
      <w:r w:rsidRPr="00C852FF">
        <w:rPr>
          <w:rFonts w:eastAsia="Times New Roman"/>
          <w:lang w:val="pl-PL"/>
        </w:rPr>
        <w:t>Pan Somorjai zakwestionował końcową decyzję administracyjną w sądzie i</w:t>
      </w:r>
      <w:r>
        <w:rPr>
          <w:rFonts w:eastAsia="Times New Roman"/>
          <w:lang w:val="pl-PL"/>
        </w:rPr>
        <w:t> </w:t>
      </w:r>
      <w:r w:rsidRPr="00C852FF">
        <w:rPr>
          <w:rFonts w:eastAsia="Times New Roman"/>
          <w:lang w:val="pl-PL"/>
        </w:rPr>
        <w:t>zwrócił się z wnioskiem o skierowanie pytania dotyczącego prawidłowej wykładni rozporządzenia do TSUE w celu wydania orzeczenia w trybie prejudycjalnym. Dnia 12 października 2007 r. Sąd Pracy w Budapeszcie oddalił skargę i podtrzymał decyzję organu rentowego.</w:t>
      </w:r>
    </w:p>
    <w:p w:rsidR="004F19AD" w:rsidRPr="00C852FF" w:rsidRDefault="004F19AD" w:rsidP="004760CE">
      <w:pPr>
        <w:autoSpaceDE w:val="0"/>
        <w:autoSpaceDN w:val="0"/>
        <w:adjustRightInd w:val="0"/>
        <w:rPr>
          <w:rFonts w:eastAsia="Times New Roman"/>
          <w:lang w:val="pl-PL"/>
        </w:rPr>
      </w:pPr>
      <w:r w:rsidRPr="00C852FF">
        <w:rPr>
          <w:rFonts w:eastAsia="Times New Roman"/>
          <w:lang w:val="pl-PL"/>
        </w:rPr>
        <w:t>Pan Somorjai wniósł odwołanie przed Sąd Najwyższy i w czerwcu 2009 r. tenże uchylił orzeczenie Sądu Pracy i nakazał przeprowadzenie nowego postępowania, podkreślając konieczność uwzględnienia istotnych zasad prawa UE. W odniesieniu do wniosku o wydanie orzeczenia w trybie prejudycjalnym Sąd Najwyższy orzekł, że postępowanie wydaje się być zbędne, „ponieważ warunki nie zostały spełnione”.</w:t>
      </w:r>
    </w:p>
    <w:p w:rsidR="004F19AD" w:rsidRPr="00C852FF" w:rsidRDefault="004F19AD" w:rsidP="004760CE">
      <w:pPr>
        <w:autoSpaceDE w:val="0"/>
        <w:autoSpaceDN w:val="0"/>
        <w:adjustRightInd w:val="0"/>
        <w:rPr>
          <w:rFonts w:eastAsia="Times New Roman"/>
          <w:lang w:val="pl-PL"/>
        </w:rPr>
      </w:pPr>
      <w:r w:rsidRPr="00C852FF">
        <w:rPr>
          <w:rFonts w:eastAsia="Times New Roman"/>
          <w:lang w:val="pl-PL"/>
        </w:rPr>
        <w:t>W przekazanej sprawie Sąd Pracy uchylił decyzję organu rentowego i</w:t>
      </w:r>
      <w:r>
        <w:rPr>
          <w:rFonts w:eastAsia="Times New Roman"/>
          <w:lang w:val="pl-PL"/>
        </w:rPr>
        <w:t> </w:t>
      </w:r>
      <w:r w:rsidRPr="00C852FF">
        <w:rPr>
          <w:rFonts w:eastAsia="Times New Roman"/>
          <w:lang w:val="pl-PL"/>
        </w:rPr>
        <w:t>nakazał mu ponowne naliczenie renty zgodnie z przepisami UE i w lipcu 2010 r. kwota została podwyższona do 139 545 HUF (około 465 EUR). Ustawa o rentach i emeryturach z 1997 r. stanowi, że jeśli organ rentowy popełnił błąd, wówczas uiścić należy różnicę jedynie dla pięciu lat poprzedzających wykrycie błędu, dlatego nakazano płatność różnicy na rzecz pana Somorjai jedynie za okres po 19 marca 2005 r. Odwołał się on, żądając zapłaty zaległości za cały okres następujący po przystąpieniu Węgier do UE (1 maja 2004 r.), jednak bezskutecznie.</w:t>
      </w:r>
    </w:p>
    <w:p w:rsidR="004F19AD" w:rsidRPr="00C852FF" w:rsidRDefault="004F19AD" w:rsidP="004760CE">
      <w:pPr>
        <w:autoSpaceDE w:val="0"/>
        <w:autoSpaceDN w:val="0"/>
        <w:adjustRightInd w:val="0"/>
        <w:rPr>
          <w:rFonts w:eastAsia="Times New Roman"/>
          <w:lang w:val="pl-PL"/>
        </w:rPr>
      </w:pPr>
      <w:r w:rsidRPr="00C852FF">
        <w:rPr>
          <w:rFonts w:eastAsia="Times New Roman"/>
          <w:lang w:val="pl-PL"/>
        </w:rPr>
        <w:t>Opierając się na rozporządzeniu UE, pan Somorjai zwrócił się do sądu o</w:t>
      </w:r>
      <w:r>
        <w:rPr>
          <w:rFonts w:eastAsia="Times New Roman"/>
          <w:lang w:val="pl-PL"/>
        </w:rPr>
        <w:t> </w:t>
      </w:r>
      <w:r w:rsidRPr="00C852FF">
        <w:rPr>
          <w:rFonts w:eastAsia="Times New Roman"/>
          <w:lang w:val="pl-PL"/>
        </w:rPr>
        <w:t xml:space="preserve">ponowne rozpatrzenie decyzji organu rentowego. Uznał, że ma prawo, zgodnie z rozporządzeniem UE, do skorygowanej renty za cały okres następujący po 1 maja 2004 </w:t>
      </w:r>
      <w:r>
        <w:rPr>
          <w:rFonts w:eastAsia="Times New Roman"/>
          <w:lang w:val="pl-PL"/>
        </w:rPr>
        <w:t>r</w:t>
      </w:r>
      <w:r w:rsidRPr="00C852FF">
        <w:rPr>
          <w:rFonts w:eastAsia="Times New Roman"/>
          <w:lang w:val="pl-PL"/>
        </w:rPr>
        <w:t>. i że krajowy przepis ograniczający wypłacenie tej renty stanowi „ograniczenie praw” zabronione przez rozporządzenie. Jednak Sąd Pracy w Budapeszcie podtrzymał tę decyzję w</w:t>
      </w:r>
      <w:r>
        <w:rPr>
          <w:rFonts w:eastAsia="Times New Roman"/>
          <w:lang w:val="pl-PL"/>
        </w:rPr>
        <w:t> </w:t>
      </w:r>
      <w:r w:rsidRPr="00C852FF">
        <w:rPr>
          <w:rFonts w:eastAsia="Times New Roman"/>
          <w:lang w:val="pl-PL"/>
        </w:rPr>
        <w:t>lutym 2012 r. Trzy tygodnie później pan Somorjai złożył wniosek o</w:t>
      </w:r>
      <w:r>
        <w:rPr>
          <w:rFonts w:eastAsia="Times New Roman"/>
          <w:lang w:val="pl-PL"/>
        </w:rPr>
        <w:t> </w:t>
      </w:r>
      <w:r w:rsidRPr="00C852FF">
        <w:rPr>
          <w:rFonts w:eastAsia="Times New Roman"/>
          <w:lang w:val="pl-PL"/>
        </w:rPr>
        <w:t>zbadanie prawidłowości wyroku Sądu Pracy. Nie zwrócił się o</w:t>
      </w:r>
      <w:r>
        <w:rPr>
          <w:rFonts w:eastAsia="Times New Roman"/>
          <w:lang w:val="pl-PL"/>
        </w:rPr>
        <w:t> </w:t>
      </w:r>
      <w:r w:rsidRPr="00C852FF">
        <w:rPr>
          <w:rFonts w:eastAsia="Times New Roman"/>
          <w:lang w:val="pl-PL"/>
        </w:rPr>
        <w:t>skierowanie sprawy do TSUE w celu wydania orzeczenia w trybie prejudycjalnym, natomiast zwrócił się o to, co uznawał za prawidłowe stosowanie rozporządzenia. Stwierdził jednak, że wyrok narusza art. 234 Traktatu o funkcjonowaniu Unii Europejskiej („Traktat WE”) nie przedstawiając szczegółowego wyjaśnienia w tym względzie.</w:t>
      </w:r>
    </w:p>
    <w:p w:rsidR="004F19AD" w:rsidRPr="00C852FF" w:rsidRDefault="004F19AD" w:rsidP="004760CE">
      <w:pPr>
        <w:autoSpaceDE w:val="0"/>
        <w:autoSpaceDN w:val="0"/>
        <w:adjustRightInd w:val="0"/>
        <w:rPr>
          <w:rFonts w:eastAsia="Times New Roman"/>
          <w:lang w:val="pl-PL"/>
        </w:rPr>
      </w:pPr>
      <w:r w:rsidRPr="00C852FF">
        <w:rPr>
          <w:lang w:val="pl-PL"/>
        </w:rPr>
        <w:t xml:space="preserve">Dnia 26 czerwca 2013 r. Sąd Najwyższy, przemianowany na </w:t>
      </w:r>
      <w:r w:rsidRPr="00C852FF">
        <w:rPr>
          <w:i/>
          <w:iCs/>
          <w:lang w:val="pl-PL"/>
        </w:rPr>
        <w:t>Kúr</w:t>
      </w:r>
      <w:r>
        <w:rPr>
          <w:i/>
          <w:iCs/>
          <w:lang w:val="pl-PL"/>
        </w:rPr>
        <w:t>ię</w:t>
      </w:r>
      <w:r w:rsidRPr="00C852FF">
        <w:rPr>
          <w:i/>
          <w:iCs/>
          <w:lang w:val="pl-PL"/>
        </w:rPr>
        <w:t xml:space="preserve"> </w:t>
      </w:r>
      <w:r w:rsidRPr="00C852FF">
        <w:rPr>
          <w:lang w:val="pl-PL"/>
        </w:rPr>
        <w:t>w</w:t>
      </w:r>
      <w:r>
        <w:rPr>
          <w:lang w:val="pl-PL"/>
        </w:rPr>
        <w:t> </w:t>
      </w:r>
      <w:r w:rsidRPr="00C852FF">
        <w:rPr>
          <w:lang w:val="pl-PL"/>
        </w:rPr>
        <w:t>2012</w:t>
      </w:r>
      <w:r>
        <w:rPr>
          <w:lang w:val="pl-PL"/>
        </w:rPr>
        <w:t> </w:t>
      </w:r>
      <w:r w:rsidRPr="00C852FF">
        <w:rPr>
          <w:lang w:val="pl-PL"/>
        </w:rPr>
        <w:t>r., podtrzymał wyrok Sądu Najwyższego uzasadniając, że rozporządzenie dotyczy tylko nabycia uprawnień, a nie faktycznej płatności świadczeń. W</w:t>
      </w:r>
      <w:r>
        <w:rPr>
          <w:lang w:val="pl-PL"/>
        </w:rPr>
        <w:t> </w:t>
      </w:r>
      <w:r w:rsidRPr="00C852FF">
        <w:rPr>
          <w:lang w:val="pl-PL"/>
        </w:rPr>
        <w:t xml:space="preserve">opinii </w:t>
      </w:r>
      <w:r>
        <w:rPr>
          <w:i/>
          <w:iCs/>
          <w:lang w:val="pl-PL"/>
        </w:rPr>
        <w:t>Kúrii</w:t>
      </w:r>
      <w:r w:rsidRPr="00C852FF">
        <w:rPr>
          <w:i/>
          <w:iCs/>
          <w:lang w:val="pl-PL"/>
        </w:rPr>
        <w:t xml:space="preserve"> </w:t>
      </w:r>
      <w:r w:rsidRPr="00C852FF">
        <w:rPr>
          <w:lang w:val="pl-PL"/>
        </w:rPr>
        <w:t>uprawnienia skarżącego nie podlegały przepadkowi ani ograniczeniu; jedynie faktyczna płatność podwyższonej kwoty została ograniczona, nie było więc zatem sprzeczno</w:t>
      </w:r>
      <w:r>
        <w:rPr>
          <w:lang w:val="pl-PL"/>
        </w:rPr>
        <w:t>ści pomiędzy ustawą o rentach i </w:t>
      </w:r>
      <w:r w:rsidRPr="00C852FF">
        <w:rPr>
          <w:lang w:val="pl-PL"/>
        </w:rPr>
        <w:t xml:space="preserve">emeryturach z 1997 r. a rozporządzeniem. Wyrok </w:t>
      </w:r>
      <w:r w:rsidRPr="00C852FF">
        <w:rPr>
          <w:i/>
          <w:iCs/>
          <w:lang w:val="pl-PL"/>
        </w:rPr>
        <w:t xml:space="preserve">Kúria </w:t>
      </w:r>
      <w:r w:rsidRPr="00C852FF">
        <w:rPr>
          <w:lang w:val="pl-PL"/>
        </w:rPr>
        <w:t>nie zawierał żadnego uzasadnienia domniemanego naruszenia art. 234 Traktatu WE. Dnia 2 lutego 2008 r. pan Somorjai złożył również wniosek do Trybunału Konstytucyjnego, który oddalił jego sprawę twierdząc, że nie jest właściwy w przedmiocie zbadania domniemanej sprzeczności pomiędzy prawem węgierskim a prawem UE.</w:t>
      </w:r>
    </w:p>
    <w:p w:rsidR="004F19AD" w:rsidRPr="00C852FF" w:rsidRDefault="004F19AD" w:rsidP="004760CE">
      <w:pPr>
        <w:pStyle w:val="ECHRTitle1"/>
        <w:rPr>
          <w:sz w:val="24"/>
          <w:szCs w:val="24"/>
          <w:lang w:val="pl-PL"/>
        </w:rPr>
      </w:pPr>
      <w:r w:rsidRPr="00C852FF">
        <w:rPr>
          <w:sz w:val="24"/>
          <w:szCs w:val="24"/>
          <w:lang w:val="pl-PL"/>
        </w:rPr>
        <w:t>PRAWO</w:t>
      </w:r>
    </w:p>
    <w:p w:rsidR="004F19AD" w:rsidRPr="00C852FF" w:rsidRDefault="004F19AD" w:rsidP="006C2E98">
      <w:pPr>
        <w:pStyle w:val="ECHRHeading1"/>
        <w:rPr>
          <w:lang w:val="pl-PL"/>
        </w:rPr>
      </w:pPr>
      <w:r w:rsidRPr="00C852FF">
        <w:rPr>
          <w:lang w:val="pl-PL"/>
        </w:rPr>
        <w:t>I. DOMNIEMANE NARUSZENIE ART. 6 UST. 1 KONWENCJI ZE WZGLĘDU NA NIERZETELNOŚĆ POSTĘPOWANIA.</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43</w:t>
      </w:r>
      <w:r w:rsidRPr="00C852FF">
        <w:rPr>
          <w:lang w:val="pl-PL"/>
        </w:rPr>
        <w:fldChar w:fldCharType="end"/>
      </w:r>
      <w:r w:rsidRPr="00C852FF">
        <w:rPr>
          <w:lang w:val="pl-PL"/>
        </w:rPr>
        <w:t xml:space="preserve">.  Skarżący zarzucał naruszenie jego prawa do rzetelnego procesu. Twierdził, że organy krajowe, a w szczególności </w:t>
      </w:r>
      <w:r w:rsidRPr="00C852FF">
        <w:rPr>
          <w:i/>
          <w:iCs/>
          <w:lang w:val="pl-PL"/>
        </w:rPr>
        <w:t>Kúria</w:t>
      </w:r>
      <w:r w:rsidRPr="00C852FF">
        <w:rPr>
          <w:lang w:val="pl-PL"/>
        </w:rPr>
        <w:t xml:space="preserve"> nie wzięły należycie pod uwagę przepisu prawa UE, który powinien regulować tę sprawę i który nakłada na sądy krajowe pewne obowiązki w odniesieniu do zwracania się o</w:t>
      </w:r>
      <w:r>
        <w:rPr>
          <w:lang w:val="pl-PL"/>
        </w:rPr>
        <w:t> </w:t>
      </w:r>
      <w:r w:rsidRPr="00C852FF">
        <w:rPr>
          <w:lang w:val="pl-PL"/>
        </w:rPr>
        <w:t>wydawanie orzeczeń w trybie prejudycjalnym, w tym obowiązki spoczywające na sądach krajowych ostatniej instancji.</w:t>
      </w:r>
    </w:p>
    <w:p w:rsidR="004F19AD" w:rsidRPr="00C852FF" w:rsidRDefault="004F19AD" w:rsidP="006C2E98">
      <w:pPr>
        <w:pStyle w:val="ECHRPara"/>
        <w:rPr>
          <w:lang w:val="pl-PL"/>
        </w:rPr>
      </w:pPr>
      <w:r w:rsidRPr="00C852FF">
        <w:rPr>
          <w:lang w:val="pl-PL"/>
        </w:rPr>
        <w:t>Powołał się na art. 6 ust. 1 Konwencji, który w stosownym zakresie brzmi następująco:</w:t>
      </w:r>
    </w:p>
    <w:p w:rsidR="004F19AD" w:rsidRPr="00C852FF" w:rsidRDefault="004F19AD" w:rsidP="006C2E98">
      <w:pPr>
        <w:pStyle w:val="ECHRParaQuote"/>
        <w:rPr>
          <w:lang w:val="pl-PL"/>
        </w:rPr>
      </w:pPr>
      <w:r w:rsidRPr="00C852FF">
        <w:rPr>
          <w:lang w:val="pl-PL"/>
        </w:rPr>
        <w:t>„Każdy ma prawo do sprawiedliwego […] rozpatrzenia jego sprawy w rozsądnym terminie przez […] sąd […] przy rozstrzyganiu o jego prawach i obowiązkach o</w:t>
      </w:r>
      <w:r>
        <w:rPr>
          <w:lang w:val="pl-PL"/>
        </w:rPr>
        <w:t> </w:t>
      </w:r>
      <w:r w:rsidRPr="00C852FF">
        <w:rPr>
          <w:lang w:val="pl-PL"/>
        </w:rPr>
        <w:t>charakterze cywilnym […]”</w:t>
      </w:r>
      <w:r>
        <w:rPr>
          <w:lang w:val="pl-PL"/>
        </w:rPr>
        <w:t>.</w:t>
      </w:r>
    </w:p>
    <w:p w:rsidR="004F19AD" w:rsidRPr="00C852FF" w:rsidRDefault="004F19AD" w:rsidP="006C2E98">
      <w:pPr>
        <w:pStyle w:val="ECHRHeading2"/>
        <w:rPr>
          <w:lang w:val="pl-PL"/>
        </w:rPr>
      </w:pPr>
      <w:r w:rsidRPr="00C852FF">
        <w:rPr>
          <w:lang w:val="pl-PL"/>
        </w:rPr>
        <w:t>A.  Stanowiska stron</w:t>
      </w:r>
    </w:p>
    <w:p w:rsidR="004F19AD" w:rsidRPr="00C852FF" w:rsidRDefault="004F19AD" w:rsidP="006C2E98">
      <w:pPr>
        <w:pStyle w:val="ECHRHeading3"/>
        <w:rPr>
          <w:lang w:val="pl-PL"/>
        </w:rPr>
      </w:pPr>
      <w:r w:rsidRPr="00C852FF">
        <w:rPr>
          <w:lang w:val="pl-PL"/>
        </w:rPr>
        <w:t>1.  Rząd</w:t>
      </w:r>
    </w:p>
    <w:bookmarkStart w:id="2" w:name="para44"/>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44</w:t>
      </w:r>
      <w:r w:rsidRPr="00C852FF">
        <w:rPr>
          <w:lang w:val="pl-PL"/>
        </w:rPr>
        <w:fldChar w:fldCharType="end"/>
      </w:r>
      <w:bookmarkEnd w:id="2"/>
      <w:r w:rsidRPr="00C852FF">
        <w:rPr>
          <w:lang w:val="pl-PL"/>
        </w:rPr>
        <w:t xml:space="preserve">.  Rząd wyraził zastrzeżenie dotyczące niewyczerpania krajowych środków odwoławczych. Twierdził, że skarżący mógł zaskarżyć wyrok </w:t>
      </w:r>
      <w:r w:rsidRPr="00C852FF">
        <w:rPr>
          <w:i/>
          <w:iCs/>
          <w:lang w:val="pl-PL"/>
        </w:rPr>
        <w:t>Kúri</w:t>
      </w:r>
      <w:r>
        <w:rPr>
          <w:i/>
          <w:iCs/>
          <w:lang w:val="pl-PL"/>
        </w:rPr>
        <w:t>i</w:t>
      </w:r>
      <w:r w:rsidRPr="00C852FF">
        <w:rPr>
          <w:i/>
          <w:iCs/>
          <w:lang w:val="pl-PL"/>
        </w:rPr>
        <w:t xml:space="preserve"> </w:t>
      </w:r>
      <w:r w:rsidRPr="00C852FF">
        <w:rPr>
          <w:lang w:val="pl-PL"/>
        </w:rPr>
        <w:t xml:space="preserve">do Trybunału Konstytucyjnego na mocy art. XXVIII </w:t>
      </w:r>
      <w:r>
        <w:rPr>
          <w:lang w:val="pl-PL"/>
        </w:rPr>
        <w:t>węgierskiej ustawy zasadniczej</w:t>
      </w:r>
      <w:r w:rsidRPr="00C852FF">
        <w:rPr>
          <w:lang w:val="pl-PL"/>
        </w:rPr>
        <w:t xml:space="preserve">, która gwarantuje prawo do rzetelnego procesu. Odwołał się do orzeczenia nr 7/2013 (zob. par. </w:t>
      </w:r>
      <w:r w:rsidRPr="00C852FF">
        <w:rPr>
          <w:lang w:val="pl-PL"/>
        </w:rPr>
        <w:fldChar w:fldCharType="begin"/>
      </w:r>
      <w:r w:rsidRPr="00C852FF">
        <w:rPr>
          <w:lang w:val="pl-PL"/>
        </w:rPr>
        <w:instrText xml:space="preserve"> REF CC_7_2013 \h </w:instrText>
      </w:r>
      <w:r w:rsidRPr="00C852FF">
        <w:rPr>
          <w:lang w:val="pl-PL"/>
        </w:rPr>
      </w:r>
      <w:r w:rsidRPr="00C852FF">
        <w:rPr>
          <w:lang w:val="pl-PL"/>
        </w:rPr>
        <w:fldChar w:fldCharType="separate"/>
      </w:r>
      <w:r w:rsidRPr="00C852FF">
        <w:rPr>
          <w:lang w:val="pl-PL"/>
        </w:rPr>
        <w:t>33</w:t>
      </w:r>
      <w:r w:rsidRPr="00C852FF">
        <w:rPr>
          <w:lang w:val="pl-PL"/>
        </w:rPr>
        <w:fldChar w:fldCharType="end"/>
      </w:r>
      <w:r w:rsidRPr="00C852FF">
        <w:rPr>
          <w:lang w:val="pl-PL"/>
        </w:rPr>
        <w:t xml:space="preserve"> powyżej), w którym Trybunał Konstytucyjny zbadał, w świetle zarówno art. XXVIII </w:t>
      </w:r>
      <w:r>
        <w:rPr>
          <w:lang w:val="pl-PL"/>
        </w:rPr>
        <w:t>ustawy zasadniczej</w:t>
      </w:r>
      <w:r w:rsidRPr="00C852FF">
        <w:rPr>
          <w:lang w:val="pl-PL"/>
        </w:rPr>
        <w:t>, jak i art. 6 Konwencji, rzetelność ostatecznego wyroku sądu naczelnego, ze szczególnym uwzględnieniem tego, czy sąd naczelny wywiązał się z</w:t>
      </w:r>
      <w:r>
        <w:rPr>
          <w:lang w:val="pl-PL"/>
        </w:rPr>
        <w:t> </w:t>
      </w:r>
      <w:r w:rsidRPr="00C852FF">
        <w:rPr>
          <w:lang w:val="pl-PL"/>
        </w:rPr>
        <w:t>obowiązku przedstawienia odpowiednich powodów s</w:t>
      </w:r>
      <w:r>
        <w:rPr>
          <w:lang w:val="pl-PL"/>
        </w:rPr>
        <w:t>wojego orzeczenia. W </w:t>
      </w:r>
      <w:r w:rsidRPr="00C852FF">
        <w:rPr>
          <w:lang w:val="pl-PL"/>
        </w:rPr>
        <w:t>opinii Rządu orzeczenie Trybunału Konstytucyjnego wykazało, że skarżący mógł wnieść skargę dotyczącą nierzetelności postępowania,</w:t>
      </w:r>
      <w:r>
        <w:rPr>
          <w:lang w:val="pl-PL"/>
        </w:rPr>
        <w:t xml:space="preserve"> </w:t>
      </w:r>
      <w:r w:rsidRPr="00C852FF">
        <w:rPr>
          <w:lang w:val="pl-PL"/>
        </w:rPr>
        <w:t>a</w:t>
      </w:r>
      <w:r>
        <w:rPr>
          <w:lang w:val="pl-PL"/>
        </w:rPr>
        <w:t> </w:t>
      </w:r>
      <w:r w:rsidRPr="00C852FF">
        <w:rPr>
          <w:lang w:val="pl-PL"/>
        </w:rPr>
        <w:t>w</w:t>
      </w:r>
      <w:r>
        <w:rPr>
          <w:lang w:val="pl-PL"/>
        </w:rPr>
        <w:t> </w:t>
      </w:r>
      <w:r w:rsidRPr="00C852FF">
        <w:rPr>
          <w:lang w:val="pl-PL"/>
        </w:rPr>
        <w:t>szczególności braku odpowiedniego uzasadnienia, przed Trybunał Konstytucyjny – był to środek prawny, z którego skarżący nie skorzystał.</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45</w:t>
      </w:r>
      <w:r w:rsidRPr="00C852FF">
        <w:rPr>
          <w:lang w:val="pl-PL"/>
        </w:rPr>
        <w:fldChar w:fldCharType="end"/>
      </w:r>
      <w:r w:rsidRPr="00C852FF">
        <w:rPr>
          <w:lang w:val="pl-PL"/>
        </w:rPr>
        <w:t xml:space="preserve">.  W odniesieniu do przedmiotu skargi Rząd stwierdził, że zarówno Sąd Pracy w Budapeszcie, jak i </w:t>
      </w:r>
      <w:r w:rsidRPr="00C852FF">
        <w:rPr>
          <w:i/>
          <w:iCs/>
          <w:lang w:val="pl-PL"/>
        </w:rPr>
        <w:t xml:space="preserve">Kúria </w:t>
      </w:r>
      <w:r w:rsidRPr="00C852FF">
        <w:rPr>
          <w:lang w:val="pl-PL"/>
        </w:rPr>
        <w:t>rozpatrzyły kwestię zgodności istotnych przepisów prawa węgierskiego z przepisami rozporządzenia i</w:t>
      </w:r>
      <w:r>
        <w:rPr>
          <w:lang w:val="pl-PL"/>
        </w:rPr>
        <w:t> </w:t>
      </w:r>
      <w:r w:rsidRPr="00C852FF">
        <w:rPr>
          <w:lang w:val="pl-PL"/>
        </w:rPr>
        <w:t>podały powody, dla których przepis prawa UE, na który powoływał się skarżący, nie był istotny w sprawie i dlaczego nie było sprzeczności pomiędzy prawem krajowym a prawem UE.</w:t>
      </w:r>
    </w:p>
    <w:bookmarkStart w:id="3" w:name="Gvt_argue_Appl_withdrew"/>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46</w:t>
      </w:r>
      <w:r w:rsidRPr="00C852FF">
        <w:rPr>
          <w:lang w:val="pl-PL"/>
        </w:rPr>
        <w:fldChar w:fldCharType="end"/>
      </w:r>
      <w:bookmarkEnd w:id="3"/>
      <w:r w:rsidRPr="00C852FF">
        <w:rPr>
          <w:lang w:val="pl-PL"/>
        </w:rPr>
        <w:t xml:space="preserve">.  Rząd uznał ponadto, że dnia 6 marca 2009 r. skarżący wycofał swój wniosek o wydanie orzeczenia w trybie prejudycjalnym (zob. par. </w:t>
      </w:r>
      <w:r w:rsidRPr="00C852FF">
        <w:rPr>
          <w:lang w:val="pl-PL"/>
        </w:rPr>
        <w:fldChar w:fldCharType="begin"/>
      </w:r>
      <w:r w:rsidRPr="00C852FF">
        <w:rPr>
          <w:lang w:val="pl-PL"/>
        </w:rPr>
        <w:instrText xml:space="preserve"> REF pleadings_Supreme_Court_March_2009 \h </w:instrText>
      </w:r>
      <w:r w:rsidRPr="00C852FF">
        <w:rPr>
          <w:lang w:val="pl-PL"/>
        </w:rPr>
      </w:r>
      <w:r w:rsidRPr="00C852FF">
        <w:rPr>
          <w:lang w:val="pl-PL"/>
        </w:rPr>
        <w:fldChar w:fldCharType="separate"/>
      </w:r>
      <w:r w:rsidRPr="00C852FF">
        <w:rPr>
          <w:lang w:val="pl-PL"/>
        </w:rPr>
        <w:t>14</w:t>
      </w:r>
      <w:r w:rsidRPr="00C852FF">
        <w:rPr>
          <w:lang w:val="pl-PL"/>
        </w:rPr>
        <w:fldChar w:fldCharType="end"/>
      </w:r>
      <w:r w:rsidRPr="00C852FF">
        <w:rPr>
          <w:lang w:val="pl-PL"/>
        </w:rPr>
        <w:t xml:space="preserve"> powyżej). Zbędne było zatem przedstawienie przez sądy uzasadnienia powodów, dla których nie skierowano tego wniosku do TSUE.</w:t>
      </w:r>
    </w:p>
    <w:p w:rsidR="004F19AD" w:rsidRPr="00C852FF" w:rsidRDefault="004F19AD" w:rsidP="006C2E98">
      <w:pPr>
        <w:pStyle w:val="ECHRHeading3"/>
        <w:rPr>
          <w:lang w:val="pl-PL"/>
        </w:rPr>
      </w:pPr>
      <w:r w:rsidRPr="00C852FF">
        <w:rPr>
          <w:lang w:val="pl-PL"/>
        </w:rPr>
        <w:t>2.  Skarżący</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47</w:t>
      </w:r>
      <w:r w:rsidRPr="00C852FF">
        <w:rPr>
          <w:lang w:val="pl-PL"/>
        </w:rPr>
        <w:fldChar w:fldCharType="end"/>
      </w:r>
      <w:r w:rsidRPr="00C852FF">
        <w:rPr>
          <w:lang w:val="pl-PL"/>
        </w:rPr>
        <w:t>.  W odniesieniu do zastrzeżenia Rządu dotyczącego niewyczerpania krajowych środków odwoławczych skarżący podniósł, że skarga konstytucyjna nie była skutecznym środkiem odwoławczym w rozumieniu orzecznictwa Trybunału. Stwierdził, że chociaż Trybunał Konstytucyjny dowiaduje się o skardze konstytucyjnej po złożeniu wniosku bezpośrednio przez osobę zainteresowaną, formalne wszczęcie postępowania zależało od swobody uznania tego trybunału, który akceptował taką skargę jedynie wówczas, gdy podnosiła kwestię mającą „fundamentalne znaczenie” lub która „miała znaczący wpływ na” zaskarżone orzeczenie sądu. Dla skarżącego z niejasności tych pojęć wynikało, że środek prawny w postaci skargi konstytucyjnej był pozbawiony dostatecznego stopnia pewności. Ponadto skarżący zarzucił, że Rząd nie przytoczył żadnego orzecznictwa, w</w:t>
      </w:r>
      <w:r>
        <w:rPr>
          <w:lang w:val="pl-PL"/>
        </w:rPr>
        <w:t> </w:t>
      </w:r>
      <w:r w:rsidRPr="00C852FF">
        <w:rPr>
          <w:lang w:val="pl-PL"/>
        </w:rPr>
        <w:t>którym Trybunał Konstytucyjny analizuje pominięcie skierowania do TSUE wniosku o wydanie orzeczenia w trybie prejudycjalnym.</w:t>
      </w:r>
    </w:p>
    <w:bookmarkStart w:id="4" w:name="App_argue_did_not_withdraw"/>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48</w:t>
      </w:r>
      <w:r w:rsidRPr="00C852FF">
        <w:rPr>
          <w:lang w:val="pl-PL"/>
        </w:rPr>
        <w:fldChar w:fldCharType="end"/>
      </w:r>
      <w:bookmarkEnd w:id="4"/>
      <w:r w:rsidRPr="00C852FF">
        <w:rPr>
          <w:lang w:val="pl-PL"/>
        </w:rPr>
        <w:t xml:space="preserve">.  Co do przedmiotu skargi skarżący podniósł, że krajowe organy sądowe najwyższej instancji nie uwzględniły orzecznictwa TSUE, na które skarżący rozlegle się powoływał w celu ustalenia prawidłowej wykładni rozporządzenia. Nie przedstawiły także wystarczającego uzasadnienia zgodnie z wymogami </w:t>
      </w:r>
      <w:r w:rsidRPr="00C852FF">
        <w:rPr>
          <w:i/>
          <w:iCs/>
          <w:lang w:val="pl-PL"/>
        </w:rPr>
        <w:t>Cilfit</w:t>
      </w:r>
      <w:r w:rsidRPr="00C852FF">
        <w:rPr>
          <w:lang w:val="pl-PL"/>
        </w:rPr>
        <w:t xml:space="preserve"> (zob. par. </w:t>
      </w:r>
      <w:r w:rsidRPr="00C852FF">
        <w:rPr>
          <w:lang w:val="pl-PL"/>
        </w:rPr>
        <w:fldChar w:fldCharType="begin"/>
      </w:r>
      <w:r w:rsidRPr="00C852FF">
        <w:rPr>
          <w:lang w:val="pl-PL"/>
        </w:rPr>
        <w:instrText xml:space="preserve"> REF Cilfit \h </w:instrText>
      </w:r>
      <w:r w:rsidRPr="00C852FF">
        <w:rPr>
          <w:lang w:val="pl-PL"/>
        </w:rPr>
      </w:r>
      <w:r w:rsidRPr="00C852FF">
        <w:rPr>
          <w:lang w:val="pl-PL"/>
        </w:rPr>
        <w:fldChar w:fldCharType="separate"/>
      </w:r>
      <w:r w:rsidRPr="00C852FF">
        <w:rPr>
          <w:lang w:val="pl-PL"/>
        </w:rPr>
        <w:t>39</w:t>
      </w:r>
      <w:r w:rsidRPr="00C852FF">
        <w:rPr>
          <w:lang w:val="pl-PL"/>
        </w:rPr>
        <w:fldChar w:fldCharType="end"/>
      </w:r>
      <w:r w:rsidRPr="00C852FF">
        <w:rPr>
          <w:lang w:val="pl-PL"/>
        </w:rPr>
        <w:t xml:space="preserve"> powyżej) co do powodów, dla których oczywiste było, bez pozostawienia miejsca na jakiekolwiek uzasadnione wątpliwości, że niewypłacenie renty skarżącego w odniesieniu do pewnego okresu, nie stanowiło „przepadku lub ograniczenia”, których rozporządzenie zabrania. Stwierdził ponadto, że w 2009 r. nie wycofał swojego wniosku o wydanie orzeczenia w trybie prejudycjalnym; stwierdził jedynie przed Sądem Najwyższym, że w przypadku, gdyby ten podzielał opinię skarżącego dotyczącą prawidłowego stosowania rozporządzenia, skierowanie wniosku nie byłoby już konieczne (zob. par. </w:t>
      </w:r>
      <w:r w:rsidRPr="00C852FF">
        <w:rPr>
          <w:lang w:val="pl-PL"/>
        </w:rPr>
        <w:fldChar w:fldCharType="begin"/>
      </w:r>
      <w:r w:rsidRPr="00C852FF">
        <w:rPr>
          <w:lang w:val="pl-PL"/>
        </w:rPr>
        <w:instrText xml:space="preserve"> REF pleadings_Supreme_Court_March_2009 \h </w:instrText>
      </w:r>
      <w:r w:rsidRPr="00C852FF">
        <w:rPr>
          <w:lang w:val="pl-PL"/>
        </w:rPr>
      </w:r>
      <w:r w:rsidRPr="00C852FF">
        <w:rPr>
          <w:lang w:val="pl-PL"/>
        </w:rPr>
        <w:fldChar w:fldCharType="separate"/>
      </w:r>
      <w:r w:rsidRPr="00C852FF">
        <w:rPr>
          <w:lang w:val="pl-PL"/>
        </w:rPr>
        <w:t>14</w:t>
      </w:r>
      <w:r w:rsidRPr="00C852FF">
        <w:rPr>
          <w:lang w:val="pl-PL"/>
        </w:rPr>
        <w:fldChar w:fldCharType="end"/>
      </w:r>
      <w:r w:rsidRPr="00C852FF">
        <w:rPr>
          <w:lang w:val="pl-PL"/>
        </w:rPr>
        <w:t xml:space="preserve"> powyżej). Skarżący podniósł, że w każdym przypadku sąd krajowy lub trybunał mógł skierować kwestię do TSUE na własny wniosek, dlatego to </w:t>
      </w:r>
      <w:r>
        <w:rPr>
          <w:lang w:val="pl-PL"/>
        </w:rPr>
        <w:t xml:space="preserve">nie </w:t>
      </w:r>
      <w:r w:rsidRPr="00C852FF">
        <w:rPr>
          <w:lang w:val="pl-PL"/>
        </w:rPr>
        <w:t>wniosek strony, a istotna potrzeba uzyskania wykładni TSUE</w:t>
      </w:r>
      <w:r>
        <w:rPr>
          <w:lang w:val="pl-PL"/>
        </w:rPr>
        <w:t xml:space="preserve"> </w:t>
      </w:r>
      <w:r w:rsidRPr="00C852FF">
        <w:rPr>
          <w:lang w:val="pl-PL"/>
        </w:rPr>
        <w:t xml:space="preserve">uruchomiła spoczywający na sądzie ostatniej instancji </w:t>
      </w:r>
      <w:r>
        <w:rPr>
          <w:lang w:val="pl-PL"/>
        </w:rPr>
        <w:t>obowiązek skierowania wniosku o </w:t>
      </w:r>
      <w:r w:rsidRPr="00C852FF">
        <w:rPr>
          <w:lang w:val="pl-PL"/>
        </w:rPr>
        <w:t xml:space="preserve">wydanie orzeczenia w trybie prejudycjalnym. Skarżący był zdania, że taka potrzeba uzyskania wykładni istniała w jego sprawie, dlatego obowiązkiem </w:t>
      </w:r>
      <w:r w:rsidRPr="00C852FF">
        <w:rPr>
          <w:i/>
          <w:iCs/>
          <w:lang w:val="pl-PL"/>
        </w:rPr>
        <w:t>Kúria</w:t>
      </w:r>
      <w:r w:rsidRPr="00C852FF">
        <w:rPr>
          <w:lang w:val="pl-PL"/>
        </w:rPr>
        <w:t xml:space="preserve"> było skierowanie pytania do TSUE albo podanie dostatecznego uzasadnienia, w świetle kryteriów </w:t>
      </w:r>
      <w:r w:rsidRPr="00C852FF">
        <w:rPr>
          <w:i/>
          <w:iCs/>
          <w:lang w:val="pl-PL"/>
        </w:rPr>
        <w:t xml:space="preserve">Cilfit, </w:t>
      </w:r>
      <w:r w:rsidRPr="00C852FF">
        <w:rPr>
          <w:lang w:val="pl-PL"/>
        </w:rPr>
        <w:t>powodów dla których nie było to konieczne w tych konkretnych okolicznościach.</w:t>
      </w:r>
    </w:p>
    <w:p w:rsidR="004F19AD" w:rsidRPr="00C852FF" w:rsidRDefault="004F19AD" w:rsidP="006C2E98">
      <w:pPr>
        <w:pStyle w:val="ECHRHeading2"/>
        <w:rPr>
          <w:lang w:val="pl-PL"/>
        </w:rPr>
      </w:pPr>
      <w:r w:rsidRPr="00C852FF">
        <w:rPr>
          <w:lang w:val="pl-PL"/>
        </w:rPr>
        <w:t>B.  Ocena Trybunału</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49</w:t>
      </w:r>
      <w:r w:rsidRPr="00C852FF">
        <w:rPr>
          <w:lang w:val="pl-PL"/>
        </w:rPr>
        <w:fldChar w:fldCharType="end"/>
      </w:r>
      <w:r w:rsidRPr="00C852FF">
        <w:rPr>
          <w:lang w:val="pl-PL"/>
        </w:rPr>
        <w:t xml:space="preserve">.  Trybunał nie uznaje za konieczne zbadania zastrzeżenia Rządu dotyczącego niewyczerpania krajowych środków odwoławczych (zob. par. </w:t>
      </w:r>
      <w:r w:rsidRPr="00C852FF">
        <w:rPr>
          <w:lang w:val="pl-PL"/>
        </w:rPr>
        <w:fldChar w:fldCharType="begin"/>
      </w:r>
      <w:r w:rsidRPr="00C852FF">
        <w:rPr>
          <w:lang w:val="pl-PL"/>
        </w:rPr>
        <w:instrText xml:space="preserve"> REF para44 \h </w:instrText>
      </w:r>
      <w:r w:rsidRPr="00C852FF">
        <w:rPr>
          <w:lang w:val="pl-PL"/>
        </w:rPr>
      </w:r>
      <w:r w:rsidRPr="00C852FF">
        <w:rPr>
          <w:lang w:val="pl-PL"/>
        </w:rPr>
        <w:fldChar w:fldCharType="separate"/>
      </w:r>
      <w:r w:rsidRPr="00C852FF">
        <w:rPr>
          <w:lang w:val="pl-PL"/>
        </w:rPr>
        <w:t>44</w:t>
      </w:r>
      <w:r w:rsidRPr="00C852FF">
        <w:rPr>
          <w:lang w:val="pl-PL"/>
        </w:rPr>
        <w:fldChar w:fldCharType="end"/>
      </w:r>
      <w:r w:rsidRPr="00C852FF">
        <w:rPr>
          <w:lang w:val="pl-PL"/>
        </w:rPr>
        <w:t xml:space="preserve"> powyżej), zważywszy że ta część skargi jest w każdym wypadku niedopuszczalna z poniżej podanych powodów.</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50</w:t>
      </w:r>
      <w:r w:rsidRPr="00C852FF">
        <w:rPr>
          <w:lang w:val="pl-PL"/>
        </w:rPr>
        <w:fldChar w:fldCharType="end"/>
      </w:r>
      <w:r w:rsidRPr="00C852FF">
        <w:rPr>
          <w:lang w:val="pl-PL"/>
        </w:rPr>
        <w:t>.  Trybunał zauważa, że w swojej skardze skarżący zakwestionował dwa aspekty rzetelności postępowania na szczeblu krajowym.</w:t>
      </w:r>
    </w:p>
    <w:bookmarkStart w:id="5" w:name="complaint_1st_part"/>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51</w:t>
      </w:r>
      <w:r w:rsidRPr="00C852FF">
        <w:rPr>
          <w:lang w:val="pl-PL"/>
        </w:rPr>
        <w:fldChar w:fldCharType="end"/>
      </w:r>
      <w:bookmarkEnd w:id="5"/>
      <w:r w:rsidRPr="00C852FF">
        <w:rPr>
          <w:lang w:val="pl-PL"/>
        </w:rPr>
        <w:t xml:space="preserve">.  Po pierwsze </w:t>
      </w:r>
      <w:r>
        <w:rPr>
          <w:lang w:val="pl-PL"/>
        </w:rPr>
        <w:t>fakt</w:t>
      </w:r>
      <w:r w:rsidRPr="00C852FF">
        <w:rPr>
          <w:lang w:val="pl-PL"/>
        </w:rPr>
        <w:t xml:space="preserve">, że władze krajowe zastosowały w niniejszej sprawie art. 80 ust. 1 ustawy o rentach i emeryturach z 1997 r., rzekomo lekceważąc rażąco obowiązkowy przepis prawa UE, czyli art. 94 ust. 6 rozporządzenia (zob. par. </w:t>
      </w:r>
      <w:r w:rsidRPr="00C852FF">
        <w:rPr>
          <w:lang w:val="pl-PL"/>
        </w:rPr>
        <w:fldChar w:fldCharType="begin"/>
      </w:r>
      <w:r w:rsidRPr="00C852FF">
        <w:rPr>
          <w:lang w:val="pl-PL"/>
        </w:rPr>
        <w:instrText xml:space="preserve"> REF Art94_6_Regulation \h </w:instrText>
      </w:r>
      <w:r w:rsidRPr="00C852FF">
        <w:rPr>
          <w:lang w:val="pl-PL"/>
        </w:rPr>
      </w:r>
      <w:r w:rsidRPr="00C852FF">
        <w:rPr>
          <w:lang w:val="pl-PL"/>
        </w:rPr>
        <w:fldChar w:fldCharType="separate"/>
      </w:r>
      <w:r w:rsidRPr="00C852FF">
        <w:rPr>
          <w:lang w:val="pl-PL"/>
        </w:rPr>
        <w:t>42</w:t>
      </w:r>
      <w:r w:rsidRPr="00C852FF">
        <w:rPr>
          <w:lang w:val="pl-PL"/>
        </w:rPr>
        <w:fldChar w:fldCharType="end"/>
      </w:r>
      <w:r w:rsidRPr="00C852FF">
        <w:rPr>
          <w:lang w:val="pl-PL"/>
        </w:rPr>
        <w:t xml:space="preserve"> powyżej)</w:t>
      </w:r>
      <w:r>
        <w:rPr>
          <w:lang w:val="pl-PL"/>
        </w:rPr>
        <w:t xml:space="preserve"> objętego zasadą bezpośredniego stosowania</w:t>
      </w:r>
      <w:r w:rsidRPr="00C852FF">
        <w:rPr>
          <w:lang w:val="pl-PL"/>
        </w:rPr>
        <w:t xml:space="preserve">. </w:t>
      </w:r>
    </w:p>
    <w:bookmarkStart w:id="6" w:name="complaint_2nd_part"/>
    <w:p w:rsidR="004F19AD" w:rsidRPr="00C852FF" w:rsidRDefault="004F19AD" w:rsidP="006C2E98">
      <w:pPr>
        <w:pStyle w:val="ECHRPara"/>
        <w:rPr>
          <w:i/>
          <w:iCs/>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52</w:t>
      </w:r>
      <w:r w:rsidRPr="00C852FF">
        <w:rPr>
          <w:lang w:val="pl-PL"/>
        </w:rPr>
        <w:fldChar w:fldCharType="end"/>
      </w:r>
      <w:bookmarkEnd w:id="6"/>
      <w:r w:rsidRPr="00C852FF">
        <w:rPr>
          <w:lang w:val="pl-PL"/>
        </w:rPr>
        <w:t xml:space="preserve">.  Po drugie </w:t>
      </w:r>
      <w:r>
        <w:rPr>
          <w:lang w:val="pl-PL"/>
        </w:rPr>
        <w:t>fakt</w:t>
      </w:r>
      <w:r w:rsidRPr="00C852FF">
        <w:rPr>
          <w:lang w:val="pl-PL"/>
        </w:rPr>
        <w:t xml:space="preserve">, że Sąd Najwyższy, przemianowany na </w:t>
      </w:r>
      <w:r w:rsidRPr="00C852FF">
        <w:rPr>
          <w:i/>
          <w:iCs/>
          <w:lang w:val="pl-PL"/>
        </w:rPr>
        <w:t>Kúri</w:t>
      </w:r>
      <w:r>
        <w:rPr>
          <w:i/>
          <w:iCs/>
          <w:lang w:val="pl-PL"/>
        </w:rPr>
        <w:t>ę</w:t>
      </w:r>
      <w:r w:rsidRPr="00C852FF">
        <w:rPr>
          <w:lang w:val="pl-PL"/>
        </w:rPr>
        <w:t xml:space="preserve"> (zob. pierwsze zdanie pkt 36 orzeczenia Trybunału Konstytucyjnego przytoczone w</w:t>
      </w:r>
      <w:r>
        <w:rPr>
          <w:lang w:val="pl-PL"/>
        </w:rPr>
        <w:t xml:space="preserve"> sprawie</w:t>
      </w:r>
      <w:r w:rsidRPr="00C852FF">
        <w:rPr>
          <w:lang w:val="pl-PL"/>
        </w:rPr>
        <w:t xml:space="preserve"> </w:t>
      </w:r>
      <w:r w:rsidRPr="00C852FF">
        <w:rPr>
          <w:i/>
          <w:iCs/>
          <w:lang w:val="pl-PL"/>
        </w:rPr>
        <w:t xml:space="preserve">Baka przeciwko Węgrom </w:t>
      </w:r>
      <w:r w:rsidRPr="00C852FF">
        <w:rPr>
          <w:lang w:val="pl-PL"/>
        </w:rPr>
        <w:t>[WI], skarga nr 20261/12</w:t>
      </w:r>
      <w:r w:rsidRPr="00C852FF">
        <w:rPr>
          <w:snapToGrid w:val="0"/>
          <w:lang w:val="pl-PL"/>
        </w:rPr>
        <w:t>, § 55, ETPCz 2016)</w:t>
      </w:r>
      <w:r w:rsidRPr="00C852FF">
        <w:rPr>
          <w:i/>
          <w:iCs/>
          <w:lang w:val="pl-PL"/>
        </w:rPr>
        <w:t xml:space="preserve">, </w:t>
      </w:r>
      <w:r w:rsidRPr="00C852FF">
        <w:rPr>
          <w:lang w:val="pl-PL"/>
        </w:rPr>
        <w:t xml:space="preserve">jako sąd ostatniej instancji, nie podał powodów, zgodnie z kryteriami </w:t>
      </w:r>
      <w:r w:rsidRPr="00C852FF">
        <w:rPr>
          <w:i/>
          <w:iCs/>
          <w:lang w:val="pl-PL"/>
        </w:rPr>
        <w:t xml:space="preserve">Cilfit, </w:t>
      </w:r>
      <w:r w:rsidRPr="00C852FF">
        <w:rPr>
          <w:lang w:val="pl-PL"/>
        </w:rPr>
        <w:t>dla których uznał za zbędne skierowanie do TSUE pytania dotyczącego wykładni rozporządzenia w celu wydania orzeczenia w trybie prejudycjalnym.</w:t>
      </w:r>
    </w:p>
    <w:p w:rsidR="004F19AD" w:rsidRPr="00C852FF" w:rsidRDefault="004F19AD" w:rsidP="006C2E98">
      <w:pPr>
        <w:pStyle w:val="ECHRPara"/>
        <w:rPr>
          <w:snapToGrid w:val="0"/>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53</w:t>
      </w:r>
      <w:r w:rsidRPr="00C852FF">
        <w:rPr>
          <w:lang w:val="pl-PL"/>
        </w:rPr>
        <w:fldChar w:fldCharType="end"/>
      </w:r>
      <w:r w:rsidRPr="00C852FF">
        <w:rPr>
          <w:lang w:val="pl-PL"/>
        </w:rPr>
        <w:t xml:space="preserve">.  Trybunał przypomina, że zgodnie z art. 19 Konwencji jego obowiązkiem jest zapewnienie przestrzegania zobowiązań Układających się Stron wynikających z Konwencji (zob. </w:t>
      </w:r>
      <w:r w:rsidRPr="00C852FF">
        <w:rPr>
          <w:i/>
          <w:iCs/>
          <w:lang w:val="pl-PL"/>
        </w:rPr>
        <w:t xml:space="preserve">García Ruiz przeciwko Hiszpanii </w:t>
      </w:r>
      <w:r w:rsidRPr="00C852FF">
        <w:rPr>
          <w:lang w:val="pl-PL"/>
        </w:rPr>
        <w:t>[WI], skarga nr 30544/96, § 28, ETPCz 1999-I). Trybunał nie ma kompetencji do formalnego orzekania w kwestii zgodności z prawem krajowym, innymi traktatami międzynarodowymi lub prawem UE. Zadanie dokonania wykładni i stosowania przepisów prawa UE leży po pierwsze w</w:t>
      </w:r>
      <w:r>
        <w:rPr>
          <w:lang w:val="pl-PL"/>
        </w:rPr>
        <w:t> </w:t>
      </w:r>
      <w:r w:rsidRPr="00C852FF">
        <w:rPr>
          <w:lang w:val="pl-PL"/>
        </w:rPr>
        <w:t xml:space="preserve">gestii TSUE, w kontekście wniosku o wydanie orzeczenia w trybie prejudycjalnym, a po drugie w gestii sądów krajowych jako sądów Unii, czyli kiedy wykonują przepis prawa UE zgodnie z wykładnią TSUE (zob. </w:t>
      </w:r>
      <w:r w:rsidRPr="00C852FF">
        <w:rPr>
          <w:i/>
          <w:iCs/>
          <w:lang w:val="pl-PL"/>
        </w:rPr>
        <w:t xml:space="preserve">Avotiņš przeciwko Łotwie </w:t>
      </w:r>
      <w:r w:rsidRPr="00C852FF">
        <w:rPr>
          <w:lang w:val="pl-PL"/>
        </w:rPr>
        <w:t xml:space="preserve">[WI], skarga nr 17502/07, </w:t>
      </w:r>
      <w:r w:rsidRPr="00C852FF">
        <w:rPr>
          <w:snapToGrid w:val="0"/>
          <w:lang w:val="pl-PL"/>
        </w:rPr>
        <w:t>§ 100, ETPCz 2016</w:t>
      </w:r>
      <w:r w:rsidRPr="00C852FF">
        <w:rPr>
          <w:lang w:val="pl-PL"/>
        </w:rPr>
        <w:t>). Dlatego przede wszystkim do władz krajowych, w szczególności do sądów, należy dokonywanie wykładni i stosowanie przepisów prawa krajowego, w</w:t>
      </w:r>
      <w:r>
        <w:rPr>
          <w:lang w:val="pl-PL"/>
        </w:rPr>
        <w:t> </w:t>
      </w:r>
      <w:r w:rsidRPr="00C852FF">
        <w:rPr>
          <w:lang w:val="pl-PL"/>
        </w:rPr>
        <w:t xml:space="preserve">razie potrzeby w zgodności z prawem UE, zaś rola Trybunału ogranicza się do ustalenia, czy skutki ich orzekania są zgodne z Konwencją (zob. </w:t>
      </w:r>
      <w:r w:rsidRPr="00C852FF">
        <w:rPr>
          <w:i/>
          <w:iCs/>
          <w:lang w:val="pl-PL"/>
        </w:rPr>
        <w:t>Ullens de Schooten i Rezabek przeciwko Belgii</w:t>
      </w:r>
      <w:r w:rsidRPr="00C852FF">
        <w:rPr>
          <w:lang w:val="pl-PL"/>
        </w:rPr>
        <w:t>, skargi nr 3989/07 i</w:t>
      </w:r>
      <w:r>
        <w:rPr>
          <w:lang w:val="pl-PL"/>
        </w:rPr>
        <w:t> </w:t>
      </w:r>
      <w:r w:rsidRPr="00C852FF">
        <w:rPr>
          <w:lang w:val="pl-PL"/>
        </w:rPr>
        <w:t>38353/07</w:t>
      </w:r>
      <w:r w:rsidRPr="00C852FF">
        <w:rPr>
          <w:snapToGrid w:val="0"/>
          <w:lang w:val="pl-PL"/>
        </w:rPr>
        <w:t>, § 54, 20 września 2011 r.</w:t>
      </w:r>
      <w:r w:rsidRPr="00C852FF">
        <w:rPr>
          <w:lang w:val="pl-PL"/>
        </w:rPr>
        <w:t xml:space="preserve">). Ponadto Trybunał nie powinien występować jako czwarta instancja i w związku z tym nie kwestionuje na podstawie art. 6 ust. 1 wyroku sądów krajowych, chyba że ich ustalenia mogą być uznane za arbitralne lub w sposób oczywisty nieuzasadnione (zob. </w:t>
      </w:r>
      <w:r w:rsidRPr="00C852FF">
        <w:rPr>
          <w:i/>
          <w:iCs/>
          <w:lang w:val="pl-PL"/>
        </w:rPr>
        <w:t>Bochan przeciwko Ukrainie (nr 2)</w:t>
      </w:r>
      <w:r w:rsidRPr="00C852FF">
        <w:rPr>
          <w:lang w:val="pl-PL"/>
        </w:rPr>
        <w:t xml:space="preserve"> [WI], </w:t>
      </w:r>
      <w:r w:rsidRPr="00C852FF">
        <w:rPr>
          <w:snapToGrid w:val="0"/>
          <w:lang w:val="pl-PL"/>
        </w:rPr>
        <w:t>skarga nr</w:t>
      </w:r>
      <w:r w:rsidRPr="00C852FF">
        <w:rPr>
          <w:lang w:val="pl-PL"/>
        </w:rPr>
        <w:t xml:space="preserve"> 22251/08</w:t>
      </w:r>
      <w:r w:rsidRPr="00C852FF">
        <w:rPr>
          <w:snapToGrid w:val="0"/>
          <w:lang w:val="pl-PL"/>
        </w:rPr>
        <w:t>, § 61, ETPCz 2015).</w:t>
      </w:r>
    </w:p>
    <w:p w:rsidR="004F19AD" w:rsidRPr="00C852FF" w:rsidRDefault="004F19AD" w:rsidP="006C2E98">
      <w:pPr>
        <w:pStyle w:val="ECHRHeading3"/>
        <w:rPr>
          <w:lang w:val="pl-PL"/>
        </w:rPr>
      </w:pPr>
      <w:r w:rsidRPr="00C852FF">
        <w:rPr>
          <w:lang w:val="pl-PL"/>
        </w:rPr>
        <w:t>1.  Skarga zarzucająca błędną wykładnię prawa UE</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54</w:t>
      </w:r>
      <w:r w:rsidRPr="00C852FF">
        <w:rPr>
          <w:lang w:val="pl-PL"/>
        </w:rPr>
        <w:fldChar w:fldCharType="end"/>
      </w:r>
      <w:r w:rsidRPr="00C852FF">
        <w:rPr>
          <w:lang w:val="pl-PL"/>
        </w:rPr>
        <w:t xml:space="preserve">.  W zakresie, w jakim skarga kwestionowała dokonaną przez </w:t>
      </w:r>
      <w:r w:rsidRPr="00C852FF">
        <w:rPr>
          <w:i/>
          <w:iCs/>
          <w:lang w:val="pl-PL"/>
        </w:rPr>
        <w:t>Kúri</w:t>
      </w:r>
      <w:r>
        <w:rPr>
          <w:i/>
          <w:iCs/>
          <w:lang w:val="pl-PL"/>
        </w:rPr>
        <w:t>ę</w:t>
      </w:r>
      <w:r w:rsidRPr="00C852FF">
        <w:rPr>
          <w:i/>
          <w:iCs/>
          <w:lang w:val="pl-PL"/>
        </w:rPr>
        <w:t xml:space="preserve"> </w:t>
      </w:r>
      <w:r w:rsidRPr="00C852FF">
        <w:rPr>
          <w:lang w:val="pl-PL"/>
        </w:rPr>
        <w:t>wykładnię przepisów prawa UE, w szczególności dotyczącą rozumienia art. 94 ust. 6 rozporządzenia i prowadzącą do zastosowania art. 80 ustawy o</w:t>
      </w:r>
      <w:r>
        <w:rPr>
          <w:lang w:val="pl-PL"/>
        </w:rPr>
        <w:t> </w:t>
      </w:r>
      <w:r w:rsidRPr="00C852FF">
        <w:rPr>
          <w:lang w:val="pl-PL"/>
        </w:rPr>
        <w:t xml:space="preserve">rentach i emeryturach z 1997 r., Trybunał uznaje, że kontrola zasadności tej wykładni przyjętej przez </w:t>
      </w:r>
      <w:r w:rsidRPr="00C852FF">
        <w:rPr>
          <w:i/>
          <w:iCs/>
          <w:lang w:val="pl-PL"/>
        </w:rPr>
        <w:t>Kúri</w:t>
      </w:r>
      <w:r>
        <w:rPr>
          <w:i/>
          <w:iCs/>
          <w:lang w:val="pl-PL"/>
        </w:rPr>
        <w:t>ę</w:t>
      </w:r>
      <w:r w:rsidRPr="00C852FF">
        <w:rPr>
          <w:i/>
          <w:iCs/>
          <w:lang w:val="pl-PL"/>
        </w:rPr>
        <w:t xml:space="preserve"> </w:t>
      </w:r>
      <w:r w:rsidRPr="00C852FF">
        <w:rPr>
          <w:lang w:val="pl-PL"/>
        </w:rPr>
        <w:t xml:space="preserve">jako sąd Unii, jest obszarem wykraczającym poza właściwość Trybunału (zob. </w:t>
      </w:r>
      <w:r w:rsidRPr="00C852FF">
        <w:rPr>
          <w:i/>
          <w:iCs/>
          <w:lang w:val="pl-PL"/>
        </w:rPr>
        <w:t>Ullens de Schooten i</w:t>
      </w:r>
      <w:r>
        <w:rPr>
          <w:i/>
          <w:iCs/>
          <w:lang w:val="pl-PL"/>
        </w:rPr>
        <w:t> Rezabek, op.cit.</w:t>
      </w:r>
      <w:r>
        <w:rPr>
          <w:lang w:val="pl-PL"/>
        </w:rPr>
        <w:t>, § </w:t>
      </w:r>
      <w:r w:rsidRPr="00C852FF">
        <w:rPr>
          <w:lang w:val="pl-PL"/>
        </w:rPr>
        <w:t>66).</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55</w:t>
      </w:r>
      <w:r w:rsidRPr="00C852FF">
        <w:rPr>
          <w:lang w:val="pl-PL"/>
        </w:rPr>
        <w:fldChar w:fldCharType="end"/>
      </w:r>
      <w:r w:rsidRPr="00C852FF">
        <w:rPr>
          <w:lang w:val="pl-PL"/>
        </w:rPr>
        <w:t>.  Wynika z tego, że pierwsza część skargi (zob. par.</w:t>
      </w:r>
      <w:r w:rsidRPr="00C852FF">
        <w:rPr>
          <w:lang w:val="pl-PL"/>
        </w:rPr>
        <w:fldChar w:fldCharType="begin"/>
      </w:r>
      <w:r w:rsidRPr="00C852FF">
        <w:rPr>
          <w:lang w:val="pl-PL"/>
        </w:rPr>
        <w:instrText xml:space="preserve"> REF complaint_1st_part \h </w:instrText>
      </w:r>
      <w:r w:rsidRPr="00C852FF">
        <w:rPr>
          <w:lang w:val="pl-PL"/>
        </w:rPr>
      </w:r>
      <w:r w:rsidRPr="00C852FF">
        <w:rPr>
          <w:lang w:val="pl-PL"/>
        </w:rPr>
        <w:fldChar w:fldCharType="separate"/>
      </w:r>
      <w:r w:rsidRPr="00C852FF">
        <w:rPr>
          <w:lang w:val="pl-PL"/>
        </w:rPr>
        <w:t>51</w:t>
      </w:r>
      <w:r w:rsidRPr="00C852FF">
        <w:rPr>
          <w:lang w:val="pl-PL"/>
        </w:rPr>
        <w:fldChar w:fldCharType="end"/>
      </w:r>
      <w:r w:rsidRPr="00C852FF">
        <w:rPr>
          <w:lang w:val="pl-PL"/>
        </w:rPr>
        <w:t xml:space="preserve"> powyżej) jest niezgodna </w:t>
      </w:r>
      <w:r w:rsidRPr="00C852FF">
        <w:rPr>
          <w:i/>
          <w:iCs/>
          <w:lang w:val="pl-PL"/>
        </w:rPr>
        <w:t xml:space="preserve">ratione materiae </w:t>
      </w:r>
      <w:r w:rsidRPr="00C852FF">
        <w:rPr>
          <w:lang w:val="pl-PL"/>
        </w:rPr>
        <w:t>z postanowieniami Konwencji w rozumieniu a</w:t>
      </w:r>
      <w:r>
        <w:rPr>
          <w:lang w:val="pl-PL"/>
        </w:rPr>
        <w:t>r</w:t>
      </w:r>
      <w:r w:rsidRPr="00C852FF">
        <w:rPr>
          <w:lang w:val="pl-PL"/>
        </w:rPr>
        <w:t>t. 35 ust. 3 lit. a) i musi zostać oddalona zgodnie z art. 35 ust. 4.</w:t>
      </w:r>
    </w:p>
    <w:p w:rsidR="004F19AD" w:rsidRPr="00C852FF" w:rsidRDefault="004F19AD" w:rsidP="006C2E98">
      <w:pPr>
        <w:pStyle w:val="ECHRHeading3"/>
        <w:rPr>
          <w:lang w:val="pl-PL"/>
        </w:rPr>
      </w:pPr>
      <w:r w:rsidRPr="00C852FF">
        <w:rPr>
          <w:lang w:val="pl-PL"/>
        </w:rPr>
        <w:t>2.  Skarga dotycząca braku uzasadnienia w związku z koniecznością skierowania wniosku o wydanie orzeczenia w trybie prejudycjalnym</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56</w:t>
      </w:r>
      <w:r w:rsidRPr="00C852FF">
        <w:rPr>
          <w:lang w:val="pl-PL"/>
        </w:rPr>
        <w:fldChar w:fldCharType="end"/>
      </w:r>
      <w:r w:rsidRPr="00C852FF">
        <w:rPr>
          <w:lang w:val="pl-PL"/>
        </w:rPr>
        <w:t xml:space="preserve">.  W odniesieniu do drugiego aspektu skargi dotyczącego dostateczności, w rozumieniu art. 6 ust. 1 Konwencji, uzasadnienia </w:t>
      </w:r>
      <w:r w:rsidRPr="00C852FF">
        <w:rPr>
          <w:i/>
          <w:iCs/>
          <w:lang w:val="pl-PL"/>
        </w:rPr>
        <w:t>Kúri</w:t>
      </w:r>
      <w:r>
        <w:rPr>
          <w:i/>
          <w:iCs/>
          <w:lang w:val="pl-PL"/>
        </w:rPr>
        <w:t>i</w:t>
      </w:r>
      <w:r w:rsidRPr="00C852FF">
        <w:rPr>
          <w:i/>
          <w:iCs/>
          <w:lang w:val="pl-PL"/>
        </w:rPr>
        <w:t xml:space="preserve"> </w:t>
      </w:r>
      <w:r w:rsidRPr="00C852FF">
        <w:rPr>
          <w:lang w:val="pl-PL"/>
        </w:rPr>
        <w:t>w</w:t>
      </w:r>
      <w:r>
        <w:rPr>
          <w:lang w:val="pl-PL"/>
        </w:rPr>
        <w:t> </w:t>
      </w:r>
      <w:r w:rsidRPr="00C852FF">
        <w:rPr>
          <w:lang w:val="pl-PL"/>
        </w:rPr>
        <w:t xml:space="preserve">odniesieniu do potencjalnego wniosku o wydanie orzeczenia w trybie prejudycjalnym (zob. par. </w:t>
      </w:r>
      <w:fldSimple w:instr=" REF complaint_2nd_part \h  \* MERGEFORMAT ">
        <w:r w:rsidRPr="00C852FF">
          <w:rPr>
            <w:lang w:val="pl-PL"/>
          </w:rPr>
          <w:t>52</w:t>
        </w:r>
      </w:fldSimple>
      <w:r w:rsidRPr="00C852FF">
        <w:rPr>
          <w:lang w:val="pl-PL"/>
        </w:rPr>
        <w:t xml:space="preserve"> powyżej), Trybunał przypomina, że Konwencja jako taka nie gwarantuje żadnego prawa do skierowania przez sąd krajowy sprawy do innego organu krajowego lub międzynarodowego w</w:t>
      </w:r>
      <w:r>
        <w:rPr>
          <w:lang w:val="pl-PL"/>
        </w:rPr>
        <w:t> </w:t>
      </w:r>
      <w:r w:rsidRPr="00C852FF">
        <w:rPr>
          <w:lang w:val="pl-PL"/>
        </w:rPr>
        <w:t xml:space="preserve">celu wydania orzeczenia w trybie prejudycjalnym. </w:t>
      </w:r>
      <w:r>
        <w:rPr>
          <w:lang w:val="pl-PL"/>
        </w:rPr>
        <w:t>Trybunał nie wyklucza jednak, w </w:t>
      </w:r>
      <w:r w:rsidRPr="00C852FF">
        <w:rPr>
          <w:lang w:val="pl-PL"/>
        </w:rPr>
        <w:t xml:space="preserve">przypadkach w których istnieje mechanizm wniosku o wydanie orzeczenia w trybie prejudycjalnym, możliwości, zgodnie z którą odmowa przez sąd krajowy uwzględnienia wniosku o wydanie orzeczenia w trybie prejudycjalnym może, w pewnych okolicznościach, naruszać rzetelność postępowania, w szczególności jeżeli odmowa okaże się arbitralna, czyli kiedy doszło do odmowy pomimo że mające zastosowanie przepisy nie dopuszczają wyjątku od zasady wydawania orzeczenia w trybie prejudycjalnym lub jego alternatyw, jeżeli odmowa opiera się na powodach innych niż przewidziane w przepisach i jeżeli odmowa nie została należycie uzasadniona zgodnie z tymi przepisami (zob. </w:t>
      </w:r>
      <w:r w:rsidRPr="00C852FF">
        <w:rPr>
          <w:i/>
          <w:iCs/>
          <w:lang w:val="pl-PL"/>
        </w:rPr>
        <w:t>Ullens de Schooten i Rezabek, op.cit.</w:t>
      </w:r>
      <w:r w:rsidRPr="00C852FF">
        <w:rPr>
          <w:lang w:val="pl-PL"/>
        </w:rPr>
        <w:t>, §§ 57</w:t>
      </w:r>
      <w:r w:rsidRPr="00420B6C">
        <w:rPr>
          <w:lang w:val="pl-PL"/>
        </w:rPr>
        <w:t>–</w:t>
      </w:r>
      <w:r w:rsidRPr="00C852FF">
        <w:rPr>
          <w:lang w:val="pl-PL"/>
        </w:rPr>
        <w:t>59).</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57</w:t>
      </w:r>
      <w:r w:rsidRPr="00C852FF">
        <w:rPr>
          <w:lang w:val="pl-PL"/>
        </w:rPr>
        <w:fldChar w:fldCharType="end"/>
      </w:r>
      <w:r w:rsidRPr="00C852FF">
        <w:rPr>
          <w:lang w:val="pl-PL"/>
        </w:rPr>
        <w:t xml:space="preserve">.  Ogólne zasady dotyczące obowiązku spoczywającego na sądach krajowych </w:t>
      </w:r>
      <w:r>
        <w:rPr>
          <w:lang w:val="pl-PL"/>
        </w:rPr>
        <w:t xml:space="preserve">polegającego na </w:t>
      </w:r>
      <w:r w:rsidRPr="00C852FF">
        <w:rPr>
          <w:lang w:val="pl-PL"/>
        </w:rPr>
        <w:t>podani</w:t>
      </w:r>
      <w:r>
        <w:rPr>
          <w:lang w:val="pl-PL"/>
        </w:rPr>
        <w:t>u</w:t>
      </w:r>
      <w:r w:rsidRPr="00C852FF">
        <w:rPr>
          <w:lang w:val="pl-PL"/>
        </w:rPr>
        <w:t xml:space="preserve"> uzasadnienia orzeczeń</w:t>
      </w:r>
      <w:r>
        <w:rPr>
          <w:lang w:val="pl-PL"/>
        </w:rPr>
        <w:t>, wobec</w:t>
      </w:r>
      <w:r w:rsidRPr="00C852FF">
        <w:rPr>
          <w:lang w:val="pl-PL"/>
        </w:rPr>
        <w:t xml:space="preserve"> których nie ma środka odwoławczego na mocy prawa krajowego</w:t>
      </w:r>
      <w:r>
        <w:rPr>
          <w:lang w:val="pl-PL"/>
        </w:rPr>
        <w:t>,</w:t>
      </w:r>
      <w:r w:rsidRPr="00C852FF">
        <w:rPr>
          <w:lang w:val="pl-PL"/>
        </w:rPr>
        <w:t xml:space="preserve"> i które</w:t>
      </w:r>
      <w:r>
        <w:rPr>
          <w:lang w:val="pl-PL"/>
        </w:rPr>
        <w:t xml:space="preserve"> to sądy</w:t>
      </w:r>
      <w:r w:rsidRPr="00C852FF">
        <w:rPr>
          <w:lang w:val="pl-PL"/>
        </w:rPr>
        <w:t xml:space="preserve"> postanawiają nie przekazywać pytania</w:t>
      </w:r>
      <w:r w:rsidRPr="00C062B0">
        <w:rPr>
          <w:lang w:val="pl-PL"/>
        </w:rPr>
        <w:t xml:space="preserve"> </w:t>
      </w:r>
      <w:r w:rsidRPr="00C852FF">
        <w:rPr>
          <w:lang w:val="pl-PL"/>
        </w:rPr>
        <w:t xml:space="preserve">do TSUE w celu wydania orzeczenia w trybie prejudycjalnym </w:t>
      </w:r>
      <w:r>
        <w:rPr>
          <w:lang w:val="pl-PL"/>
        </w:rPr>
        <w:t>w kwestii</w:t>
      </w:r>
      <w:r w:rsidRPr="00C852FF">
        <w:rPr>
          <w:lang w:val="pl-PL"/>
        </w:rPr>
        <w:t xml:space="preserve"> wykładni przepisów prawa UE</w:t>
      </w:r>
      <w:r>
        <w:rPr>
          <w:lang w:val="pl-PL"/>
        </w:rPr>
        <w:t xml:space="preserve">, </w:t>
      </w:r>
      <w:r w:rsidRPr="00C852FF">
        <w:rPr>
          <w:lang w:val="pl-PL"/>
        </w:rPr>
        <w:t xml:space="preserve">zostały ustanowione w sprawie </w:t>
      </w:r>
      <w:r w:rsidRPr="00C852FF">
        <w:rPr>
          <w:i/>
          <w:iCs/>
          <w:lang w:val="pl-PL"/>
        </w:rPr>
        <w:t>Ullens de Schooten i Rezabek</w:t>
      </w:r>
      <w:r w:rsidRPr="00C852FF">
        <w:rPr>
          <w:lang w:val="pl-PL"/>
        </w:rPr>
        <w:t xml:space="preserve"> (</w:t>
      </w:r>
      <w:r w:rsidRPr="00C852FF">
        <w:rPr>
          <w:i/>
          <w:iCs/>
          <w:lang w:val="pl-PL"/>
        </w:rPr>
        <w:t>op.cit.</w:t>
      </w:r>
      <w:r w:rsidRPr="00C852FF">
        <w:rPr>
          <w:lang w:val="pl-PL"/>
        </w:rPr>
        <w:t xml:space="preserve">, §§ 56 to 62; zob. też, </w:t>
      </w:r>
      <w:r w:rsidRPr="00C852FF">
        <w:rPr>
          <w:i/>
          <w:iCs/>
          <w:lang w:val="pl-PL"/>
        </w:rPr>
        <w:t>mutatis mutandis</w:t>
      </w:r>
      <w:r w:rsidRPr="00C852FF">
        <w:rPr>
          <w:lang w:val="pl-PL"/>
        </w:rPr>
        <w:t xml:space="preserve">, </w:t>
      </w:r>
      <w:r w:rsidRPr="00C852FF">
        <w:rPr>
          <w:i/>
          <w:iCs/>
          <w:lang w:val="pl-PL"/>
        </w:rPr>
        <w:t>Vergauwen i Inni przeciwko Belgii</w:t>
      </w:r>
      <w:r w:rsidRPr="00C852FF">
        <w:rPr>
          <w:lang w:val="pl-PL"/>
        </w:rPr>
        <w:t xml:space="preserve"> (dec.), skarga nr 4832/04, §§ 89 i 90, 10 kwietnia 2012 r.; </w:t>
      </w:r>
      <w:r w:rsidRPr="00C852FF">
        <w:rPr>
          <w:i/>
          <w:iCs/>
          <w:lang w:val="pl-PL"/>
        </w:rPr>
        <w:t>Dhahbi przeciwko Włochom</w:t>
      </w:r>
      <w:r w:rsidRPr="00C852FF">
        <w:rPr>
          <w:lang w:val="pl-PL"/>
        </w:rPr>
        <w:t>, skarga 17120/09</w:t>
      </w:r>
      <w:r w:rsidRPr="00C852FF">
        <w:rPr>
          <w:snapToGrid w:val="0"/>
          <w:color w:val="000000"/>
          <w:lang w:val="pl-PL"/>
        </w:rPr>
        <w:t>, § 31, 8 kwietnia 2014 r.</w:t>
      </w:r>
      <w:r w:rsidRPr="00C852FF">
        <w:rPr>
          <w:lang w:val="pl-PL"/>
        </w:rPr>
        <w:t xml:space="preserve">; </w:t>
      </w:r>
      <w:r w:rsidRPr="00C852FF">
        <w:rPr>
          <w:i/>
          <w:iCs/>
          <w:lang w:val="pl-PL"/>
        </w:rPr>
        <w:t xml:space="preserve">Wind Telecomunicazioni S.P.A. przeciwko Włochom </w:t>
      </w:r>
      <w:r w:rsidRPr="00C852FF">
        <w:rPr>
          <w:lang w:val="pl-PL"/>
        </w:rPr>
        <w:t>(dec.), skarga nr 5159/14, § 34, 8 września 2015 r.; oraz</w:t>
      </w:r>
      <w:r>
        <w:rPr>
          <w:lang w:val="pl-PL"/>
        </w:rPr>
        <w:t xml:space="preserve"> </w:t>
      </w:r>
      <w:r w:rsidRPr="00C852FF">
        <w:rPr>
          <w:i/>
          <w:iCs/>
          <w:lang w:val="pl-PL"/>
        </w:rPr>
        <w:t>Avotiņš, op.cit.</w:t>
      </w:r>
      <w:r w:rsidRPr="00C852FF">
        <w:rPr>
          <w:lang w:val="pl-PL"/>
        </w:rPr>
        <w:t>,</w:t>
      </w:r>
      <w:r w:rsidRPr="00C852FF">
        <w:rPr>
          <w:i/>
          <w:iCs/>
          <w:lang w:val="pl-PL"/>
        </w:rPr>
        <w:t xml:space="preserve"> </w:t>
      </w:r>
      <w:r w:rsidRPr="00C852FF">
        <w:rPr>
          <w:snapToGrid w:val="0"/>
          <w:lang w:val="pl-PL"/>
        </w:rPr>
        <w:t>§ 110</w:t>
      </w:r>
      <w:r w:rsidRPr="00C852FF">
        <w:rPr>
          <w:lang w:val="pl-PL"/>
        </w:rPr>
        <w:t>).</w:t>
      </w:r>
    </w:p>
    <w:p w:rsidR="004F19AD" w:rsidRPr="00C852FF" w:rsidRDefault="004F19AD" w:rsidP="006C2E98">
      <w:pPr>
        <w:pStyle w:val="ECHRPara"/>
        <w:rPr>
          <w:lang w:val="pl-PL"/>
        </w:rPr>
      </w:pPr>
      <w:r w:rsidRPr="00C852FF">
        <w:rPr>
          <w:lang w:val="pl-PL"/>
        </w:rPr>
        <w:t xml:space="preserve">Istota tych zasad polega na tym, że wyżej wspomniane sądy są zobowiązane, zgodnie z orzecznictwem </w:t>
      </w:r>
      <w:r w:rsidRPr="00C852FF">
        <w:rPr>
          <w:i/>
          <w:iCs/>
          <w:lang w:val="pl-PL"/>
        </w:rPr>
        <w:t>Cilfit</w:t>
      </w:r>
      <w:r w:rsidRPr="00C852FF">
        <w:rPr>
          <w:lang w:val="pl-PL"/>
        </w:rPr>
        <w:t xml:space="preserve"> (zob. par. </w:t>
      </w:r>
      <w:r w:rsidRPr="00C852FF">
        <w:rPr>
          <w:lang w:val="pl-PL"/>
        </w:rPr>
        <w:fldChar w:fldCharType="begin"/>
      </w:r>
      <w:r w:rsidRPr="00C852FF">
        <w:rPr>
          <w:lang w:val="pl-PL"/>
        </w:rPr>
        <w:instrText xml:space="preserve"> REF Cilfit \h </w:instrText>
      </w:r>
      <w:r w:rsidRPr="00C852FF">
        <w:rPr>
          <w:lang w:val="pl-PL"/>
        </w:rPr>
      </w:r>
      <w:r w:rsidRPr="00C852FF">
        <w:rPr>
          <w:lang w:val="pl-PL"/>
        </w:rPr>
        <w:fldChar w:fldCharType="separate"/>
      </w:r>
      <w:r w:rsidRPr="00C852FF">
        <w:rPr>
          <w:lang w:val="pl-PL"/>
        </w:rPr>
        <w:t>39</w:t>
      </w:r>
      <w:r w:rsidRPr="00C852FF">
        <w:rPr>
          <w:lang w:val="pl-PL"/>
        </w:rPr>
        <w:fldChar w:fldCharType="end"/>
      </w:r>
      <w:r w:rsidRPr="00C852FF">
        <w:rPr>
          <w:lang w:val="pl-PL"/>
        </w:rPr>
        <w:t xml:space="preserve">do </w:t>
      </w:r>
      <w:r w:rsidRPr="00C852FF">
        <w:rPr>
          <w:lang w:val="pl-PL"/>
        </w:rPr>
        <w:fldChar w:fldCharType="begin"/>
      </w:r>
      <w:r w:rsidRPr="00C852FF">
        <w:rPr>
          <w:lang w:val="pl-PL"/>
        </w:rPr>
        <w:instrText xml:space="preserve"> REF reference_own_motion \h </w:instrText>
      </w:r>
      <w:r w:rsidRPr="00C852FF">
        <w:rPr>
          <w:lang w:val="pl-PL"/>
        </w:rPr>
      </w:r>
      <w:r w:rsidRPr="00C852FF">
        <w:rPr>
          <w:lang w:val="pl-PL"/>
        </w:rPr>
        <w:fldChar w:fldCharType="separate"/>
      </w:r>
      <w:r w:rsidRPr="00C852FF">
        <w:rPr>
          <w:lang w:val="pl-PL"/>
        </w:rPr>
        <w:t>41</w:t>
      </w:r>
      <w:r w:rsidRPr="00C852FF">
        <w:rPr>
          <w:lang w:val="pl-PL"/>
        </w:rPr>
        <w:fldChar w:fldCharType="end"/>
      </w:r>
      <w:r w:rsidRPr="00C852FF">
        <w:rPr>
          <w:lang w:val="pl-PL"/>
        </w:rPr>
        <w:t xml:space="preserve"> powyżej), do podania powodów, dla których uznały kierowanie wniosku o</w:t>
      </w:r>
      <w:r>
        <w:rPr>
          <w:lang w:val="pl-PL"/>
        </w:rPr>
        <w:t> </w:t>
      </w:r>
      <w:r w:rsidRPr="00C852FF">
        <w:rPr>
          <w:lang w:val="pl-PL"/>
        </w:rPr>
        <w:t>wydanie orzeczenia w trybie prejudycjalnym</w:t>
      </w:r>
      <w:r w:rsidRPr="003C338A">
        <w:rPr>
          <w:lang w:val="pl-PL"/>
        </w:rPr>
        <w:t xml:space="preserve"> </w:t>
      </w:r>
      <w:r w:rsidRPr="00C852FF">
        <w:rPr>
          <w:lang w:val="pl-PL"/>
        </w:rPr>
        <w:t>za zbędne; w szczególności, dlaczego orzekły, że podniesione pytanie nie jest istotne, rozpatrywany przepis UE był już przedmiotem wykładni TSUE lub prawidłowe stosowanie prawa Unii Europejskiej jest na tyle oczywiste, że nie pozostawia miejsca na zasadną wątpliwość</w:t>
      </w:r>
      <w:r w:rsidRPr="00C852FF">
        <w:rPr>
          <w:snapToGrid w:val="0"/>
          <w:lang w:val="pl-PL"/>
        </w:rPr>
        <w:t xml:space="preserve">. Choć należy wykonać gruntowną weryfikację istnienia takiego uzasadnienia, </w:t>
      </w:r>
      <w:r w:rsidRPr="00C852FF">
        <w:rPr>
          <w:lang w:val="pl-PL"/>
        </w:rPr>
        <w:t>w gestii Trybunału nie leży zbadanie jakichkolwiek błędów, jakie sądy krajowe mogły popełnić dokonując wykładni albo stosując istotne przepisy prawa.</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58</w:t>
      </w:r>
      <w:r w:rsidRPr="00C852FF">
        <w:rPr>
          <w:lang w:val="pl-PL"/>
        </w:rPr>
        <w:fldChar w:fldCharType="end"/>
      </w:r>
      <w:r w:rsidRPr="00C852FF">
        <w:rPr>
          <w:lang w:val="pl-PL"/>
        </w:rPr>
        <w:t>.  Wracając do faktów w niniejszej sprawie Trybunał na wstępie zauważa, że sprawa skarżącego została rozpatrzona dwukrotnie przez sądy krajowe najwyższej instancji; po raz pierwszy w 2009 r., następnie w</w:t>
      </w:r>
      <w:r>
        <w:rPr>
          <w:lang w:val="pl-PL"/>
        </w:rPr>
        <w:t> </w:t>
      </w:r>
      <w:r w:rsidRPr="00C852FF">
        <w:rPr>
          <w:lang w:val="pl-PL"/>
        </w:rPr>
        <w:t>2013</w:t>
      </w:r>
      <w:r>
        <w:rPr>
          <w:lang w:val="pl-PL"/>
        </w:rPr>
        <w:t> </w:t>
      </w:r>
      <w:r w:rsidRPr="00C852FF">
        <w:rPr>
          <w:lang w:val="pl-PL"/>
        </w:rPr>
        <w:t xml:space="preserve">r. (zob. par. </w:t>
      </w:r>
      <w:r w:rsidRPr="00C852FF">
        <w:rPr>
          <w:lang w:val="pl-PL"/>
        </w:rPr>
        <w:fldChar w:fldCharType="begin"/>
      </w:r>
      <w:r w:rsidRPr="00C852FF">
        <w:rPr>
          <w:lang w:val="pl-PL"/>
        </w:rPr>
        <w:instrText xml:space="preserve"> REF Supreme_Court_judgment_June_2009 \h </w:instrText>
      </w:r>
      <w:r w:rsidRPr="00C852FF">
        <w:rPr>
          <w:lang w:val="pl-PL"/>
        </w:rPr>
      </w:r>
      <w:r w:rsidRPr="00C852FF">
        <w:rPr>
          <w:lang w:val="pl-PL"/>
        </w:rPr>
        <w:fldChar w:fldCharType="separate"/>
      </w:r>
      <w:r w:rsidRPr="00C852FF">
        <w:rPr>
          <w:lang w:val="pl-PL"/>
        </w:rPr>
        <w:t>15</w:t>
      </w:r>
      <w:r w:rsidRPr="00C852FF">
        <w:rPr>
          <w:lang w:val="pl-PL"/>
        </w:rPr>
        <w:fldChar w:fldCharType="end"/>
      </w:r>
      <w:r w:rsidRPr="00C852FF">
        <w:rPr>
          <w:lang w:val="pl-PL"/>
        </w:rPr>
        <w:t xml:space="preserve"> i </w:t>
      </w:r>
      <w:r w:rsidRPr="00C852FF">
        <w:rPr>
          <w:lang w:val="pl-PL"/>
        </w:rPr>
        <w:fldChar w:fldCharType="begin"/>
      </w:r>
      <w:r w:rsidRPr="00C852FF">
        <w:rPr>
          <w:lang w:val="pl-PL"/>
        </w:rPr>
        <w:instrText xml:space="preserve"> REF Kúria_judgment \h </w:instrText>
      </w:r>
      <w:r w:rsidRPr="00C852FF">
        <w:rPr>
          <w:lang w:val="pl-PL"/>
        </w:rPr>
      </w:r>
      <w:r w:rsidRPr="00C852FF">
        <w:rPr>
          <w:lang w:val="pl-PL"/>
        </w:rPr>
        <w:fldChar w:fldCharType="separate"/>
      </w:r>
      <w:r w:rsidRPr="00C852FF">
        <w:rPr>
          <w:lang w:val="pl-PL"/>
        </w:rPr>
        <w:t>24</w:t>
      </w:r>
      <w:r w:rsidRPr="00C852FF">
        <w:rPr>
          <w:lang w:val="pl-PL"/>
        </w:rPr>
        <w:fldChar w:fldCharType="end"/>
      </w:r>
      <w:r w:rsidRPr="00C852FF">
        <w:rPr>
          <w:lang w:val="pl-PL"/>
        </w:rPr>
        <w:t xml:space="preserve"> powyżej). W 2009 r. domniemana sprzeczność pomiędzy art. 80 ust. 1 ustawy o rentach i emeryturach z 1997 r. a art. 94 ust. 6 rozporządzenia, w odniesieniu do której skarżący stwierdził przed Trybunałem, że konieczne będzie skierowanie wniosku o wydanie orzeczenia w trybie prejudycjalnym, nie była jeszcze przedmiotem sporu. Kwestia ta została podniesiona dopiero po wydaniu decyzji Rady ds. Rent i</w:t>
      </w:r>
      <w:r>
        <w:rPr>
          <w:lang w:val="pl-PL"/>
        </w:rPr>
        <w:t> </w:t>
      </w:r>
      <w:r w:rsidRPr="00C852FF">
        <w:rPr>
          <w:lang w:val="pl-PL"/>
        </w:rPr>
        <w:t xml:space="preserve">Emerytur dla Regionu Środkowych Węgier z dnia 7 lipca 2010 r., która ograniczyła faktyczną płatność renty skarżącego (zob. par. </w:t>
      </w:r>
      <w:r w:rsidRPr="00C852FF">
        <w:rPr>
          <w:lang w:val="pl-PL"/>
        </w:rPr>
        <w:fldChar w:fldCharType="begin"/>
      </w:r>
      <w:r w:rsidRPr="00C852FF">
        <w:rPr>
          <w:lang w:val="pl-PL"/>
        </w:rPr>
        <w:instrText xml:space="preserve"> REF payment_difference_5yrs \h </w:instrText>
      </w:r>
      <w:r w:rsidRPr="00C852FF">
        <w:rPr>
          <w:lang w:val="pl-PL"/>
        </w:rPr>
      </w:r>
      <w:r w:rsidRPr="00C852FF">
        <w:rPr>
          <w:lang w:val="pl-PL"/>
        </w:rPr>
        <w:fldChar w:fldCharType="separate"/>
      </w:r>
      <w:r w:rsidRPr="00C852FF">
        <w:rPr>
          <w:lang w:val="pl-PL"/>
        </w:rPr>
        <w:t>17</w:t>
      </w:r>
      <w:r w:rsidRPr="00C852FF">
        <w:rPr>
          <w:lang w:val="pl-PL"/>
        </w:rPr>
        <w:fldChar w:fldCharType="end"/>
      </w:r>
      <w:r w:rsidRPr="00C852FF">
        <w:rPr>
          <w:lang w:val="pl-PL"/>
        </w:rPr>
        <w:t xml:space="preserve"> powyżej). Rząd stwierdził, że pomimo iż skarżący początkowo zwrócił się o to, by wniosek o wydanie orzeczenia w trybie prejudycjalnym został skierowany do TSUE, do tego czasu już wycofał swój wniosek (zob. par </w:t>
      </w:r>
      <w:r w:rsidRPr="00C852FF">
        <w:rPr>
          <w:lang w:val="pl-PL"/>
        </w:rPr>
        <w:fldChar w:fldCharType="begin"/>
      </w:r>
      <w:r w:rsidRPr="00C852FF">
        <w:rPr>
          <w:lang w:val="pl-PL"/>
        </w:rPr>
        <w:instrText xml:space="preserve"> REF Gvt_argue_Appl_withdrew \h </w:instrText>
      </w:r>
      <w:r w:rsidRPr="00C852FF">
        <w:rPr>
          <w:lang w:val="pl-PL"/>
        </w:rPr>
      </w:r>
      <w:r w:rsidRPr="00C852FF">
        <w:rPr>
          <w:lang w:val="pl-PL"/>
        </w:rPr>
        <w:fldChar w:fldCharType="separate"/>
      </w:r>
      <w:r w:rsidRPr="00C852FF">
        <w:rPr>
          <w:lang w:val="pl-PL"/>
        </w:rPr>
        <w:t>46</w:t>
      </w:r>
      <w:r w:rsidRPr="00C852FF">
        <w:rPr>
          <w:lang w:val="pl-PL"/>
        </w:rPr>
        <w:fldChar w:fldCharType="end"/>
      </w:r>
      <w:r w:rsidRPr="00C852FF">
        <w:rPr>
          <w:lang w:val="pl-PL"/>
        </w:rPr>
        <w:t xml:space="preserve"> powyżej). Skarżący zakwestionował ten argument podnosząc,</w:t>
      </w:r>
      <w:r>
        <w:rPr>
          <w:lang w:val="pl-PL"/>
        </w:rPr>
        <w:t xml:space="preserve"> że podtrzymywał swój wniosek o </w:t>
      </w:r>
      <w:r w:rsidRPr="00C852FF">
        <w:rPr>
          <w:lang w:val="pl-PL"/>
        </w:rPr>
        <w:t xml:space="preserve">wydanie orzeczenia w trybie prejudycjalnym przez cały czas trwania postępowania, na wypadek gdyby sądy nie podzielały jego opinii dotyczącej prawidłowego stosowania rozporządzenia (zob. par. </w:t>
      </w:r>
      <w:fldSimple w:instr=" REF petition_for_review_2012 \h  \* MERGEFORMAT ">
        <w:r w:rsidRPr="00C852FF">
          <w:rPr>
            <w:lang w:val="pl-PL"/>
          </w:rPr>
          <w:t>23</w:t>
        </w:r>
      </w:fldSimple>
      <w:r w:rsidRPr="00C852FF">
        <w:rPr>
          <w:lang w:val="pl-PL"/>
        </w:rPr>
        <w:t xml:space="preserve"> i </w:t>
      </w:r>
      <w:fldSimple w:instr=" REF App_argue_did_not_withdraw \h  \* MERGEFORMAT ">
        <w:r w:rsidRPr="00C852FF">
          <w:rPr>
            <w:lang w:val="pl-PL"/>
          </w:rPr>
          <w:t>48</w:t>
        </w:r>
      </w:fldSimple>
      <w:r w:rsidRPr="00C852FF">
        <w:rPr>
          <w:lang w:val="pl-PL"/>
        </w:rPr>
        <w:t xml:space="preserve"> powyżej).</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59</w:t>
      </w:r>
      <w:r w:rsidRPr="00C852FF">
        <w:rPr>
          <w:lang w:val="pl-PL"/>
        </w:rPr>
        <w:fldChar w:fldCharType="end"/>
      </w:r>
      <w:r w:rsidRPr="00C852FF">
        <w:rPr>
          <w:lang w:val="pl-PL"/>
        </w:rPr>
        <w:t>.  Trybunał uznaje, że nie ma potrzeby rozstrzygania w sprawie różnicy pomiędzy stwierdzeniami stron, ponieważ w każdym wypadku na skarżącym, zgodnie z istotnymi przepisami prawa krajowego i</w:t>
      </w:r>
      <w:r>
        <w:rPr>
          <w:lang w:val="pl-PL"/>
        </w:rPr>
        <w:t> </w:t>
      </w:r>
      <w:r w:rsidRPr="00C852FF">
        <w:rPr>
          <w:lang w:val="pl-PL"/>
        </w:rPr>
        <w:t xml:space="preserve">orzecznictwem (zob. par. </w:t>
      </w:r>
      <w:r w:rsidRPr="00C852FF">
        <w:rPr>
          <w:lang w:val="pl-PL"/>
        </w:rPr>
        <w:fldChar w:fldCharType="begin"/>
      </w:r>
      <w:r w:rsidRPr="00C852FF">
        <w:rPr>
          <w:lang w:val="pl-PL"/>
        </w:rPr>
        <w:instrText xml:space="preserve"> REF CCP_155A \h </w:instrText>
      </w:r>
      <w:r w:rsidRPr="00C852FF">
        <w:rPr>
          <w:lang w:val="pl-PL"/>
        </w:rPr>
      </w:r>
      <w:r w:rsidRPr="00C852FF">
        <w:rPr>
          <w:lang w:val="pl-PL"/>
        </w:rPr>
        <w:fldChar w:fldCharType="separate"/>
      </w:r>
      <w:r w:rsidRPr="00C852FF">
        <w:rPr>
          <w:lang w:val="pl-PL"/>
        </w:rPr>
        <w:t>28</w:t>
      </w:r>
      <w:r w:rsidRPr="00C852FF">
        <w:rPr>
          <w:lang w:val="pl-PL"/>
        </w:rPr>
        <w:fldChar w:fldCharType="end"/>
      </w:r>
      <w:r w:rsidRPr="00C852FF">
        <w:rPr>
          <w:lang w:val="pl-PL"/>
        </w:rPr>
        <w:t xml:space="preserve"> do </w:t>
      </w:r>
      <w:r w:rsidRPr="00C852FF">
        <w:rPr>
          <w:lang w:val="pl-PL"/>
        </w:rPr>
        <w:fldChar w:fldCharType="begin"/>
      </w:r>
      <w:r w:rsidRPr="00C852FF">
        <w:rPr>
          <w:lang w:val="pl-PL"/>
        </w:rPr>
        <w:instrText xml:space="preserve"> REF BH3 \h </w:instrText>
      </w:r>
      <w:r w:rsidRPr="00C852FF">
        <w:rPr>
          <w:lang w:val="pl-PL"/>
        </w:rPr>
      </w:r>
      <w:r w:rsidRPr="00C852FF">
        <w:rPr>
          <w:lang w:val="pl-PL"/>
        </w:rPr>
        <w:fldChar w:fldCharType="separate"/>
      </w:r>
      <w:r w:rsidRPr="00C852FF">
        <w:rPr>
          <w:lang w:val="pl-PL"/>
        </w:rPr>
        <w:t>31</w:t>
      </w:r>
      <w:r w:rsidRPr="00C852FF">
        <w:rPr>
          <w:lang w:val="pl-PL"/>
        </w:rPr>
        <w:fldChar w:fldCharType="end"/>
      </w:r>
      <w:r w:rsidRPr="00C852FF">
        <w:rPr>
          <w:lang w:val="pl-PL"/>
        </w:rPr>
        <w:t xml:space="preserve"> powyżej) spoczywał obowiązek sformułowania, w sposób samodzielny i wyczerpujący, własnego wniosku o</w:t>
      </w:r>
      <w:r>
        <w:rPr>
          <w:lang w:val="pl-PL"/>
        </w:rPr>
        <w:t> </w:t>
      </w:r>
      <w:r w:rsidRPr="00C852FF">
        <w:rPr>
          <w:lang w:val="pl-PL"/>
        </w:rPr>
        <w:t>przeprowadzenie kontroli, czyli określenie domniemanego naruszenia w</w:t>
      </w:r>
      <w:r>
        <w:rPr>
          <w:lang w:val="pl-PL"/>
        </w:rPr>
        <w:t> </w:t>
      </w:r>
      <w:r w:rsidRPr="00C852FF">
        <w:rPr>
          <w:lang w:val="pl-PL"/>
        </w:rPr>
        <w:t>sp</w:t>
      </w:r>
      <w:r>
        <w:rPr>
          <w:lang w:val="pl-PL"/>
        </w:rPr>
        <w:t>osób konkretny i </w:t>
      </w:r>
      <w:r w:rsidRPr="00C852FF">
        <w:rPr>
          <w:lang w:val="pl-PL"/>
        </w:rPr>
        <w:t xml:space="preserve">uzupełnienie wszystkich wniosków kompletnym uzasadnieniem, bez odnoszenia się do jakichkolwiek wcześniejszych stanowisk. Właściwość </w:t>
      </w:r>
      <w:r w:rsidRPr="00C852FF">
        <w:rPr>
          <w:i/>
          <w:iCs/>
          <w:lang w:val="pl-PL"/>
        </w:rPr>
        <w:t>Kúri</w:t>
      </w:r>
      <w:r>
        <w:rPr>
          <w:i/>
          <w:iCs/>
          <w:lang w:val="pl-PL"/>
        </w:rPr>
        <w:t>i</w:t>
      </w:r>
      <w:r w:rsidRPr="00C852FF">
        <w:rPr>
          <w:i/>
          <w:iCs/>
          <w:lang w:val="pl-PL"/>
        </w:rPr>
        <w:t xml:space="preserve"> </w:t>
      </w:r>
      <w:r w:rsidRPr="00C852FF">
        <w:rPr>
          <w:lang w:val="pl-PL"/>
        </w:rPr>
        <w:t>ograniczała się do zbadania kwe</w:t>
      </w:r>
      <w:r>
        <w:rPr>
          <w:lang w:val="pl-PL"/>
        </w:rPr>
        <w:t>stii podniesionych we wniosku o </w:t>
      </w:r>
      <w:r w:rsidRPr="00C852FF">
        <w:rPr>
          <w:lang w:val="pl-PL"/>
        </w:rPr>
        <w:t>przeprowadzenie kontroli.</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60</w:t>
      </w:r>
      <w:r w:rsidRPr="00C852FF">
        <w:rPr>
          <w:lang w:val="pl-PL"/>
        </w:rPr>
        <w:fldChar w:fldCharType="end"/>
      </w:r>
      <w:r w:rsidRPr="00C852FF">
        <w:rPr>
          <w:lang w:val="pl-PL"/>
        </w:rPr>
        <w:t>.  Trybunał zauważa, że skarżący nie zwrócił się w swoim wniosku o</w:t>
      </w:r>
      <w:r>
        <w:rPr>
          <w:lang w:val="pl-PL"/>
        </w:rPr>
        <w:t> </w:t>
      </w:r>
      <w:r w:rsidRPr="00C852FF">
        <w:rPr>
          <w:lang w:val="pl-PL"/>
        </w:rPr>
        <w:t xml:space="preserve">przeprowadzenie kontroli o skierowanie wniosku do TSUE o wydanie orzeczenia w trybie prejudycjalnym; nie przedstawił też żadnych powodów uzasadniających, dlaczego w jego opinii wyrok Sądu Pracy w Budapeszcie naruszał art. 234 Traktatu WE (zob. par. </w:t>
      </w:r>
      <w:r w:rsidRPr="00C852FF">
        <w:rPr>
          <w:lang w:val="pl-PL"/>
        </w:rPr>
        <w:fldChar w:fldCharType="begin"/>
      </w:r>
      <w:r w:rsidRPr="00C852FF">
        <w:rPr>
          <w:lang w:val="pl-PL"/>
        </w:rPr>
        <w:instrText xml:space="preserve"> REF petition_for_review_2012 \h </w:instrText>
      </w:r>
      <w:r w:rsidRPr="00C852FF">
        <w:rPr>
          <w:lang w:val="pl-PL"/>
        </w:rPr>
      </w:r>
      <w:r w:rsidRPr="00C852FF">
        <w:rPr>
          <w:lang w:val="pl-PL"/>
        </w:rPr>
        <w:fldChar w:fldCharType="separate"/>
      </w:r>
      <w:r w:rsidRPr="00C852FF">
        <w:rPr>
          <w:lang w:val="pl-PL"/>
        </w:rPr>
        <w:t>23</w:t>
      </w:r>
      <w:r w:rsidRPr="00C852FF">
        <w:rPr>
          <w:lang w:val="pl-PL"/>
        </w:rPr>
        <w:fldChar w:fldCharType="end"/>
      </w:r>
      <w:r w:rsidRPr="00C852FF">
        <w:rPr>
          <w:lang w:val="pl-PL"/>
        </w:rPr>
        <w:t xml:space="preserve"> powyżej). W tych okolicznościach brak uzasadnienia w związku z tymi aspektami wydaje się być zgodny z krajowymi przepisami proceduralnymi.</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61</w:t>
      </w:r>
      <w:r w:rsidRPr="00C852FF">
        <w:rPr>
          <w:lang w:val="pl-PL"/>
        </w:rPr>
        <w:fldChar w:fldCharType="end"/>
      </w:r>
      <w:r w:rsidRPr="00C852FF">
        <w:rPr>
          <w:lang w:val="pl-PL"/>
        </w:rPr>
        <w:t xml:space="preserve">.  Trybunał zauważa ponadto, że zgodnie z odnośnym orzecznictwem TSUE (zob. par. </w:t>
      </w:r>
      <w:r w:rsidRPr="00C852FF">
        <w:rPr>
          <w:lang w:val="pl-PL"/>
        </w:rPr>
        <w:fldChar w:fldCharType="begin"/>
      </w:r>
      <w:r w:rsidRPr="00C852FF">
        <w:rPr>
          <w:lang w:val="pl-PL"/>
        </w:rPr>
        <w:instrText xml:space="preserve"> REF reference_own_motion \h </w:instrText>
      </w:r>
      <w:r w:rsidRPr="00C852FF">
        <w:rPr>
          <w:lang w:val="pl-PL"/>
        </w:rPr>
      </w:r>
      <w:r w:rsidRPr="00C852FF">
        <w:rPr>
          <w:lang w:val="pl-PL"/>
        </w:rPr>
        <w:fldChar w:fldCharType="separate"/>
      </w:r>
      <w:r w:rsidRPr="00C852FF">
        <w:rPr>
          <w:lang w:val="pl-PL"/>
        </w:rPr>
        <w:t>41</w:t>
      </w:r>
      <w:r w:rsidRPr="00C852FF">
        <w:rPr>
          <w:lang w:val="pl-PL"/>
        </w:rPr>
        <w:fldChar w:fldCharType="end"/>
      </w:r>
      <w:r w:rsidRPr="00C852FF">
        <w:rPr>
          <w:lang w:val="pl-PL"/>
        </w:rPr>
        <w:t xml:space="preserve"> powyżej), nawet jeśli inicjatywa strony nie jest konieczna dla sądu krajowego, względem orzeczeń którego nie istnieją w</w:t>
      </w:r>
      <w:r>
        <w:rPr>
          <w:lang w:val="pl-PL"/>
        </w:rPr>
        <w:t> </w:t>
      </w:r>
      <w:r w:rsidRPr="00C852FF">
        <w:rPr>
          <w:lang w:val="pl-PL"/>
        </w:rPr>
        <w:t>prawie krajowym środki odwoławcze przewidujące zobowiązanie do skierowania przed TSUE pytania o wykładnię lub ważność prawa UE, wyłącznym zadaniem sądu jest ustalenie, w świetle konkretnych okoliczności w sprawie, konieczności wydania orzeczenia w trybie prejudycjalnym w celu umożliwienia sądowi wydania przez niego</w:t>
      </w:r>
      <w:r>
        <w:rPr>
          <w:lang w:val="pl-PL"/>
        </w:rPr>
        <w:t xml:space="preserve"> wyroku. Trybunał zauważa, że w </w:t>
      </w:r>
      <w:r w:rsidRPr="00C852FF">
        <w:rPr>
          <w:lang w:val="pl-PL"/>
        </w:rPr>
        <w:t xml:space="preserve">niniejszej sprawie </w:t>
      </w:r>
      <w:r w:rsidRPr="00C852FF">
        <w:rPr>
          <w:i/>
          <w:iCs/>
          <w:lang w:val="pl-PL"/>
        </w:rPr>
        <w:t>Kúria</w:t>
      </w:r>
      <w:r w:rsidRPr="00C852FF">
        <w:rPr>
          <w:lang w:val="pl-PL"/>
        </w:rPr>
        <w:t xml:space="preserve"> był zdania, że odnośne przepisy ustawy o rentach i emeryturach z 1997 r. i przepisy rozporządzenia nie były ze sobą sprzeczne; nie uznał, że wydanie orzeczenia w trybie prejudycjalnym w przedmiocie prawa UE jest konieczne do wydania przez sąd wyroku (zob. par. </w:t>
      </w:r>
      <w:r w:rsidRPr="00C852FF">
        <w:rPr>
          <w:lang w:val="pl-PL"/>
        </w:rPr>
        <w:fldChar w:fldCharType="begin"/>
      </w:r>
      <w:r w:rsidRPr="00C852FF">
        <w:rPr>
          <w:lang w:val="pl-PL"/>
        </w:rPr>
        <w:instrText xml:space="preserve"> REF Kúria_judgment \h </w:instrText>
      </w:r>
      <w:r w:rsidRPr="00C852FF">
        <w:rPr>
          <w:lang w:val="pl-PL"/>
        </w:rPr>
      </w:r>
      <w:r w:rsidRPr="00C852FF">
        <w:rPr>
          <w:lang w:val="pl-PL"/>
        </w:rPr>
        <w:fldChar w:fldCharType="separate"/>
      </w:r>
      <w:r w:rsidRPr="00C852FF">
        <w:rPr>
          <w:lang w:val="pl-PL"/>
        </w:rPr>
        <w:t>24</w:t>
      </w:r>
      <w:r w:rsidRPr="00C852FF">
        <w:rPr>
          <w:lang w:val="pl-PL"/>
        </w:rPr>
        <w:fldChar w:fldCharType="end"/>
      </w:r>
      <w:r w:rsidRPr="00C852FF">
        <w:rPr>
          <w:lang w:val="pl-PL"/>
        </w:rPr>
        <w:t xml:space="preserve"> powyżej).</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62</w:t>
      </w:r>
      <w:r w:rsidRPr="00C852FF">
        <w:rPr>
          <w:lang w:val="pl-PL"/>
        </w:rPr>
        <w:fldChar w:fldCharType="end"/>
      </w:r>
      <w:r w:rsidRPr="00C852FF">
        <w:rPr>
          <w:lang w:val="pl-PL"/>
        </w:rPr>
        <w:t xml:space="preserve">.  W takich okolicznościach Trybunał nie dostrzega, aby cokolwiek wskazywało na arbitralny charakter faktu nieskierowania przez </w:t>
      </w:r>
      <w:r w:rsidRPr="00C852FF">
        <w:rPr>
          <w:i/>
          <w:iCs/>
          <w:lang w:val="pl-PL"/>
        </w:rPr>
        <w:t>Kúri</w:t>
      </w:r>
      <w:r>
        <w:rPr>
          <w:i/>
          <w:iCs/>
          <w:lang w:val="pl-PL"/>
        </w:rPr>
        <w:t>ę</w:t>
      </w:r>
      <w:r w:rsidRPr="00C852FF">
        <w:rPr>
          <w:lang w:val="pl-PL"/>
        </w:rPr>
        <w:t xml:space="preserve"> pytania do TSUE w celu wydania orzeczenia w trybie prejudycjalnym ani też na arbitralny charakter sposobu przedstawiania uzasadnienia wyroku bez rozwinięcia kwestii dotyczących potencjalnego skierowania wniosku o</w:t>
      </w:r>
      <w:r>
        <w:rPr>
          <w:lang w:val="pl-PL"/>
        </w:rPr>
        <w:t> </w:t>
      </w:r>
      <w:r w:rsidRPr="00C852FF">
        <w:rPr>
          <w:lang w:val="pl-PL"/>
        </w:rPr>
        <w:t xml:space="preserve">wydanie orzeczenia w trybie prejudycjalnym (zob. też, </w:t>
      </w:r>
      <w:r w:rsidRPr="00C852FF">
        <w:rPr>
          <w:i/>
          <w:iCs/>
          <w:lang w:val="pl-PL"/>
        </w:rPr>
        <w:t>mutatis mutandis, Ryon i Inni przeciwko Francji</w:t>
      </w:r>
      <w:r w:rsidRPr="00C852FF">
        <w:rPr>
          <w:lang w:val="pl-PL"/>
        </w:rPr>
        <w:t xml:space="preserve"> (dec.), skargi nr 33014/08, 36748/08, 5187/09, 11793/09, 43329/10 i 66405/10, § 32, 15 października 2013 r.).</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63</w:t>
      </w:r>
      <w:r w:rsidRPr="00C852FF">
        <w:rPr>
          <w:lang w:val="pl-PL"/>
        </w:rPr>
        <w:fldChar w:fldCharType="end"/>
      </w:r>
      <w:r w:rsidRPr="00C852FF">
        <w:rPr>
          <w:lang w:val="pl-PL"/>
        </w:rPr>
        <w:t>.  Wynika z tego, że druga część skargi (zob. par.</w:t>
      </w:r>
      <w:r>
        <w:rPr>
          <w:lang w:val="pl-PL"/>
        </w:rPr>
        <w:t xml:space="preserve"> </w:t>
      </w:r>
      <w:r w:rsidRPr="00C852FF">
        <w:rPr>
          <w:lang w:val="pl-PL"/>
        </w:rPr>
        <w:fldChar w:fldCharType="begin"/>
      </w:r>
      <w:r w:rsidRPr="00C852FF">
        <w:rPr>
          <w:lang w:val="pl-PL"/>
        </w:rPr>
        <w:instrText xml:space="preserve"> REF complaint_2nd_part \h </w:instrText>
      </w:r>
      <w:r w:rsidRPr="00C852FF">
        <w:rPr>
          <w:lang w:val="pl-PL"/>
        </w:rPr>
      </w:r>
      <w:r w:rsidRPr="00C852FF">
        <w:rPr>
          <w:lang w:val="pl-PL"/>
        </w:rPr>
        <w:fldChar w:fldCharType="separate"/>
      </w:r>
      <w:r w:rsidRPr="00C852FF">
        <w:rPr>
          <w:lang w:val="pl-PL"/>
        </w:rPr>
        <w:t>52</w:t>
      </w:r>
      <w:r w:rsidRPr="00C852FF">
        <w:rPr>
          <w:lang w:val="pl-PL"/>
        </w:rPr>
        <w:fldChar w:fldCharType="end"/>
      </w:r>
      <w:r w:rsidRPr="00C852FF">
        <w:rPr>
          <w:lang w:val="pl-PL"/>
        </w:rPr>
        <w:t xml:space="preserve"> powyżej) jest w</w:t>
      </w:r>
      <w:r>
        <w:rPr>
          <w:lang w:val="pl-PL"/>
        </w:rPr>
        <w:t> </w:t>
      </w:r>
      <w:r w:rsidRPr="00C852FF">
        <w:rPr>
          <w:lang w:val="pl-PL"/>
        </w:rPr>
        <w:t xml:space="preserve">sposób </w:t>
      </w:r>
      <w:r>
        <w:rPr>
          <w:lang w:val="pl-PL"/>
        </w:rPr>
        <w:t>oczywisty</w:t>
      </w:r>
      <w:r w:rsidRPr="00C852FF">
        <w:rPr>
          <w:lang w:val="pl-PL"/>
        </w:rPr>
        <w:t xml:space="preserve"> nieuzasadniona w rozumieniu art. 35 ust. 3 lit. a) i musi zostać oddalona zgodnie z art. 35 ust. 4 Konwencji.</w:t>
      </w:r>
    </w:p>
    <w:p w:rsidR="004F19AD" w:rsidRPr="00C852FF" w:rsidRDefault="004F19AD" w:rsidP="006C2E98">
      <w:pPr>
        <w:pStyle w:val="ECHRHeading1"/>
        <w:rPr>
          <w:lang w:val="pl-PL"/>
        </w:rPr>
      </w:pPr>
      <w:r w:rsidRPr="00C852FF">
        <w:rPr>
          <w:lang w:val="pl-PL"/>
        </w:rPr>
        <w:t>II. DOMNIEMANE NARUSZENIE ART. 6 UST. 1 KONWENCJI ZE WZGLĘDU NA CZAS TRWANIA POSTĘPOWANIA</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64</w:t>
      </w:r>
      <w:r w:rsidRPr="00C852FF">
        <w:rPr>
          <w:lang w:val="pl-PL"/>
        </w:rPr>
        <w:fldChar w:fldCharType="end"/>
      </w:r>
      <w:r w:rsidRPr="00C852FF">
        <w:rPr>
          <w:lang w:val="pl-PL"/>
        </w:rPr>
        <w:t>.  Skarżący zarzucił, że czas trwania postępowania był niezgodny z</w:t>
      </w:r>
      <w:r>
        <w:rPr>
          <w:lang w:val="pl-PL"/>
        </w:rPr>
        <w:t> </w:t>
      </w:r>
      <w:r w:rsidRPr="00C852FF">
        <w:rPr>
          <w:lang w:val="pl-PL"/>
        </w:rPr>
        <w:t>wymogiem „rozsądnego terminu” przewidzianym w art. 6 ust. 1 Konwencji.</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65</w:t>
      </w:r>
      <w:r w:rsidRPr="00C852FF">
        <w:rPr>
          <w:lang w:val="pl-PL"/>
        </w:rPr>
        <w:fldChar w:fldCharType="end"/>
      </w:r>
      <w:r w:rsidRPr="00C852FF">
        <w:rPr>
          <w:lang w:val="pl-PL"/>
        </w:rPr>
        <w:t>.  Rząd zakwestionował ten pogląd.</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66</w:t>
      </w:r>
      <w:r w:rsidRPr="00C852FF">
        <w:rPr>
          <w:lang w:val="pl-PL"/>
        </w:rPr>
        <w:fldChar w:fldCharType="end"/>
      </w:r>
      <w:r w:rsidRPr="00C852FF">
        <w:rPr>
          <w:lang w:val="pl-PL"/>
        </w:rPr>
        <w:t xml:space="preserve">.  Okres jaki należy wziąć pod uwagę rozpoczął się z dniem 7 września 2006 r., kiedy skarżący wniósł odwołanie od decyzji organu rentowego pierwszej instancji w przedmiocie wniosku skarżącego o ponowne rozpatrzenie jego uprawnień rentowych (zob. par. </w:t>
      </w:r>
      <w:r w:rsidRPr="00C852FF">
        <w:rPr>
          <w:lang w:val="pl-PL"/>
        </w:rPr>
        <w:fldChar w:fldCharType="begin"/>
      </w:r>
      <w:r w:rsidRPr="00C852FF">
        <w:rPr>
          <w:lang w:val="pl-PL"/>
        </w:rPr>
        <w:instrText xml:space="preserve"> REF beginning_dispute \h </w:instrText>
      </w:r>
      <w:r w:rsidRPr="00C852FF">
        <w:rPr>
          <w:lang w:val="pl-PL"/>
        </w:rPr>
      </w:r>
      <w:r w:rsidRPr="00C852FF">
        <w:rPr>
          <w:lang w:val="pl-PL"/>
        </w:rPr>
        <w:fldChar w:fldCharType="separate"/>
      </w:r>
      <w:r w:rsidRPr="00C852FF">
        <w:rPr>
          <w:lang w:val="pl-PL"/>
        </w:rPr>
        <w:t>9</w:t>
      </w:r>
      <w:r w:rsidRPr="00C852FF">
        <w:rPr>
          <w:lang w:val="pl-PL"/>
        </w:rPr>
        <w:fldChar w:fldCharType="end"/>
      </w:r>
      <w:r w:rsidRPr="00C852FF">
        <w:rPr>
          <w:lang w:val="pl-PL"/>
        </w:rPr>
        <w:t xml:space="preserve"> powyżej); wówczas zaistniał „spór” w rozumieniu art. 6 ust. 1 (zob. </w:t>
      </w:r>
      <w:r w:rsidRPr="00C852FF">
        <w:rPr>
          <w:i/>
          <w:iCs/>
          <w:lang w:val="pl-PL"/>
        </w:rPr>
        <w:t>mutatis mutandis</w:t>
      </w:r>
      <w:r w:rsidRPr="00C852FF">
        <w:rPr>
          <w:lang w:val="pl-PL"/>
        </w:rPr>
        <w:t xml:space="preserve">, </w:t>
      </w:r>
      <w:r w:rsidRPr="00C852FF">
        <w:rPr>
          <w:i/>
          <w:iCs/>
          <w:lang w:val="pl-PL"/>
        </w:rPr>
        <w:t>König przeciwko Niemcom</w:t>
      </w:r>
      <w:r w:rsidRPr="00C852FF">
        <w:rPr>
          <w:lang w:val="pl-PL"/>
        </w:rPr>
        <w:t xml:space="preserve">, 28 czerwca 1978 r., § 98, Seria A nr 27; </w:t>
      </w:r>
      <w:r w:rsidRPr="00C852FF">
        <w:rPr>
          <w:i/>
          <w:iCs/>
          <w:lang w:val="pl-PL"/>
        </w:rPr>
        <w:t>Tóth, Magyar i Tóthné przeciwko Węgrom</w:t>
      </w:r>
      <w:r w:rsidRPr="00C852FF">
        <w:rPr>
          <w:lang w:val="pl-PL"/>
        </w:rPr>
        <w:t xml:space="preserve">, skarga nr 35701/04, § 19, 6 grudnia 2005 r.; </w:t>
      </w:r>
      <w:r w:rsidRPr="00C852FF">
        <w:rPr>
          <w:i/>
          <w:iCs/>
          <w:lang w:val="pl-PL"/>
        </w:rPr>
        <w:t>Počuča przeciwko Chorwacji</w:t>
      </w:r>
      <w:r w:rsidRPr="00C852FF">
        <w:rPr>
          <w:lang w:val="pl-PL"/>
        </w:rPr>
        <w:t xml:space="preserve">, skarga nr 38550/02, § 30, 29 czerwca 2006 r.; oraz </w:t>
      </w:r>
      <w:r w:rsidRPr="00C852FF">
        <w:rPr>
          <w:i/>
          <w:iCs/>
          <w:lang w:val="pl-PL"/>
        </w:rPr>
        <w:t>Kugler przeciwko Austrii</w:t>
      </w:r>
      <w:r w:rsidRPr="00C852FF">
        <w:rPr>
          <w:lang w:val="pl-PL"/>
        </w:rPr>
        <w:t xml:space="preserve">, skarga nr 65631/01, § 36, 14 października 2010 r.). Zakończył się on dnia 26 czerwca 2013 r., kiedy </w:t>
      </w:r>
      <w:r w:rsidRPr="00C852FF">
        <w:rPr>
          <w:i/>
          <w:iCs/>
          <w:lang w:val="pl-PL"/>
        </w:rPr>
        <w:t>Kúria</w:t>
      </w:r>
      <w:r w:rsidRPr="00C852FF">
        <w:rPr>
          <w:lang w:val="pl-PL"/>
        </w:rPr>
        <w:t xml:space="preserve"> podtrzymał wyrok Sądu Pracy w Budapeszcie (zob. par. </w:t>
      </w:r>
      <w:r w:rsidRPr="00C852FF">
        <w:rPr>
          <w:lang w:val="pl-PL"/>
        </w:rPr>
        <w:fldChar w:fldCharType="begin"/>
      </w:r>
      <w:r w:rsidRPr="00C852FF">
        <w:rPr>
          <w:lang w:val="pl-PL"/>
        </w:rPr>
        <w:instrText xml:space="preserve"> REF Kúria_judgment \h </w:instrText>
      </w:r>
      <w:r w:rsidRPr="00C852FF">
        <w:rPr>
          <w:lang w:val="pl-PL"/>
        </w:rPr>
      </w:r>
      <w:r w:rsidRPr="00C852FF">
        <w:rPr>
          <w:lang w:val="pl-PL"/>
        </w:rPr>
        <w:fldChar w:fldCharType="separate"/>
      </w:r>
      <w:r w:rsidRPr="00C852FF">
        <w:rPr>
          <w:lang w:val="pl-PL"/>
        </w:rPr>
        <w:t>24</w:t>
      </w:r>
      <w:r w:rsidRPr="00C852FF">
        <w:rPr>
          <w:lang w:val="pl-PL"/>
        </w:rPr>
        <w:fldChar w:fldCharType="end"/>
      </w:r>
      <w:r w:rsidRPr="00C852FF">
        <w:rPr>
          <w:lang w:val="pl-PL"/>
        </w:rPr>
        <w:t xml:space="preserve"> powyżej). Spór trwał więc ponad sześć lat i dziewięć miesięcy na dwóch szczeblach administracji i</w:t>
      </w:r>
      <w:r>
        <w:rPr>
          <w:lang w:val="pl-PL"/>
        </w:rPr>
        <w:t> </w:t>
      </w:r>
      <w:r w:rsidRPr="00C852FF">
        <w:rPr>
          <w:lang w:val="pl-PL"/>
        </w:rPr>
        <w:t>w</w:t>
      </w:r>
      <w:r>
        <w:rPr>
          <w:lang w:val="pl-PL"/>
        </w:rPr>
        <w:t> </w:t>
      </w:r>
      <w:r w:rsidRPr="00C852FF">
        <w:rPr>
          <w:lang w:val="pl-PL"/>
        </w:rPr>
        <w:t>dwóch instancjach sądowych.</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67</w:t>
      </w:r>
      <w:r w:rsidRPr="00C852FF">
        <w:rPr>
          <w:lang w:val="pl-PL"/>
        </w:rPr>
        <w:fldChar w:fldCharType="end"/>
      </w:r>
      <w:r w:rsidRPr="00C852FF">
        <w:rPr>
          <w:lang w:val="pl-PL"/>
        </w:rPr>
        <w:t>.  Na tym etapie Trybunał zauważa, że nie może podzielić stwierdzenia Rządu, zgodnie z którym sporne postępowanie należy uznać za złożone z</w:t>
      </w:r>
      <w:r>
        <w:rPr>
          <w:lang w:val="pl-PL"/>
        </w:rPr>
        <w:t> </w:t>
      </w:r>
      <w:r w:rsidRPr="00C852FF">
        <w:rPr>
          <w:lang w:val="pl-PL"/>
        </w:rPr>
        <w:t>dwóch odrębnych części, jedna dotycząca wysokości renty skarżącego (obejmująca okres pomiędzy 2006 rokiem a dniem 29 lutego 2012 r.) i</w:t>
      </w:r>
      <w:r>
        <w:rPr>
          <w:lang w:val="pl-PL"/>
        </w:rPr>
        <w:t> </w:t>
      </w:r>
      <w:r w:rsidRPr="00C852FF">
        <w:rPr>
          <w:lang w:val="pl-PL"/>
        </w:rPr>
        <w:t>druga dotycząca możliwości zastosowania art. 80 ust. 1 ustawy o rentach i</w:t>
      </w:r>
      <w:r>
        <w:rPr>
          <w:lang w:val="pl-PL"/>
        </w:rPr>
        <w:t> </w:t>
      </w:r>
      <w:r w:rsidRPr="00C852FF">
        <w:rPr>
          <w:lang w:val="pl-PL"/>
        </w:rPr>
        <w:t>emeryturach z 1997 r. (obejmująca okres od dnia 11 listopada 2010 r. do 26 czerwca 2013 r.). W opinii Trybunału faktyczna wypłata skarżącemu skorygowanej renty stanowiła kwestię nierozerwalnie powiązaną z</w:t>
      </w:r>
      <w:r>
        <w:rPr>
          <w:lang w:val="pl-PL"/>
        </w:rPr>
        <w:t> </w:t>
      </w:r>
      <w:r w:rsidRPr="00C852FF">
        <w:rPr>
          <w:lang w:val="pl-PL"/>
        </w:rPr>
        <w:t>przedmiotem sporu zaistniałego w 2006 r. Zauważa ponadto, że kwestie podniesione w związku ze stosowaniem art. 80 ust. 1 ustawy o rentach i</w:t>
      </w:r>
      <w:r>
        <w:rPr>
          <w:lang w:val="pl-PL"/>
        </w:rPr>
        <w:t> </w:t>
      </w:r>
      <w:r w:rsidRPr="00C852FF">
        <w:rPr>
          <w:lang w:val="pl-PL"/>
        </w:rPr>
        <w:t>emeryturach z 1997 r. zostały zbadane przez sądy krajowe w ramach jednego i tego samego postępowania. Zatem odrębne traktowanie tych kwestii do celów zastosowania art. 6 ust. 1 Konwencji byłoby sztuczne i</w:t>
      </w:r>
      <w:r>
        <w:rPr>
          <w:lang w:val="pl-PL"/>
        </w:rPr>
        <w:t> </w:t>
      </w:r>
      <w:r w:rsidRPr="00C852FF">
        <w:rPr>
          <w:lang w:val="pl-PL"/>
        </w:rPr>
        <w:t>nieuzasadnione.</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68</w:t>
      </w:r>
      <w:r w:rsidRPr="00C852FF">
        <w:rPr>
          <w:lang w:val="pl-PL"/>
        </w:rPr>
        <w:fldChar w:fldCharType="end"/>
      </w:r>
      <w:r w:rsidRPr="00C852FF">
        <w:rPr>
          <w:lang w:val="pl-PL"/>
        </w:rPr>
        <w:t>.  W świetle tak długo trwającego postępowania skargę należy uznać za dopuszczalną.</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69</w:t>
      </w:r>
      <w:r w:rsidRPr="00C852FF">
        <w:rPr>
          <w:lang w:val="pl-PL"/>
        </w:rPr>
        <w:fldChar w:fldCharType="end"/>
      </w:r>
      <w:r w:rsidRPr="00C852FF">
        <w:rPr>
          <w:lang w:val="pl-PL"/>
        </w:rPr>
        <w:t>.  Trybunał przypomina, że rozsądny charakter czasu trwania postępowania powinno się oceniać w świetle okoliczności sprawy i</w:t>
      </w:r>
      <w:r>
        <w:rPr>
          <w:lang w:val="pl-PL"/>
        </w:rPr>
        <w:t> </w:t>
      </w:r>
      <w:r w:rsidRPr="00C852FF">
        <w:rPr>
          <w:lang w:val="pl-PL"/>
        </w:rPr>
        <w:t>z</w:t>
      </w:r>
      <w:r>
        <w:rPr>
          <w:lang w:val="pl-PL"/>
        </w:rPr>
        <w:t> </w:t>
      </w:r>
      <w:r w:rsidRPr="00C852FF">
        <w:rPr>
          <w:lang w:val="pl-PL"/>
        </w:rPr>
        <w:t>uwzględnieniem następujących kryteriów: złożoności sprawy, zachowania skarżącego i właściwych organów oraz przedmiotu sporu mającego znaczenie dla skarżącego (zob. między innymi orzecznictwo w</w:t>
      </w:r>
      <w:r>
        <w:rPr>
          <w:lang w:val="pl-PL"/>
        </w:rPr>
        <w:t> </w:t>
      </w:r>
      <w:r w:rsidRPr="00C852FF">
        <w:rPr>
          <w:lang w:val="pl-PL"/>
        </w:rPr>
        <w:t xml:space="preserve">sprawie </w:t>
      </w:r>
      <w:r w:rsidRPr="00C852FF">
        <w:rPr>
          <w:i/>
          <w:iCs/>
          <w:lang w:val="pl-PL"/>
        </w:rPr>
        <w:t>Frydlender przeciwko Francji</w:t>
      </w:r>
      <w:r w:rsidRPr="00C852FF">
        <w:rPr>
          <w:lang w:val="pl-PL"/>
        </w:rPr>
        <w:t xml:space="preserve"> [WI], skarga nr 30979/96, § 43, ETPCz 2000-VII).</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70</w:t>
      </w:r>
      <w:r w:rsidRPr="00C852FF">
        <w:rPr>
          <w:lang w:val="pl-PL"/>
        </w:rPr>
        <w:fldChar w:fldCharType="end"/>
      </w:r>
      <w:r w:rsidRPr="00C852FF">
        <w:rPr>
          <w:lang w:val="pl-PL"/>
        </w:rPr>
        <w:t>.  Trybunał zauważa, że sprawa nie była nadzwyczajnie złożona, a</w:t>
      </w:r>
      <w:r>
        <w:rPr>
          <w:lang w:val="pl-PL"/>
        </w:rPr>
        <w:t> </w:t>
      </w:r>
      <w:r w:rsidRPr="00C852FF">
        <w:rPr>
          <w:lang w:val="pl-PL"/>
        </w:rPr>
        <w:t xml:space="preserve">skarżący nie powodował żadnych opóźnień. Co się tyczy przedmiotu sporu mającego znaczenie dla skarżącego Rząd stwierdził, że przedmiotem sporu była wynosząca 60 HUF (około 0,20 EUR) różnica pomiędzy tym, co zasądzono w decyzjach organów rentowych, odpowiednio, z dnia 7 lipca 2010 r. (zob. par. </w:t>
      </w:r>
      <w:r w:rsidRPr="00C852FF">
        <w:rPr>
          <w:lang w:val="pl-PL"/>
        </w:rPr>
        <w:fldChar w:fldCharType="begin"/>
      </w:r>
      <w:r w:rsidRPr="00C852FF">
        <w:rPr>
          <w:lang w:val="pl-PL"/>
        </w:rPr>
        <w:instrText xml:space="preserve"> REF payment_difference_5yrs \h </w:instrText>
      </w:r>
      <w:r w:rsidRPr="00C852FF">
        <w:rPr>
          <w:lang w:val="pl-PL"/>
        </w:rPr>
      </w:r>
      <w:r w:rsidRPr="00C852FF">
        <w:rPr>
          <w:lang w:val="pl-PL"/>
        </w:rPr>
        <w:fldChar w:fldCharType="separate"/>
      </w:r>
      <w:r w:rsidRPr="00C852FF">
        <w:rPr>
          <w:lang w:val="pl-PL"/>
        </w:rPr>
        <w:t>17</w:t>
      </w:r>
      <w:r w:rsidRPr="00C852FF">
        <w:rPr>
          <w:lang w:val="pl-PL"/>
        </w:rPr>
        <w:fldChar w:fldCharType="end"/>
      </w:r>
      <w:r w:rsidRPr="00C852FF">
        <w:rPr>
          <w:lang w:val="pl-PL"/>
        </w:rPr>
        <w:t xml:space="preserve"> powyżej) i z dnia 5 listopada 2011 r. (zob. par. </w:t>
      </w:r>
      <w:r w:rsidRPr="00C852FF">
        <w:rPr>
          <w:lang w:val="pl-PL"/>
        </w:rPr>
        <w:fldChar w:fldCharType="begin"/>
      </w:r>
      <w:r w:rsidRPr="00C852FF">
        <w:rPr>
          <w:lang w:val="pl-PL"/>
        </w:rPr>
        <w:instrText xml:space="preserve"> REF decision_05112011 \h </w:instrText>
      </w:r>
      <w:r w:rsidRPr="00C852FF">
        <w:rPr>
          <w:lang w:val="pl-PL"/>
        </w:rPr>
      </w:r>
      <w:r w:rsidRPr="00C852FF">
        <w:rPr>
          <w:lang w:val="pl-PL"/>
        </w:rPr>
        <w:fldChar w:fldCharType="separate"/>
      </w:r>
      <w:r w:rsidRPr="00C852FF">
        <w:rPr>
          <w:lang w:val="pl-PL"/>
        </w:rPr>
        <w:t>20</w:t>
      </w:r>
      <w:r w:rsidRPr="00C852FF">
        <w:rPr>
          <w:lang w:val="pl-PL"/>
        </w:rPr>
        <w:fldChar w:fldCharType="end"/>
      </w:r>
      <w:r w:rsidRPr="00C852FF">
        <w:rPr>
          <w:lang w:val="pl-PL"/>
        </w:rPr>
        <w:t xml:space="preserve"> powyżej). Zdaniem Trybunału kwota, jaką należy wziąć pod uwagę, jest raczej różnicą pomiędzy rentą początkowo ustaloną dnia 1 września 2006 r. a ostatecznie ustaloną dnia 5 listopada 2011 r., czyli miesięcznie różnica ta wynosi około 16 EUR. Pomijając kwestię płatności okresowych wypłaconych skarżącemu, różnica ta może sięgać ogółem około 1300 EUR w tym okresie. Ponadto postępowanie dotyczyło też ustalenia, czy skorygowaną rentę należy wypłacić za okres od dnia 1 maja 2004 r. do 19 marca 2005 r. W tym względzie kwota ponad 2000 EUR (około 10,5 razy miesięczna różnica pomiędzy początkową rentą skarżącego wynoszącą 250 EUR a ostatecznie określoną kwotą wynoszącą 465 EUR) niezaprzeczalnie również była przedmiotem sporu.</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71</w:t>
      </w:r>
      <w:r w:rsidRPr="00C852FF">
        <w:rPr>
          <w:lang w:val="pl-PL"/>
        </w:rPr>
        <w:fldChar w:fldCharType="end"/>
      </w:r>
      <w:r w:rsidRPr="00C852FF">
        <w:rPr>
          <w:lang w:val="pl-PL"/>
        </w:rPr>
        <w:t xml:space="preserve">.  Trybunał już orzekł, że spory dotyczące rent wymagają zachowania należytej staranności (zob. między innymi orzecznictwo w sprawie </w:t>
      </w:r>
      <w:r w:rsidRPr="00C852FF">
        <w:rPr>
          <w:i/>
          <w:iCs/>
          <w:lang w:val="pl-PL"/>
        </w:rPr>
        <w:t>Pejčić przeciwko Serbii,</w:t>
      </w:r>
      <w:r w:rsidRPr="00C852FF">
        <w:rPr>
          <w:lang w:val="pl-PL"/>
        </w:rPr>
        <w:t xml:space="preserve"> skarga nr 34799/07</w:t>
      </w:r>
      <w:r w:rsidRPr="00C852FF">
        <w:rPr>
          <w:snapToGrid w:val="0"/>
          <w:lang w:val="pl-PL"/>
        </w:rPr>
        <w:t>, § 70, 8 października 2013 r.). W tych okolicznościach, p</w:t>
      </w:r>
      <w:r w:rsidRPr="00C852FF">
        <w:rPr>
          <w:lang w:val="pl-PL"/>
        </w:rPr>
        <w:t xml:space="preserve">o zbadaniu całości przedłożonych Trybunałowi materiałów i uwzględnieniu orzecznictwa na ten temat, Trybunał uznaje, </w:t>
      </w:r>
      <w:r>
        <w:rPr>
          <w:lang w:val="pl-PL"/>
        </w:rPr>
        <w:t>ż</w:t>
      </w:r>
      <w:r w:rsidRPr="00C852FF">
        <w:rPr>
          <w:lang w:val="pl-PL"/>
        </w:rPr>
        <w:t xml:space="preserve">e czas trwania postępowania był nadmierny i nie spełniał wymogu „rozsądnego terminu” (zob. </w:t>
      </w:r>
      <w:r w:rsidRPr="00C852FF">
        <w:rPr>
          <w:i/>
          <w:iCs/>
          <w:lang w:val="pl-PL"/>
        </w:rPr>
        <w:t>mutatis mutandis</w:t>
      </w:r>
      <w:r w:rsidRPr="00C852FF">
        <w:rPr>
          <w:lang w:val="pl-PL"/>
        </w:rPr>
        <w:t xml:space="preserve">, </w:t>
      </w:r>
      <w:r w:rsidRPr="00C852FF">
        <w:rPr>
          <w:i/>
          <w:iCs/>
          <w:lang w:val="pl-PL"/>
        </w:rPr>
        <w:t>Gazsó przeciwko Węgrom</w:t>
      </w:r>
      <w:r w:rsidRPr="00C852FF">
        <w:rPr>
          <w:lang w:val="pl-PL"/>
        </w:rPr>
        <w:t>, skarga nr 48322/12, § 17, 16 lipca 2015 r.).</w:t>
      </w:r>
    </w:p>
    <w:p w:rsidR="004F19AD" w:rsidRPr="00C852FF" w:rsidRDefault="004F19AD" w:rsidP="006C2E98">
      <w:pPr>
        <w:pStyle w:val="ECHRPara"/>
        <w:rPr>
          <w:lang w:val="pl-PL"/>
        </w:rPr>
      </w:pPr>
      <w:r w:rsidRPr="00C852FF">
        <w:rPr>
          <w:lang w:val="pl-PL"/>
        </w:rPr>
        <w:t>W związku z tym nastąpiło naruszenie art. 6 ust. 1 Konwencji ze względu na czas trwania postępowania.</w:t>
      </w:r>
    </w:p>
    <w:p w:rsidR="004F19AD" w:rsidRPr="00C852FF" w:rsidRDefault="004F19AD" w:rsidP="006C2E98">
      <w:pPr>
        <w:pStyle w:val="ECHRHeading1"/>
        <w:rPr>
          <w:lang w:val="pl-PL"/>
        </w:rPr>
      </w:pPr>
      <w:r w:rsidRPr="00C852FF">
        <w:rPr>
          <w:lang w:val="pl-PL"/>
        </w:rPr>
        <w:t>III. STOSOWANIE ART. 41 KONWENCJI</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72</w:t>
      </w:r>
      <w:r w:rsidRPr="00C852FF">
        <w:rPr>
          <w:lang w:val="pl-PL"/>
        </w:rPr>
        <w:fldChar w:fldCharType="end"/>
      </w:r>
      <w:r w:rsidRPr="00C852FF">
        <w:rPr>
          <w:lang w:val="pl-PL"/>
        </w:rPr>
        <w:t>.  Artykuł 41 Konwencji przewiduje:</w:t>
      </w:r>
    </w:p>
    <w:p w:rsidR="004F19AD" w:rsidRPr="00C852FF" w:rsidRDefault="004F19AD" w:rsidP="006C2E98">
      <w:pPr>
        <w:pStyle w:val="ECHRParaQuote"/>
        <w:keepNext/>
        <w:keepLines/>
        <w:rPr>
          <w:lang w:val="pl-PL"/>
        </w:rPr>
      </w:pPr>
      <w:r w:rsidRPr="00C852FF">
        <w:rPr>
          <w:lang w:val="pl-PL"/>
        </w:rPr>
        <w:t>„Jeżeli Trybunał stwierdzi, że nastąpiło naruszenie Konwencji lub jej protokołów, oraz jeżeli prawo wewnętrzne zainteresowanej Wysokiej Układającej się Strony pozwala tylko na częściowe usunięcie konsekwencji tego naruszenia, Trybunał orzeka, gdy zachodzi taka potrzeba, o przyznaniu słusznego zadośćuczynienia pokrzywdzonej stronie”.</w:t>
      </w:r>
    </w:p>
    <w:p w:rsidR="004F19AD" w:rsidRPr="00C852FF" w:rsidRDefault="004F19AD" w:rsidP="006C2E98">
      <w:pPr>
        <w:pStyle w:val="ECHRHeading2"/>
        <w:rPr>
          <w:lang w:val="pl-PL"/>
        </w:rPr>
      </w:pPr>
      <w:r w:rsidRPr="00C852FF">
        <w:rPr>
          <w:lang w:val="pl-PL"/>
        </w:rPr>
        <w:t>A. Zadośćuczynienie</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73</w:t>
      </w:r>
      <w:r w:rsidRPr="00C852FF">
        <w:rPr>
          <w:lang w:val="pl-PL"/>
        </w:rPr>
        <w:fldChar w:fldCharType="end"/>
      </w:r>
      <w:r w:rsidRPr="00C852FF">
        <w:rPr>
          <w:lang w:val="pl-PL"/>
        </w:rPr>
        <w:t>.  Skarżący zażądał kwoty 15 000 EUR tytułem zadośćuczynienia za szkodę niemajątkową.</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74</w:t>
      </w:r>
      <w:r w:rsidRPr="00C852FF">
        <w:rPr>
          <w:lang w:val="pl-PL"/>
        </w:rPr>
        <w:fldChar w:fldCharType="end"/>
      </w:r>
      <w:r w:rsidRPr="00C852FF">
        <w:rPr>
          <w:lang w:val="pl-PL"/>
        </w:rPr>
        <w:t>.  Rząd uznaje to roszczenie za nadmierne.</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75</w:t>
      </w:r>
      <w:r w:rsidRPr="00C852FF">
        <w:rPr>
          <w:lang w:val="pl-PL"/>
        </w:rPr>
        <w:fldChar w:fldCharType="end"/>
      </w:r>
      <w:r w:rsidRPr="00C852FF">
        <w:rPr>
          <w:lang w:val="pl-PL"/>
        </w:rPr>
        <w:t>.  Uwzględniając swoje orzecznictwo i praktykę i podejmując decyzję w oparciu o zasadę słuszności, Trybunał przyznaje skarżącemu kwotę 2000 EUR zadośćuczynienia za szkodę niemajątkową.</w:t>
      </w:r>
    </w:p>
    <w:p w:rsidR="004F19AD" w:rsidRPr="00C852FF" w:rsidRDefault="004F19AD" w:rsidP="006C2E98">
      <w:pPr>
        <w:pStyle w:val="ECHRHeading2"/>
        <w:rPr>
          <w:lang w:val="pl-PL"/>
        </w:rPr>
      </w:pPr>
      <w:r w:rsidRPr="00C852FF">
        <w:rPr>
          <w:lang w:val="pl-PL"/>
        </w:rPr>
        <w:t>B.  Koszty i wydatki</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76</w:t>
      </w:r>
      <w:r w:rsidRPr="00C852FF">
        <w:rPr>
          <w:lang w:val="pl-PL"/>
        </w:rPr>
        <w:fldChar w:fldCharType="end"/>
      </w:r>
      <w:r w:rsidRPr="00C852FF">
        <w:rPr>
          <w:lang w:val="pl-PL"/>
        </w:rPr>
        <w:t>.  Skarżący domagał się również kwoty 200 EUR tytułem kosztów i</w:t>
      </w:r>
      <w:r>
        <w:rPr>
          <w:lang w:val="pl-PL"/>
        </w:rPr>
        <w:t> </w:t>
      </w:r>
      <w:r w:rsidRPr="00C852FF">
        <w:rPr>
          <w:lang w:val="pl-PL"/>
        </w:rPr>
        <w:t>wydatków poniesionych przed sądami krajowymi oraz 8610 EUR tytułem kosztów i wydatków poniesionych przed Trybunałem. Ta druga kwota odpowiada pięćdziesięciu trzem godzinom usług prawnych, po stawce godzinowej wynoszącej 150 EUR, oraz dwunastu godzinom pracy asystentów prawnych, po stawce godzinowej wynoszącej 50 EUR, do naliczenia przez jego prawnika.</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77</w:t>
      </w:r>
      <w:r w:rsidRPr="00C852FF">
        <w:rPr>
          <w:lang w:val="pl-PL"/>
        </w:rPr>
        <w:fldChar w:fldCharType="end"/>
      </w:r>
      <w:r w:rsidRPr="00C852FF">
        <w:rPr>
          <w:lang w:val="pl-PL"/>
        </w:rPr>
        <w:t>.  Rząd uznał te roszczenia za nadmierne.</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78</w:t>
      </w:r>
      <w:r w:rsidRPr="00C852FF">
        <w:rPr>
          <w:lang w:val="pl-PL"/>
        </w:rPr>
        <w:fldChar w:fldCharType="end"/>
      </w:r>
      <w:r w:rsidRPr="00C852FF">
        <w:rPr>
          <w:lang w:val="pl-PL"/>
        </w:rPr>
        <w:t>.  Zgodnie z orzecznictwem Trybunału skarżącemu przysługuje prawo do zwrotu poniesionych kosztów i wydatków wówczas, gdy wykazał, że były one rzeczywiście i koniecznie poniesione oraz uzasadnione co do wysokości. W niniejszej sprawie, mając na uwadze posiadane dokumenty oraz powyższe kryteria, Trybunał uznaje za uzasadnione zasądzić kwotę 500 EUR na pokrycie kosztów wszelkiego rodzaju.</w:t>
      </w:r>
    </w:p>
    <w:p w:rsidR="004F19AD" w:rsidRPr="00C852FF" w:rsidRDefault="004F19AD" w:rsidP="006C2E98">
      <w:pPr>
        <w:pStyle w:val="ECHRHeading2"/>
        <w:rPr>
          <w:lang w:val="pl-PL"/>
        </w:rPr>
      </w:pPr>
      <w:r w:rsidRPr="00C852FF">
        <w:rPr>
          <w:lang w:val="pl-PL"/>
        </w:rPr>
        <w:t>C. Odsetki za zwłokę</w:t>
      </w:r>
    </w:p>
    <w:p w:rsidR="004F19AD" w:rsidRPr="00C852FF" w:rsidRDefault="004F19AD" w:rsidP="006C2E98">
      <w:pPr>
        <w:pStyle w:val="ECHRPara"/>
        <w:rPr>
          <w:lang w:val="pl-PL"/>
        </w:rPr>
      </w:pPr>
      <w:r w:rsidRPr="00C852FF">
        <w:rPr>
          <w:lang w:val="pl-PL"/>
        </w:rPr>
        <w:fldChar w:fldCharType="begin"/>
      </w:r>
      <w:r w:rsidRPr="00C852FF">
        <w:rPr>
          <w:lang w:val="pl-PL"/>
        </w:rPr>
        <w:instrText xml:space="preserve"> SEQ level0 \*arabic </w:instrText>
      </w:r>
      <w:r w:rsidRPr="00C852FF">
        <w:rPr>
          <w:lang w:val="pl-PL"/>
        </w:rPr>
        <w:fldChar w:fldCharType="separate"/>
      </w:r>
      <w:r w:rsidRPr="00C852FF">
        <w:rPr>
          <w:lang w:val="pl-PL"/>
        </w:rPr>
        <w:t>79</w:t>
      </w:r>
      <w:r w:rsidRPr="00C852FF">
        <w:rPr>
          <w:lang w:val="pl-PL"/>
        </w:rPr>
        <w:fldChar w:fldCharType="end"/>
      </w:r>
      <w:r w:rsidRPr="00C852FF">
        <w:rPr>
          <w:lang w:val="pl-PL"/>
        </w:rPr>
        <w:t>.  Trybunał za słuszne uznaje wyznaczenie wysokości odsetek za zwłokę na podstawie marginalnej stopy procentowej Europejskiego Banku Centralnego powiększonej o trzy punkty procentowe.</w:t>
      </w:r>
    </w:p>
    <w:p w:rsidR="004F19AD" w:rsidRPr="00C852FF" w:rsidRDefault="004F19AD" w:rsidP="006C2E98">
      <w:pPr>
        <w:pStyle w:val="ECHRTitle1"/>
        <w:rPr>
          <w:lang w:val="pl-PL"/>
        </w:rPr>
      </w:pPr>
      <w:r w:rsidRPr="00C852FF">
        <w:rPr>
          <w:lang w:val="pl-PL"/>
        </w:rPr>
        <w:t>ZWAŻYWSZY NA POWYŻSZE TRYBUNAŁ</w:t>
      </w:r>
    </w:p>
    <w:p w:rsidR="004F19AD" w:rsidRPr="00C852FF" w:rsidRDefault="004F19AD" w:rsidP="006C2E98">
      <w:pPr>
        <w:pStyle w:val="JuList"/>
        <w:rPr>
          <w:lang w:val="pl-PL"/>
        </w:rPr>
      </w:pPr>
      <w:r w:rsidRPr="00C852FF">
        <w:rPr>
          <w:lang w:val="pl-PL"/>
        </w:rPr>
        <w:t>1.  </w:t>
      </w:r>
      <w:r>
        <w:rPr>
          <w:i/>
          <w:iCs/>
          <w:lang w:val="pl-PL"/>
        </w:rPr>
        <w:t>u</w:t>
      </w:r>
      <w:r w:rsidRPr="00C852FF">
        <w:rPr>
          <w:i/>
          <w:iCs/>
          <w:lang w:val="pl-PL"/>
        </w:rPr>
        <w:t>znaje,</w:t>
      </w:r>
      <w:r w:rsidRPr="00C852FF">
        <w:rPr>
          <w:lang w:val="pl-PL"/>
        </w:rPr>
        <w:t xml:space="preserve"> jednogłośnie, skargę na podstawie art. 6 ust. 1 Konwencji dotyczącą czasu trwania postępowania za dopuszczalną;</w:t>
      </w:r>
    </w:p>
    <w:p w:rsidR="004F19AD" w:rsidRPr="00C852FF" w:rsidRDefault="004F19AD" w:rsidP="006C2E98">
      <w:pPr>
        <w:pStyle w:val="JuList"/>
        <w:rPr>
          <w:lang w:val="pl-PL"/>
        </w:rPr>
      </w:pPr>
    </w:p>
    <w:p w:rsidR="004F19AD" w:rsidRPr="00C852FF" w:rsidRDefault="004F19AD" w:rsidP="006C2E98">
      <w:pPr>
        <w:pStyle w:val="JuList"/>
        <w:rPr>
          <w:lang w:val="pl-PL"/>
        </w:rPr>
      </w:pPr>
      <w:r w:rsidRPr="00C852FF">
        <w:rPr>
          <w:lang w:val="pl-PL"/>
        </w:rPr>
        <w:t>2.  </w:t>
      </w:r>
      <w:r>
        <w:rPr>
          <w:i/>
          <w:iCs/>
          <w:lang w:val="pl-PL"/>
        </w:rPr>
        <w:t>u</w:t>
      </w:r>
      <w:r w:rsidRPr="00C852FF">
        <w:rPr>
          <w:i/>
          <w:iCs/>
          <w:lang w:val="pl-PL"/>
        </w:rPr>
        <w:t>znaje,</w:t>
      </w:r>
      <w:r w:rsidRPr="00C852FF">
        <w:rPr>
          <w:lang w:val="pl-PL"/>
        </w:rPr>
        <w:t xml:space="preserve"> pięcioma głosami do dwóch, skargę na podstawie art. 6 ust. 1 Konwencji dotyczącą domniemanego braku dostatecznego uzasadnienia w odniesieniu do potencjalnego skierowania wniosku o wydanie orzeczenia w trybie prejudycjalnym, za niedopuszczalną;</w:t>
      </w:r>
    </w:p>
    <w:p w:rsidR="004F19AD" w:rsidRPr="00C852FF" w:rsidRDefault="004F19AD" w:rsidP="006C2E98">
      <w:pPr>
        <w:pStyle w:val="JuList"/>
        <w:rPr>
          <w:lang w:val="pl-PL"/>
        </w:rPr>
      </w:pPr>
    </w:p>
    <w:p w:rsidR="004F19AD" w:rsidRPr="00C852FF" w:rsidRDefault="004F19AD" w:rsidP="006C2E98">
      <w:pPr>
        <w:pStyle w:val="JuList"/>
        <w:rPr>
          <w:lang w:val="pl-PL"/>
        </w:rPr>
      </w:pPr>
      <w:r w:rsidRPr="00C852FF">
        <w:rPr>
          <w:lang w:val="pl-PL"/>
        </w:rPr>
        <w:t>3.  </w:t>
      </w:r>
      <w:r>
        <w:rPr>
          <w:i/>
          <w:iCs/>
          <w:lang w:val="pl-PL"/>
        </w:rPr>
        <w:t>u</w:t>
      </w:r>
      <w:r w:rsidRPr="00C852FF">
        <w:rPr>
          <w:i/>
          <w:iCs/>
          <w:lang w:val="pl-PL"/>
        </w:rPr>
        <w:t>znaje</w:t>
      </w:r>
      <w:r w:rsidRPr="00C852FF">
        <w:rPr>
          <w:lang w:val="pl-PL"/>
        </w:rPr>
        <w:t>, jednogłośnie, pozostałą część skargi na podstawie art. 6 ust. 1 Konwencji dotyczącą rzetelności postępowania za niedopuszczalną;</w:t>
      </w:r>
    </w:p>
    <w:p w:rsidR="004F19AD" w:rsidRPr="00C852FF" w:rsidRDefault="004F19AD" w:rsidP="006C2E98">
      <w:pPr>
        <w:pStyle w:val="JuList"/>
        <w:rPr>
          <w:lang w:val="pl-PL"/>
        </w:rPr>
      </w:pPr>
    </w:p>
    <w:p w:rsidR="004F19AD" w:rsidRPr="00C852FF" w:rsidRDefault="004F19AD" w:rsidP="006C2E98">
      <w:pPr>
        <w:pStyle w:val="JuList"/>
        <w:rPr>
          <w:lang w:val="pl-PL"/>
        </w:rPr>
      </w:pPr>
      <w:r w:rsidRPr="00C852FF">
        <w:rPr>
          <w:lang w:val="pl-PL"/>
        </w:rPr>
        <w:t>4.  </w:t>
      </w:r>
      <w:r>
        <w:rPr>
          <w:i/>
          <w:iCs/>
          <w:lang w:val="pl-PL"/>
        </w:rPr>
        <w:t>o</w:t>
      </w:r>
      <w:r w:rsidRPr="00C852FF">
        <w:rPr>
          <w:i/>
          <w:iCs/>
          <w:lang w:val="pl-PL"/>
        </w:rPr>
        <w:t>rzeka</w:t>
      </w:r>
      <w:r w:rsidRPr="00C852FF">
        <w:rPr>
          <w:lang w:val="pl-PL"/>
        </w:rPr>
        <w:t xml:space="preserve"> jednogłośnie,</w:t>
      </w:r>
      <w:r w:rsidRPr="00C852FF">
        <w:rPr>
          <w:color w:val="000000"/>
          <w:lang w:val="pl-PL"/>
        </w:rPr>
        <w:t xml:space="preserve"> </w:t>
      </w:r>
      <w:r w:rsidRPr="00C852FF">
        <w:rPr>
          <w:lang w:val="pl-PL"/>
        </w:rPr>
        <w:t>że doszło do naruszenia art. 6 ust. 1 Konwencji ze względu na czas trwania postępowania;</w:t>
      </w:r>
    </w:p>
    <w:p w:rsidR="004F19AD" w:rsidRPr="00C852FF" w:rsidRDefault="004F19AD" w:rsidP="006C2E98">
      <w:pPr>
        <w:pStyle w:val="JuList"/>
        <w:rPr>
          <w:lang w:val="pl-PL"/>
        </w:rPr>
      </w:pPr>
    </w:p>
    <w:p w:rsidR="004F19AD" w:rsidRPr="00C852FF" w:rsidRDefault="004F19AD" w:rsidP="006C2E98">
      <w:pPr>
        <w:pStyle w:val="JuList"/>
        <w:rPr>
          <w:lang w:val="pl-PL"/>
        </w:rPr>
      </w:pPr>
      <w:r w:rsidRPr="00C852FF">
        <w:rPr>
          <w:lang w:val="pl-PL"/>
        </w:rPr>
        <w:t>5.  </w:t>
      </w:r>
      <w:r>
        <w:rPr>
          <w:i/>
          <w:iCs/>
          <w:lang w:val="pl-PL"/>
        </w:rPr>
        <w:t>o</w:t>
      </w:r>
      <w:r w:rsidRPr="00C852FF">
        <w:rPr>
          <w:i/>
          <w:iCs/>
          <w:lang w:val="pl-PL"/>
        </w:rPr>
        <w:t>rzeka</w:t>
      </w:r>
      <w:r w:rsidRPr="00C852FF">
        <w:rPr>
          <w:lang w:val="pl-PL"/>
        </w:rPr>
        <w:t>, jednogłośnie,</w:t>
      </w:r>
    </w:p>
    <w:p w:rsidR="004F19AD" w:rsidRPr="00C852FF" w:rsidRDefault="004F19AD" w:rsidP="006C2E98">
      <w:pPr>
        <w:pStyle w:val="JuLista"/>
        <w:rPr>
          <w:lang w:val="pl-PL"/>
        </w:rPr>
      </w:pPr>
      <w:r w:rsidRPr="00C852FF">
        <w:rPr>
          <w:lang w:val="pl-PL"/>
        </w:rPr>
        <w:t>a)  że pozwane państwo winno, w terminie trzech miesięcy od daty, w</w:t>
      </w:r>
      <w:r>
        <w:rPr>
          <w:lang w:val="pl-PL"/>
        </w:rPr>
        <w:t> </w:t>
      </w:r>
      <w:r w:rsidRPr="00C852FF">
        <w:rPr>
          <w:lang w:val="pl-PL"/>
        </w:rPr>
        <w:t xml:space="preserve">której niniejszy wyrok stanie się ostateczny zgodnie z art. 44 ust. 2 Konwencji, uiścić na rzecz skarżącego następujące kwoty, przeliczone na </w:t>
      </w:r>
      <w:r w:rsidRPr="00C852FF">
        <w:rPr>
          <w:color w:val="000000"/>
          <w:lang w:val="pl-PL"/>
        </w:rPr>
        <w:t>walutę pozwanego państwa</w:t>
      </w:r>
      <w:r w:rsidRPr="00C852FF">
        <w:rPr>
          <w:lang w:val="pl-PL"/>
        </w:rPr>
        <w:t xml:space="preserve"> według kursu obowiązującego w dniu płatności:</w:t>
      </w:r>
    </w:p>
    <w:p w:rsidR="004F19AD" w:rsidRPr="00C852FF" w:rsidRDefault="004F19AD" w:rsidP="006C2E98">
      <w:pPr>
        <w:pStyle w:val="JuListi"/>
        <w:rPr>
          <w:lang w:val="pl-PL"/>
        </w:rPr>
      </w:pPr>
      <w:r w:rsidRPr="00C852FF">
        <w:rPr>
          <w:lang w:val="pl-PL"/>
        </w:rPr>
        <w:t>(i) 2000 EUR (dwa tysiące euro), plus wszelkie należne podatki, tytułem zadośćuczynienia za szkodę majątkową i niemajątkową;</w:t>
      </w:r>
    </w:p>
    <w:p w:rsidR="004F19AD" w:rsidRPr="00C852FF" w:rsidRDefault="004F19AD" w:rsidP="006C2E98">
      <w:pPr>
        <w:pStyle w:val="JuListi"/>
        <w:rPr>
          <w:lang w:val="pl-PL"/>
        </w:rPr>
      </w:pPr>
      <w:r w:rsidRPr="00C852FF">
        <w:rPr>
          <w:lang w:val="pl-PL"/>
        </w:rPr>
        <w:t>(ii) 500 EUR (pięćset euro), plus wszelkie należne od skarżącego podatki, tytułem poniesionych kosztów i wydatków;</w:t>
      </w:r>
    </w:p>
    <w:p w:rsidR="004F19AD" w:rsidRPr="00C852FF" w:rsidRDefault="004F19AD" w:rsidP="006C2E98">
      <w:pPr>
        <w:pStyle w:val="JuLista"/>
        <w:rPr>
          <w:lang w:val="pl-PL"/>
        </w:rPr>
      </w:pPr>
      <w:r w:rsidRPr="00C852FF">
        <w:rPr>
          <w:lang w:val="pl-PL"/>
        </w:rPr>
        <w:t>b) że od upływu wyżej wskazanego terminu trzech miesięcy aż do momentu uregulowania należności, należne będą odsetki zwykłe od określonych powyżej kwot, naliczone według stopy równej marginalnej stopie procentowej Europejskiego Banku Centralnego obowiązującej w</w:t>
      </w:r>
      <w:r>
        <w:rPr>
          <w:lang w:val="pl-PL"/>
        </w:rPr>
        <w:t> </w:t>
      </w:r>
      <w:r w:rsidRPr="00C852FF">
        <w:rPr>
          <w:lang w:val="pl-PL"/>
        </w:rPr>
        <w:t>tym okresie, powiększonej o trzy punkty procentowe;</w:t>
      </w:r>
    </w:p>
    <w:p w:rsidR="004F19AD" w:rsidRPr="00C852FF" w:rsidRDefault="004F19AD" w:rsidP="006C2E98">
      <w:pPr>
        <w:pStyle w:val="JuList"/>
        <w:rPr>
          <w:lang w:val="pl-PL"/>
        </w:rPr>
      </w:pPr>
    </w:p>
    <w:p w:rsidR="004F19AD" w:rsidRPr="00C852FF" w:rsidRDefault="004F19AD" w:rsidP="006C2E98">
      <w:pPr>
        <w:pStyle w:val="JuList"/>
        <w:rPr>
          <w:lang w:val="pl-PL"/>
        </w:rPr>
      </w:pPr>
      <w:r w:rsidRPr="00C852FF">
        <w:rPr>
          <w:lang w:val="pl-PL"/>
        </w:rPr>
        <w:t>6.  </w:t>
      </w:r>
      <w:r>
        <w:rPr>
          <w:i/>
          <w:iCs/>
          <w:lang w:val="pl-PL"/>
        </w:rPr>
        <w:t>o</w:t>
      </w:r>
      <w:r w:rsidRPr="00C852FF">
        <w:rPr>
          <w:i/>
          <w:iCs/>
          <w:lang w:val="pl-PL"/>
        </w:rPr>
        <w:t>ddala</w:t>
      </w:r>
      <w:r w:rsidRPr="00C852FF">
        <w:rPr>
          <w:lang w:val="pl-PL"/>
        </w:rPr>
        <w:t xml:space="preserve"> jednogłośnie</w:t>
      </w:r>
      <w:r w:rsidRPr="00C852FF">
        <w:rPr>
          <w:color w:val="000000"/>
          <w:lang w:val="pl-PL"/>
        </w:rPr>
        <w:t xml:space="preserve"> </w:t>
      </w:r>
      <w:r w:rsidRPr="00C852FF">
        <w:rPr>
          <w:lang w:val="pl-PL"/>
        </w:rPr>
        <w:t>pozostałą część roszczenia skarżącego dotyczącego słusznego zadośćuczynienia.</w:t>
      </w:r>
    </w:p>
    <w:p w:rsidR="004F19AD" w:rsidRPr="00C852FF" w:rsidRDefault="004F19AD" w:rsidP="006C2E98">
      <w:pPr>
        <w:pStyle w:val="JuParaLast"/>
        <w:rPr>
          <w:lang w:val="pl-PL"/>
        </w:rPr>
      </w:pPr>
      <w:r w:rsidRPr="00C852FF">
        <w:rPr>
          <w:lang w:val="pl-PL"/>
        </w:rPr>
        <w:t>Sporządzono w języku angielskim i obwieszczono pisemnie dnia 28 sierpnia 2018 r. zgodnie z Regułą 77 §§ 2 i 3 Regulaminu Trybunału.</w:t>
      </w:r>
    </w:p>
    <w:p w:rsidR="004F19AD" w:rsidRPr="00C852FF" w:rsidRDefault="004F19AD" w:rsidP="006C2E98">
      <w:pPr>
        <w:pStyle w:val="JuSigned"/>
        <w:rPr>
          <w:lang w:val="pl-PL"/>
        </w:rPr>
      </w:pPr>
      <w:r w:rsidRPr="00C852FF">
        <w:rPr>
          <w:lang w:val="pl-PL"/>
        </w:rPr>
        <w:tab/>
        <w:t>Marialena Tsirli</w:t>
      </w:r>
      <w:r w:rsidRPr="00C852FF">
        <w:rPr>
          <w:lang w:val="pl-PL"/>
        </w:rPr>
        <w:tab/>
        <w:t>Vincent A. De Gaetano</w:t>
      </w:r>
      <w:r w:rsidRPr="00C852FF">
        <w:rPr>
          <w:lang w:val="pl-PL"/>
        </w:rPr>
        <w:br/>
      </w:r>
      <w:r w:rsidRPr="00C852FF">
        <w:rPr>
          <w:lang w:val="pl-PL"/>
        </w:rPr>
        <w:tab/>
        <w:t>Kanclerz</w:t>
      </w:r>
      <w:r w:rsidRPr="00C852FF">
        <w:rPr>
          <w:lang w:val="pl-PL"/>
        </w:rPr>
        <w:tab/>
        <w:t>Przewodniczący</w:t>
      </w:r>
    </w:p>
    <w:p w:rsidR="004F19AD" w:rsidRPr="00C852FF" w:rsidRDefault="004F19AD" w:rsidP="006C2E98">
      <w:pPr>
        <w:pStyle w:val="JuParaLast"/>
        <w:rPr>
          <w:lang w:val="pl-PL"/>
        </w:rPr>
      </w:pPr>
    </w:p>
    <w:p w:rsidR="004F19AD" w:rsidRPr="00C852FF" w:rsidRDefault="004F19AD" w:rsidP="006C2E98">
      <w:pPr>
        <w:pStyle w:val="JuParaLast"/>
        <w:rPr>
          <w:lang w:val="pl-PL"/>
        </w:rPr>
      </w:pPr>
      <w:r w:rsidRPr="00C852FF">
        <w:rPr>
          <w:lang w:val="pl-PL"/>
        </w:rPr>
        <w:t>Zgodnie z art. 45 ust. 2 Konwencji i Regułą 74 § 2 Regulaminu Trybunału do wyroku załączono wspólną opinię odrębną sędziów Sajó i</w:t>
      </w:r>
      <w:r>
        <w:rPr>
          <w:lang w:val="pl-PL"/>
        </w:rPr>
        <w:t> </w:t>
      </w:r>
      <w:r w:rsidRPr="00C852FF">
        <w:rPr>
          <w:lang w:val="pl-PL"/>
        </w:rPr>
        <w:t>Pinto de Albuqurque.</w:t>
      </w:r>
    </w:p>
    <w:p w:rsidR="004F19AD" w:rsidRPr="00C852FF" w:rsidRDefault="004F19AD" w:rsidP="006C2E98">
      <w:pPr>
        <w:pStyle w:val="JuInitialled"/>
        <w:rPr>
          <w:lang w:val="pl-PL"/>
        </w:rPr>
      </w:pPr>
      <w:r w:rsidRPr="00C852FF">
        <w:rPr>
          <w:lang w:val="pl-PL"/>
        </w:rPr>
        <w:t>V.D.G.</w:t>
      </w:r>
      <w:r w:rsidRPr="00C852FF">
        <w:rPr>
          <w:lang w:val="pl-PL"/>
        </w:rPr>
        <w:br/>
        <w:t>M.T.</w:t>
      </w:r>
    </w:p>
    <w:p w:rsidR="004F19AD" w:rsidRPr="00C852FF" w:rsidRDefault="004F19AD" w:rsidP="006C2E98">
      <w:pPr>
        <w:pStyle w:val="JuInitialled"/>
        <w:rPr>
          <w:lang w:val="pl-PL"/>
        </w:rPr>
        <w:sectPr w:rsidR="004F19AD" w:rsidRPr="00C852FF">
          <w:headerReference w:type="even" r:id="rId10"/>
          <w:headerReference w:type="default" r:id="rId11"/>
          <w:footnotePr>
            <w:numRestart w:val="eachPage"/>
          </w:footnotePr>
          <w:pgSz w:w="11906" w:h="16838"/>
          <w:pgMar w:top="2274" w:right="2274" w:bottom="2274" w:left="2274" w:header="1701" w:footer="708" w:gutter="0"/>
          <w:cols w:space="708"/>
        </w:sectPr>
      </w:pPr>
    </w:p>
    <w:p w:rsidR="004F19AD" w:rsidRPr="00C852FF" w:rsidRDefault="004F19AD" w:rsidP="006C2E98">
      <w:pPr>
        <w:pStyle w:val="ECHRTitleCentre1"/>
        <w:rPr>
          <w:rFonts w:eastAsia="Times New Roman"/>
          <w:lang w:val="pl-PL"/>
        </w:rPr>
      </w:pPr>
      <w:r w:rsidRPr="00C852FF">
        <w:rPr>
          <w:rFonts w:eastAsia="Times New Roman"/>
          <w:lang w:val="pl-PL"/>
        </w:rPr>
        <w:t xml:space="preserve">WSPÓLNA OPINIA ODRĘBNA SĘDZIÓW SAJÓ </w:t>
      </w:r>
      <w:r w:rsidRPr="00C852FF">
        <w:rPr>
          <w:rFonts w:eastAsia="Times New Roman"/>
          <w:lang w:val="pl-PL"/>
        </w:rPr>
        <w:br/>
        <w:t>I PINTO DE ALBUQUERQUE</w:t>
      </w:r>
    </w:p>
    <w:p w:rsidR="004F19AD" w:rsidRPr="00C852FF" w:rsidRDefault="004F19AD" w:rsidP="006C2E98">
      <w:pPr>
        <w:pStyle w:val="OpiPara"/>
        <w:rPr>
          <w:rFonts w:eastAsia="Times New Roman"/>
          <w:lang w:val="pl-PL"/>
        </w:rPr>
      </w:pPr>
      <w:r w:rsidRPr="00C852FF">
        <w:rPr>
          <w:rFonts w:eastAsia="Times New Roman"/>
          <w:lang w:val="pl-PL"/>
        </w:rPr>
        <w:t xml:space="preserve">1.  Zagłosowaliśmy z większością w odniesieniu do ustalenia, że doszło do naruszenia art. 6 ust. 1 Konwencji (czas trwania postępowania). Zgadzamy się także z większością, </w:t>
      </w:r>
      <w:r>
        <w:rPr>
          <w:rFonts w:eastAsia="Times New Roman"/>
          <w:lang w:val="pl-PL"/>
        </w:rPr>
        <w:t>ż</w:t>
      </w:r>
      <w:r w:rsidRPr="00C852FF">
        <w:rPr>
          <w:rFonts w:eastAsia="Times New Roman"/>
          <w:lang w:val="pl-PL"/>
        </w:rPr>
        <w:t xml:space="preserve">e skarga zarzucająca błędną wykładnię przepisów prawa UE, jest niedopuszczalna </w:t>
      </w:r>
      <w:r w:rsidRPr="00C852FF">
        <w:rPr>
          <w:rFonts w:eastAsia="Times New Roman"/>
          <w:i/>
          <w:iCs/>
          <w:lang w:val="pl-PL"/>
        </w:rPr>
        <w:t xml:space="preserve">ratione materiae. </w:t>
      </w:r>
      <w:r w:rsidRPr="00C852FF">
        <w:rPr>
          <w:rFonts w:eastAsia="Times New Roman"/>
          <w:lang w:val="pl-PL"/>
        </w:rPr>
        <w:t>Jednak w</w:t>
      </w:r>
      <w:r>
        <w:rPr>
          <w:rFonts w:eastAsia="Times New Roman"/>
          <w:lang w:val="pl-PL"/>
        </w:rPr>
        <w:t> </w:t>
      </w:r>
      <w:r w:rsidRPr="00C852FF">
        <w:rPr>
          <w:rFonts w:eastAsia="Times New Roman"/>
          <w:lang w:val="pl-PL"/>
        </w:rPr>
        <w:t>przeciwieństwie do większości uznajemy, że skarga dotycząca braku uzasadnienia w odniesieniu do konieczności skierowania wniosku o</w:t>
      </w:r>
      <w:r>
        <w:rPr>
          <w:rFonts w:eastAsia="Times New Roman"/>
          <w:lang w:val="pl-PL"/>
        </w:rPr>
        <w:t> </w:t>
      </w:r>
      <w:r w:rsidRPr="00C852FF">
        <w:rPr>
          <w:rFonts w:eastAsia="Times New Roman"/>
          <w:lang w:val="pl-PL"/>
        </w:rPr>
        <w:t>wydanie orzeczenia w trybie prejudycjalnym, jest dopuszczalna; ponadto uznajemy, że doszło do naruszenia art. 6.</w:t>
      </w:r>
    </w:p>
    <w:p w:rsidR="004F19AD" w:rsidRPr="00C852FF" w:rsidRDefault="004F19AD" w:rsidP="006C2E98">
      <w:pPr>
        <w:pStyle w:val="OpiPara"/>
        <w:rPr>
          <w:rFonts w:eastAsia="Times New Roman"/>
          <w:lang w:val="pl-PL"/>
        </w:rPr>
      </w:pPr>
      <w:r w:rsidRPr="00C852FF">
        <w:rPr>
          <w:rFonts w:eastAsia="Times New Roman"/>
          <w:lang w:val="pl-PL"/>
        </w:rPr>
        <w:t>2.  Trybunał uznał, że „skarżący nie zwrócił się w swoim wniosku o</w:t>
      </w:r>
      <w:r>
        <w:rPr>
          <w:rFonts w:eastAsia="Times New Roman"/>
          <w:lang w:val="pl-PL"/>
        </w:rPr>
        <w:t> </w:t>
      </w:r>
      <w:r w:rsidRPr="00C852FF">
        <w:rPr>
          <w:rFonts w:eastAsia="Times New Roman"/>
          <w:lang w:val="pl-PL"/>
        </w:rPr>
        <w:t xml:space="preserve">przeprowadzenie kontroli o skierowanie wniosku do TSUE o wydanie orzeczenia w trybie prejudycjalnym; nie przedstawił też żadnych powodów uzasadniających, dlaczego w jego opinii wyrok Sądu Pracy w Budapeszcie naruszał art. 234 Traktatu WE” (zob. par. 60 niniejszego wyroku). Z całym szacunkiem nie </w:t>
      </w:r>
      <w:r>
        <w:rPr>
          <w:rFonts w:eastAsia="Times New Roman"/>
          <w:lang w:val="pl-PL"/>
        </w:rPr>
        <w:t>podzielamy tej opinii</w:t>
      </w:r>
      <w:r w:rsidRPr="00C852FF">
        <w:rPr>
          <w:rFonts w:eastAsia="Times New Roman"/>
          <w:lang w:val="pl-PL"/>
        </w:rPr>
        <w:t>.</w:t>
      </w:r>
    </w:p>
    <w:p w:rsidR="004F19AD" w:rsidRPr="00C852FF" w:rsidRDefault="004F19AD" w:rsidP="006C2E98">
      <w:pPr>
        <w:pStyle w:val="OpiPara"/>
        <w:rPr>
          <w:rFonts w:eastAsia="Times New Roman"/>
          <w:lang w:val="pl-PL"/>
        </w:rPr>
      </w:pPr>
      <w:r w:rsidRPr="00C852FF">
        <w:rPr>
          <w:rFonts w:eastAsia="Times New Roman"/>
          <w:lang w:val="pl-PL"/>
        </w:rPr>
        <w:t>3.  </w:t>
      </w:r>
      <w:r>
        <w:rPr>
          <w:rFonts w:eastAsia="Times New Roman"/>
          <w:lang w:val="pl-PL"/>
        </w:rPr>
        <w:t>Prawdą jest</w:t>
      </w:r>
      <w:r w:rsidRPr="00C852FF">
        <w:rPr>
          <w:rFonts w:eastAsia="Times New Roman"/>
          <w:lang w:val="pl-PL"/>
        </w:rPr>
        <w:t>, że skarżący nie zwrócił się w swoim wniosku o</w:t>
      </w:r>
      <w:r>
        <w:rPr>
          <w:rFonts w:eastAsia="Times New Roman"/>
          <w:lang w:val="pl-PL"/>
        </w:rPr>
        <w:t> </w:t>
      </w:r>
      <w:r w:rsidRPr="00C852FF">
        <w:rPr>
          <w:rFonts w:eastAsia="Times New Roman"/>
          <w:lang w:val="pl-PL"/>
        </w:rPr>
        <w:t>przeprowadzenie kontroli, z dnia 22 marca 2012 r., o skierowanie sprawy do TSUE w celu wydania orzeczenia w trybie prejudycjalnym. Niemniej wydaje się, że kwestia wykładni niektórych przepisów prawa UE, w</w:t>
      </w:r>
      <w:r>
        <w:rPr>
          <w:rFonts w:eastAsia="Times New Roman"/>
          <w:lang w:val="pl-PL"/>
        </w:rPr>
        <w:t> </w:t>
      </w:r>
      <w:r w:rsidRPr="00C852FF">
        <w:rPr>
          <w:rFonts w:eastAsia="Times New Roman"/>
          <w:lang w:val="pl-PL"/>
        </w:rPr>
        <w:t xml:space="preserve">szczególności art. 94 ust. 6 rozporządzenia, została skutecznie podniesiona w postępowaniu przed </w:t>
      </w:r>
      <w:r w:rsidRPr="00C852FF">
        <w:rPr>
          <w:rFonts w:eastAsia="Times New Roman"/>
          <w:i/>
          <w:iCs/>
          <w:lang w:val="pl-PL"/>
        </w:rPr>
        <w:t>Kúri</w:t>
      </w:r>
      <w:r>
        <w:rPr>
          <w:rFonts w:eastAsia="Times New Roman"/>
          <w:i/>
          <w:iCs/>
          <w:lang w:val="pl-PL"/>
        </w:rPr>
        <w:t>ą</w:t>
      </w:r>
      <w:r w:rsidRPr="00C852FF">
        <w:rPr>
          <w:rFonts w:eastAsia="Times New Roman"/>
          <w:lang w:val="pl-PL"/>
        </w:rPr>
        <w:t xml:space="preserve"> w rozumieniu istotnego orzecznictwa TSUE (zob. par. 41 niniejszego wyroku). Ponadto budząca wątpliwości konieczność jakiegokolwiek uwzględnienia kryteriów </w:t>
      </w:r>
      <w:r w:rsidRPr="00C852FF">
        <w:rPr>
          <w:rFonts w:eastAsia="Times New Roman"/>
          <w:i/>
          <w:iCs/>
          <w:lang w:val="pl-PL"/>
        </w:rPr>
        <w:t>Cilfit</w:t>
      </w:r>
      <w:r w:rsidRPr="00C852FF">
        <w:rPr>
          <w:rFonts w:eastAsia="Times New Roman"/>
          <w:lang w:val="pl-PL"/>
        </w:rPr>
        <w:t xml:space="preserve"> również została podniesiona w stwierdzeniu skarżącego dotyczącym naruszenia art. 234 Traktatu WE. Zlekceważenie tych faktów ma charakter formalistyczny.</w:t>
      </w:r>
    </w:p>
    <w:p w:rsidR="004F19AD" w:rsidRPr="00C852FF" w:rsidRDefault="004F19AD" w:rsidP="006C2E98">
      <w:pPr>
        <w:pStyle w:val="OpiPara"/>
        <w:rPr>
          <w:rFonts w:eastAsia="Times New Roman"/>
          <w:lang w:val="pl-PL"/>
        </w:rPr>
      </w:pPr>
      <w:r w:rsidRPr="00C852FF">
        <w:rPr>
          <w:rFonts w:eastAsia="Times New Roman"/>
          <w:lang w:val="pl-PL"/>
        </w:rPr>
        <w:t xml:space="preserve">4.  Trybunał był zdania, że zgodnie z mającym zastosowanie prawem UE w kwestiach wstępnej oceny, wyłącznie w gestii sądów krajowych leży ustalenie, w świetle konkretnych okoliczności w sprawie, czy wymaga ona wydania orzeczenia w trybie prejudycjalnym w celu umożliwienia wydania wyroku. Nie zwalnia to sądów krajowych z przewidzianego w Konwencji obowiązku podania odpowiednich powodów. </w:t>
      </w:r>
      <w:r w:rsidRPr="00C852FF">
        <w:rPr>
          <w:rFonts w:eastAsia="Times New Roman"/>
          <w:i/>
          <w:iCs/>
          <w:lang w:val="pl-PL"/>
        </w:rPr>
        <w:t>Kúria</w:t>
      </w:r>
      <w:r w:rsidRPr="00C852FF">
        <w:rPr>
          <w:rFonts w:eastAsia="Times New Roman"/>
          <w:lang w:val="pl-PL"/>
        </w:rPr>
        <w:t xml:space="preserve"> nie przedstawił żadnego uzasadnienia swojego stanowiska w przedmiocie wykładni. W</w:t>
      </w:r>
      <w:r>
        <w:rPr>
          <w:rFonts w:eastAsia="Times New Roman"/>
          <w:lang w:val="pl-PL"/>
        </w:rPr>
        <w:t> </w:t>
      </w:r>
      <w:r w:rsidRPr="00C852FF">
        <w:rPr>
          <w:rFonts w:eastAsia="Times New Roman"/>
          <w:lang w:val="pl-PL"/>
        </w:rPr>
        <w:t xml:space="preserve">związku z tym jednym z czynników, choć niekoniecznie decydującym, jest </w:t>
      </w:r>
      <w:r>
        <w:rPr>
          <w:rFonts w:eastAsia="Times New Roman"/>
          <w:lang w:val="pl-PL"/>
        </w:rPr>
        <w:t>fakt</w:t>
      </w:r>
      <w:r w:rsidRPr="00C852FF">
        <w:rPr>
          <w:rFonts w:eastAsia="Times New Roman"/>
          <w:lang w:val="pl-PL"/>
        </w:rPr>
        <w:t xml:space="preserve">, że </w:t>
      </w:r>
      <w:r w:rsidRPr="00C852FF">
        <w:rPr>
          <w:rFonts w:eastAsia="Times New Roman"/>
          <w:i/>
          <w:iCs/>
          <w:lang w:val="pl-PL"/>
        </w:rPr>
        <w:t>Kúria</w:t>
      </w:r>
      <w:r w:rsidRPr="00C852FF">
        <w:rPr>
          <w:rFonts w:eastAsia="Times New Roman"/>
          <w:lang w:val="pl-PL"/>
        </w:rPr>
        <w:t xml:space="preserve"> nie oparł swojej wykładni na żadnym orzecznictwie TSUE (zob., </w:t>
      </w:r>
      <w:r w:rsidRPr="00C852FF">
        <w:rPr>
          <w:rFonts w:eastAsia="Times New Roman"/>
          <w:i/>
          <w:iCs/>
          <w:lang w:val="pl-PL"/>
        </w:rPr>
        <w:t>mutatis mutandis</w:t>
      </w:r>
      <w:r w:rsidRPr="00C852FF">
        <w:rPr>
          <w:rFonts w:eastAsia="Times New Roman"/>
          <w:lang w:val="pl-PL"/>
        </w:rPr>
        <w:t xml:space="preserve">, </w:t>
      </w:r>
      <w:r w:rsidRPr="00C852FF">
        <w:rPr>
          <w:rFonts w:eastAsia="Times New Roman"/>
          <w:i/>
          <w:iCs/>
          <w:lang w:val="pl-PL"/>
        </w:rPr>
        <w:t>Dhahbi przeciwko Włochom,</w:t>
      </w:r>
      <w:r w:rsidRPr="00C852FF">
        <w:rPr>
          <w:rFonts w:eastAsia="Times New Roman"/>
          <w:lang w:val="pl-PL"/>
        </w:rPr>
        <w:t xml:space="preserve"> skarga nr 17120/09, § 33, 8 kwietnia 2014 r., oraz przeciwnie, </w:t>
      </w:r>
      <w:r w:rsidRPr="00C852FF">
        <w:rPr>
          <w:rFonts w:eastAsia="Times New Roman"/>
          <w:i/>
          <w:iCs/>
          <w:lang w:val="pl-PL"/>
        </w:rPr>
        <w:t>Société Divagsa przeciwko Hiszpani</w:t>
      </w:r>
      <w:r w:rsidRPr="00C852FF">
        <w:rPr>
          <w:rFonts w:eastAsia="Times New Roman"/>
          <w:lang w:val="pl-PL"/>
        </w:rPr>
        <w:t xml:space="preserve">i, skarga nr 20631/92, decyzja Komisji z </w:t>
      </w:r>
      <w:r>
        <w:rPr>
          <w:rFonts w:eastAsia="Times New Roman"/>
          <w:lang w:val="pl-PL"/>
        </w:rPr>
        <w:t>dnia</w:t>
      </w:r>
      <w:r w:rsidRPr="00C852FF">
        <w:rPr>
          <w:rFonts w:eastAsia="Times New Roman"/>
          <w:lang w:val="pl-PL"/>
        </w:rPr>
        <w:t xml:space="preserve"> 12 maja 1</w:t>
      </w:r>
      <w:r>
        <w:rPr>
          <w:rFonts w:eastAsia="Times New Roman"/>
          <w:lang w:val="pl-PL"/>
        </w:rPr>
        <w:t>993 r., Wyroki i Decyzje 74, s. </w:t>
      </w:r>
      <w:r w:rsidRPr="00C852FF">
        <w:rPr>
          <w:rFonts w:eastAsia="Times New Roman"/>
          <w:lang w:val="pl-PL"/>
        </w:rPr>
        <w:t xml:space="preserve">280). Nie wydaje się też, żeby </w:t>
      </w:r>
      <w:r w:rsidRPr="00C852FF">
        <w:rPr>
          <w:rFonts w:eastAsia="Times New Roman"/>
          <w:i/>
          <w:iCs/>
          <w:lang w:val="pl-PL"/>
        </w:rPr>
        <w:t>Kúria</w:t>
      </w:r>
      <w:r w:rsidRPr="00C852FF">
        <w:rPr>
          <w:rFonts w:eastAsia="Times New Roman"/>
          <w:lang w:val="pl-PL"/>
        </w:rPr>
        <w:t xml:space="preserve"> dokonała oceny oczywistej natury przyjętej wykładni w świetle szczegółowych cech prawa UE, jak wymaga orzecznictwo </w:t>
      </w:r>
      <w:r w:rsidRPr="00C852FF">
        <w:rPr>
          <w:rFonts w:eastAsia="Times New Roman"/>
          <w:i/>
          <w:iCs/>
          <w:lang w:val="pl-PL"/>
        </w:rPr>
        <w:t>Cilfit</w:t>
      </w:r>
      <w:r w:rsidRPr="00C852FF">
        <w:rPr>
          <w:rFonts w:eastAsia="Times New Roman"/>
          <w:lang w:val="pl-PL"/>
        </w:rPr>
        <w:t xml:space="preserve"> (zob. par. 39 i 40 niniejszego wyroku). Trybunał istotnie nie jest w stanie zidentyfikować jakichkolwiek argumentów w wyroku </w:t>
      </w:r>
      <w:r w:rsidRPr="00C852FF">
        <w:rPr>
          <w:rFonts w:eastAsia="Times New Roman"/>
          <w:i/>
          <w:iCs/>
          <w:lang w:val="pl-PL"/>
        </w:rPr>
        <w:t xml:space="preserve">Kúria </w:t>
      </w:r>
      <w:r w:rsidRPr="00C852FF">
        <w:rPr>
          <w:rFonts w:eastAsia="Times New Roman"/>
          <w:lang w:val="pl-PL"/>
        </w:rPr>
        <w:t>pozwalających ustalić, dlaczego uznał przyjętą przez siebie wykładnię za tak oczywistą, że nie pozostawił miejsca na jakiekolwiek uzasadnione wątpliwości, nawet w</w:t>
      </w:r>
      <w:r>
        <w:rPr>
          <w:rFonts w:eastAsia="Times New Roman"/>
          <w:lang w:val="pl-PL"/>
        </w:rPr>
        <w:t> </w:t>
      </w:r>
      <w:r w:rsidRPr="00C852FF">
        <w:rPr>
          <w:rFonts w:eastAsia="Times New Roman"/>
          <w:lang w:val="pl-PL"/>
        </w:rPr>
        <w:t xml:space="preserve">świetle szczegółowych cech prawa UE (zob. </w:t>
      </w:r>
      <w:r w:rsidRPr="00C852FF">
        <w:rPr>
          <w:rFonts w:eastAsia="Times New Roman"/>
          <w:i/>
          <w:iCs/>
          <w:lang w:val="pl-PL"/>
        </w:rPr>
        <w:t>Ullens de Schooten i</w:t>
      </w:r>
      <w:r>
        <w:rPr>
          <w:rFonts w:eastAsia="Times New Roman"/>
          <w:i/>
          <w:iCs/>
          <w:lang w:val="pl-PL"/>
        </w:rPr>
        <w:t> </w:t>
      </w:r>
      <w:r w:rsidRPr="00C852FF">
        <w:rPr>
          <w:rFonts w:eastAsia="Times New Roman"/>
          <w:i/>
          <w:iCs/>
          <w:lang w:val="pl-PL"/>
        </w:rPr>
        <w:t xml:space="preserve">Rezabek przeciwko Belgii, </w:t>
      </w:r>
      <w:r w:rsidRPr="00C852FF">
        <w:rPr>
          <w:rFonts w:eastAsia="Times New Roman"/>
          <w:lang w:val="pl-PL"/>
        </w:rPr>
        <w:t xml:space="preserve">skargi nr 3989/07 i 38353/07, § 62, </w:t>
      </w:r>
      <w:r w:rsidRPr="00C852FF">
        <w:rPr>
          <w:rFonts w:eastAsia="Times New Roman"/>
          <w:i/>
          <w:iCs/>
          <w:lang w:val="pl-PL"/>
        </w:rPr>
        <w:t>in fine</w:t>
      </w:r>
      <w:r w:rsidRPr="00C852FF">
        <w:rPr>
          <w:rFonts w:eastAsia="Times New Roman"/>
          <w:lang w:val="pl-PL"/>
        </w:rPr>
        <w:t>, 20 września 2011 r.).</w:t>
      </w:r>
    </w:p>
    <w:p w:rsidR="004F19AD" w:rsidRPr="00C852FF" w:rsidRDefault="004F19AD" w:rsidP="006C2E98">
      <w:pPr>
        <w:pStyle w:val="OpiPara"/>
        <w:rPr>
          <w:rFonts w:eastAsia="Times New Roman"/>
          <w:lang w:val="pl-PL"/>
        </w:rPr>
      </w:pPr>
      <w:r w:rsidRPr="00C852FF">
        <w:rPr>
          <w:rFonts w:eastAsia="Times New Roman"/>
          <w:lang w:val="pl-PL"/>
        </w:rPr>
        <w:t xml:space="preserve">5.  Przedmiotowy brak uzasadnienia jest tym bardziej widoczny, jeśli będziemy rozpatrywać go wraz z faktem kompletnego zignorowania przez </w:t>
      </w:r>
      <w:r w:rsidRPr="00C852FF">
        <w:rPr>
          <w:rFonts w:eastAsia="Times New Roman"/>
          <w:i/>
          <w:iCs/>
          <w:lang w:val="pl-PL"/>
        </w:rPr>
        <w:t>Kúri</w:t>
      </w:r>
      <w:r>
        <w:rPr>
          <w:rFonts w:eastAsia="Times New Roman"/>
          <w:i/>
          <w:iCs/>
          <w:lang w:val="pl-PL"/>
        </w:rPr>
        <w:t>ę</w:t>
      </w:r>
      <w:r w:rsidRPr="00C852FF">
        <w:rPr>
          <w:rFonts w:eastAsia="Times New Roman"/>
          <w:lang w:val="pl-PL"/>
        </w:rPr>
        <w:t xml:space="preserve"> argumentu skarżącego dotyczącego domniemanego naruszenia art. 234 Traktatu WE (zob. par. 23 i 24 niniejszego wyroku). Pomimo że art. 6 nie posuwa się aż do wymogu udzielenia szczegółowej odpowiedzi na każde przedłożone stanowisko, wymaga jednak, żeby wyroki sądów dostatecznie przedstawiały powody, na których się opierają (zob. </w:t>
      </w:r>
      <w:r w:rsidRPr="00C852FF">
        <w:rPr>
          <w:rFonts w:eastAsia="Times New Roman"/>
          <w:i/>
          <w:iCs/>
          <w:lang w:val="pl-PL"/>
        </w:rPr>
        <w:t>mutatis mutandis</w:t>
      </w:r>
      <w:r w:rsidRPr="00C852FF">
        <w:rPr>
          <w:rFonts w:eastAsia="Times New Roman"/>
          <w:lang w:val="pl-PL"/>
        </w:rPr>
        <w:t xml:space="preserve">, </w:t>
      </w:r>
      <w:r w:rsidRPr="00C852FF">
        <w:rPr>
          <w:rFonts w:eastAsia="Times New Roman"/>
          <w:i/>
          <w:iCs/>
          <w:lang w:val="pl-PL"/>
        </w:rPr>
        <w:t>Stichting Mothers of Srebrenica i Inni przeciwko Niderlandom</w:t>
      </w:r>
      <w:r w:rsidRPr="00C852FF">
        <w:rPr>
          <w:rFonts w:eastAsia="Times New Roman"/>
          <w:lang w:val="pl-PL"/>
        </w:rPr>
        <w:t xml:space="preserve"> (dec.), skarga nr 65542/12, §§ 173-174, 11 czerwca 2013 r., gdzie Trybunał uznał nawet lakoniczne powody dotyczące wniosku o wydanie orzeczenia w</w:t>
      </w:r>
      <w:r>
        <w:rPr>
          <w:rFonts w:eastAsia="Times New Roman"/>
          <w:lang w:val="pl-PL"/>
        </w:rPr>
        <w:t> </w:t>
      </w:r>
      <w:r w:rsidRPr="00C852FF">
        <w:rPr>
          <w:rFonts w:eastAsia="Times New Roman"/>
          <w:lang w:val="pl-PL"/>
        </w:rPr>
        <w:t xml:space="preserve">trybie prejudycjalnym za wystarczające, ponieważ w świetle innych ustaleń skierowanie wniosku do TSUE byłoby zbędne). W niniejszej sprawie, gdzie prawidłowa wykładnia istotnych przepisów prawa UE nie była kwestią zbędną, a najważniejszą kwestią kontroli w ramach postępowania przed </w:t>
      </w:r>
      <w:r w:rsidRPr="00C852FF">
        <w:rPr>
          <w:rFonts w:eastAsia="Times New Roman"/>
          <w:i/>
          <w:iCs/>
          <w:lang w:val="pl-PL"/>
        </w:rPr>
        <w:t>Kúri</w:t>
      </w:r>
      <w:r>
        <w:rPr>
          <w:rFonts w:eastAsia="Times New Roman"/>
          <w:i/>
          <w:iCs/>
          <w:lang w:val="pl-PL"/>
        </w:rPr>
        <w:t>ą</w:t>
      </w:r>
      <w:r w:rsidRPr="00C852FF">
        <w:rPr>
          <w:rFonts w:eastAsia="Times New Roman"/>
          <w:lang w:val="pl-PL"/>
        </w:rPr>
        <w:t xml:space="preserve">, powołanie się przez skarżącego na art. 234 Traktatu WE zagwarantowałoby co najmniej dostateczne uzasadnienie podstaw wyroku </w:t>
      </w:r>
      <w:r w:rsidRPr="00C852FF">
        <w:rPr>
          <w:rFonts w:eastAsia="Times New Roman"/>
          <w:i/>
          <w:iCs/>
          <w:lang w:val="pl-PL"/>
        </w:rPr>
        <w:t>Kúr</w:t>
      </w:r>
      <w:r>
        <w:rPr>
          <w:rFonts w:eastAsia="Times New Roman"/>
          <w:i/>
          <w:iCs/>
          <w:lang w:val="pl-PL"/>
        </w:rPr>
        <w:t>i</w:t>
      </w:r>
      <w:r w:rsidRPr="00C852FF">
        <w:rPr>
          <w:rFonts w:eastAsia="Times New Roman"/>
          <w:i/>
          <w:iCs/>
          <w:lang w:val="pl-PL"/>
        </w:rPr>
        <w:t xml:space="preserve">i </w:t>
      </w:r>
      <w:r w:rsidRPr="00C852FF">
        <w:rPr>
          <w:rFonts w:eastAsia="Times New Roman"/>
          <w:lang w:val="pl-PL"/>
        </w:rPr>
        <w:t xml:space="preserve">w zakresie, w jakim wydaje się on zawierać dorozumiane zastosowanie zasady </w:t>
      </w:r>
      <w:r w:rsidRPr="00C852FF">
        <w:rPr>
          <w:rFonts w:eastAsia="Times New Roman"/>
          <w:i/>
          <w:iCs/>
          <w:lang w:val="pl-PL"/>
        </w:rPr>
        <w:t>acte clair.</w:t>
      </w:r>
      <w:r w:rsidRPr="00C852FF">
        <w:rPr>
          <w:rFonts w:eastAsia="Times New Roman"/>
          <w:lang w:val="pl-PL"/>
        </w:rPr>
        <w:t xml:space="preserve"> W tym względzie istotne jest, że art. 94 ust. 6 rozporządzenia nigdy nie był przedmiotem wydania przez TSUE orzeczenia w trybie prejudycjalnym. Stąd też nie istnieje utrwalone orzecznictwo dotyczące jego prawidłowej wykładni (zob. par. 42 </w:t>
      </w:r>
      <w:r w:rsidRPr="00C852FF">
        <w:rPr>
          <w:rFonts w:eastAsia="Times New Roman"/>
          <w:i/>
          <w:iCs/>
          <w:lang w:val="pl-PL"/>
        </w:rPr>
        <w:t xml:space="preserve">in fine </w:t>
      </w:r>
      <w:r w:rsidRPr="00C852FF">
        <w:rPr>
          <w:rFonts w:eastAsia="Times New Roman"/>
          <w:lang w:val="pl-PL"/>
        </w:rPr>
        <w:t xml:space="preserve">niniejszego wyroku oraz por. </w:t>
      </w:r>
      <w:r w:rsidRPr="00C852FF">
        <w:rPr>
          <w:rFonts w:eastAsia="Times New Roman"/>
          <w:i/>
          <w:iCs/>
          <w:lang w:val="pl-PL"/>
        </w:rPr>
        <w:t xml:space="preserve">Krikorian przeciwko Francji </w:t>
      </w:r>
      <w:r w:rsidRPr="00C852FF">
        <w:rPr>
          <w:rFonts w:eastAsia="Times New Roman"/>
          <w:lang w:val="pl-PL"/>
        </w:rPr>
        <w:t>(dec.), skarga nr 6459/07, §§ 23</w:t>
      </w:r>
      <w:r w:rsidRPr="00C852FF">
        <w:rPr>
          <w:rFonts w:eastAsia="Times New Roman"/>
          <w:lang w:val="pl-PL"/>
        </w:rPr>
        <w:noBreakHyphen/>
        <w:t>25, 98 i 99, 26 listopada 2013 r.).</w:t>
      </w:r>
    </w:p>
    <w:p w:rsidR="004F19AD" w:rsidRPr="00C852FF" w:rsidRDefault="004F19AD" w:rsidP="006C2E98">
      <w:pPr>
        <w:pStyle w:val="OpiPara"/>
        <w:rPr>
          <w:rFonts w:eastAsia="Times New Roman"/>
          <w:lang w:val="pl-PL"/>
        </w:rPr>
      </w:pPr>
      <w:r w:rsidRPr="00C852FF">
        <w:rPr>
          <w:rFonts w:eastAsia="Times New Roman"/>
          <w:lang w:val="pl-PL"/>
        </w:rPr>
        <w:t xml:space="preserve">6.  Co się tyczy drugiego zastrzeżenia Rządu (niewyczerpanie krajowych środków odwoławczych, czyli odwołania się do Trybunału Konstytucyjnego), orzeczenie Trybunału Konstytucyjnego, na które powołuje się Rząd (orzeczenie nr 7/2013, zob. par. 33 niniejszego wyroku) dotyczyło spoczywającego na sądach obowiązku uzasadniania wynikającego z krajowych przepisów proceduralnych, nie zaś z odnośnych wymogów UE. Rząd nie przedstawił przykładów z praktyki Trybunału Konstytucyjnego, nie wspominając o orzecznictwie, mogących wykazać, że </w:t>
      </w:r>
      <w:r>
        <w:rPr>
          <w:rFonts w:eastAsia="Times New Roman"/>
          <w:lang w:val="pl-PL"/>
        </w:rPr>
        <w:t>T</w:t>
      </w:r>
      <w:r w:rsidRPr="00C852FF">
        <w:rPr>
          <w:rFonts w:eastAsia="Times New Roman"/>
          <w:lang w:val="pl-PL"/>
        </w:rPr>
        <w:t>rybunał, w czasie istotnym dla sprawy i z zastosowaniem odpowiednich kryteriów prawa UE, zajmował się w odniesieniu do sądów krajowych brakiem przedstawienia dostatecznego uzasadnienia niekierowania wniosków do TSUE.</w:t>
      </w:r>
    </w:p>
    <w:p w:rsidR="004F19AD" w:rsidRPr="00C852FF" w:rsidRDefault="004F19AD" w:rsidP="006C2E98">
      <w:pPr>
        <w:pStyle w:val="OpiPara"/>
        <w:rPr>
          <w:rFonts w:eastAsia="Times New Roman"/>
          <w:lang w:val="pl-PL"/>
        </w:rPr>
      </w:pPr>
      <w:r w:rsidRPr="00C852FF">
        <w:rPr>
          <w:rFonts w:eastAsia="Times New Roman"/>
          <w:lang w:val="pl-PL"/>
        </w:rPr>
        <w:t>7.  W świetle powyższych argumentów wyrażonych w kontekście dopuszczalności, oczywiste jest, że sądy krajowe nie wywiązały się ze spoczywającego na nich obowiązku należytego uzasadnienia orzeczeń. W</w:t>
      </w:r>
      <w:r>
        <w:rPr>
          <w:rFonts w:eastAsia="Times New Roman"/>
          <w:lang w:val="pl-PL"/>
        </w:rPr>
        <w:t> </w:t>
      </w:r>
      <w:r w:rsidRPr="00C852FF">
        <w:rPr>
          <w:rFonts w:eastAsia="Times New Roman"/>
          <w:lang w:val="pl-PL"/>
        </w:rPr>
        <w:t xml:space="preserve">okolicznościach </w:t>
      </w:r>
      <w:r>
        <w:rPr>
          <w:rFonts w:eastAsia="Times New Roman"/>
          <w:lang w:val="pl-PL"/>
        </w:rPr>
        <w:t>niniejszej sprawy</w:t>
      </w:r>
      <w:r w:rsidRPr="00C852FF">
        <w:rPr>
          <w:rFonts w:eastAsia="Times New Roman"/>
          <w:lang w:val="pl-PL"/>
        </w:rPr>
        <w:t xml:space="preserve"> spowodowało to naruszenie art. 6 Konwencji.</w:t>
      </w:r>
    </w:p>
    <w:p w:rsidR="004F19AD" w:rsidRPr="00C852FF" w:rsidRDefault="004F19AD" w:rsidP="006C2E98">
      <w:pPr>
        <w:pStyle w:val="OpiPara"/>
        <w:rPr>
          <w:rFonts w:eastAsia="Times New Roman"/>
          <w:lang w:val="pl-PL"/>
        </w:rPr>
      </w:pPr>
    </w:p>
    <w:sectPr w:rsidR="004F19AD" w:rsidRPr="00C852FF" w:rsidSect="00155EB4">
      <w:headerReference w:type="even" r:id="rId12"/>
      <w:headerReference w:type="default" r:id="rId13"/>
      <w:footnotePr>
        <w:numRestart w:val="eachPage"/>
      </w:footnotePr>
      <w:pgSz w:w="11906" w:h="16838"/>
      <w:pgMar w:top="2274" w:right="2274" w:bottom="2274" w:left="2274" w:header="1701"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9AD" w:rsidRPr="00535BB8" w:rsidRDefault="004F19AD" w:rsidP="00014566">
      <w:r>
        <w:separator/>
      </w:r>
    </w:p>
  </w:endnote>
  <w:endnote w:type="continuationSeparator" w:id="0">
    <w:p w:rsidR="004F19AD" w:rsidRPr="00535BB8" w:rsidRDefault="004F19AD" w:rsidP="000145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9AD" w:rsidRPr="00150BFA" w:rsidRDefault="004F19AD" w:rsidP="0037010A">
    <w:pPr>
      <w:jc w:val="center"/>
    </w:pPr>
    <w:r w:rsidRPr="009C386D">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60pt;height:48.75pt;visibility:visible">
          <v:imagedata r:id="rId1" o:title=""/>
        </v:shape>
      </w:pict>
    </w:r>
  </w:p>
  <w:p w:rsidR="004F19AD" w:rsidRDefault="004F19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9AD" w:rsidRPr="00535BB8" w:rsidRDefault="004F19AD" w:rsidP="00014566">
      <w:r>
        <w:separator/>
      </w:r>
    </w:p>
  </w:footnote>
  <w:footnote w:type="continuationSeparator" w:id="0">
    <w:p w:rsidR="004F19AD" w:rsidRPr="00535BB8" w:rsidRDefault="004F19AD" w:rsidP="00014566">
      <w:r>
        <w:continuationSeparator/>
      </w:r>
    </w:p>
  </w:footnote>
  <w:footnote w:id="1">
    <w:p w:rsidR="004F19AD" w:rsidRDefault="004F19AD" w:rsidP="004760CE">
      <w:pPr>
        <w:pStyle w:val="s50c0b1c7"/>
        <w:jc w:val="both"/>
      </w:pPr>
      <w:r w:rsidRPr="001F2FA6">
        <w:rPr>
          <w:rStyle w:val="FootnoteReference"/>
          <w:sz w:val="20"/>
          <w:szCs w:val="20"/>
        </w:rPr>
        <w:footnoteRef/>
      </w:r>
      <w:r w:rsidRPr="001F2FA6">
        <w:t xml:space="preserve"> </w:t>
      </w:r>
      <w:r w:rsidRPr="001F2FA6">
        <w:rPr>
          <w:sz w:val="20"/>
          <w:szCs w:val="20"/>
        </w:rPr>
        <w:t xml:space="preserve">Źródło: Komunikat prasowy Kanclerza Trybunału </w:t>
      </w:r>
      <w:r w:rsidRPr="001F2FA6">
        <w:rPr>
          <w:rStyle w:val="s3aeeab2"/>
          <w:sz w:val="20"/>
          <w:szCs w:val="20"/>
        </w:rPr>
        <w:t>ETPCz 282(2018)</w:t>
      </w:r>
      <w:r w:rsidRPr="001F2FA6">
        <w:rPr>
          <w:sz w:val="20"/>
          <w:szCs w:val="20"/>
        </w:rPr>
        <w:t>, 28.08.2018 (</w:t>
      </w:r>
      <w:r w:rsidRPr="001F2FA6">
        <w:rPr>
          <w:rStyle w:val="s3aeeab2"/>
          <w:i/>
          <w:iCs/>
          <w:sz w:val="20"/>
          <w:szCs w:val="20"/>
        </w:rPr>
        <w:t>Press Release issued by the Registrar of the Court ECHR 282(2018) 28.08.2018</w:t>
      </w:r>
      <w:r w:rsidRPr="001F2FA6">
        <w:rPr>
          <w:rStyle w:val="sfbbfee58"/>
          <w:i/>
          <w:iCs/>
          <w:sz w:val="20"/>
          <w:szCs w:val="20"/>
        </w:rPr>
        <w:t>).</w:t>
      </w:r>
    </w:p>
    <w:p w:rsidR="004F19AD" w:rsidRDefault="004F19AD" w:rsidP="004760CE">
      <w:pPr>
        <w:pStyle w:val="s50c0b1c7"/>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9AD" w:rsidRPr="00931733" w:rsidRDefault="004F19AD" w:rsidP="00931733">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9AD" w:rsidRPr="00A45145" w:rsidRDefault="004F19AD" w:rsidP="0037010A">
    <w:pPr>
      <w:jc w:val="center"/>
    </w:pPr>
    <w:r w:rsidRPr="009C386D">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233.25pt;height:96pt;visibility:visible">
          <v:imagedata r:id="rId1" o:title=""/>
        </v:shape>
      </w:pict>
    </w:r>
  </w:p>
  <w:p w:rsidR="004F19AD" w:rsidRDefault="004F19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9AD" w:rsidRPr="002D599D" w:rsidRDefault="004F19AD" w:rsidP="00480F4B">
    <w:pPr>
      <w:pStyle w:val="ECHR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 xml:space="preserve">WYROK SOMORJAI PRZECIWKO WĘGROM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9AD" w:rsidRPr="002D599D" w:rsidRDefault="004F19AD" w:rsidP="00480F4B">
    <w:pPr>
      <w:pStyle w:val="ECHRHeader"/>
    </w:pPr>
    <w:r>
      <w:tab/>
      <w:t>WYROK SOMORJAI PRZECIWKO WĘGROM</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9AD" w:rsidRPr="0038713A" w:rsidRDefault="004F19AD" w:rsidP="00480F4B">
    <w:pPr>
      <w:pStyle w:val="ECHRHeader"/>
      <w:rPr>
        <w:lang w:val="pl-PL"/>
      </w:rPr>
    </w:pPr>
    <w:r w:rsidRPr="0038713A">
      <w:rPr>
        <w:rStyle w:val="PageNumber"/>
        <w:lang w:val="pl-PL"/>
      </w:rPr>
      <w:fldChar w:fldCharType="begin"/>
    </w:r>
    <w:r w:rsidRPr="0038713A">
      <w:rPr>
        <w:rStyle w:val="PageNumber"/>
        <w:lang w:val="pl-PL"/>
      </w:rPr>
      <w:instrText xml:space="preserve"> PAGE </w:instrText>
    </w:r>
    <w:r w:rsidRPr="0038713A">
      <w:rPr>
        <w:rStyle w:val="PageNumber"/>
        <w:lang w:val="pl-PL"/>
      </w:rPr>
      <w:fldChar w:fldCharType="separate"/>
    </w:r>
    <w:r>
      <w:rPr>
        <w:rStyle w:val="PageNumber"/>
        <w:noProof/>
        <w:lang w:val="pl-PL"/>
      </w:rPr>
      <w:t>16</w:t>
    </w:r>
    <w:r w:rsidRPr="0038713A">
      <w:rPr>
        <w:rStyle w:val="PageNumber"/>
        <w:lang w:val="pl-PL"/>
      </w:rPr>
      <w:fldChar w:fldCharType="end"/>
    </w:r>
    <w:r w:rsidRPr="0038713A">
      <w:rPr>
        <w:lang w:val="pl-PL"/>
      </w:rPr>
      <w:tab/>
      <w:t>WYROK SOMORJAI PRZECIWKO WĘGROM – OPINIA ODRĘBNA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9AD" w:rsidRPr="0038713A" w:rsidRDefault="004F19AD" w:rsidP="00480F4B">
    <w:pPr>
      <w:pStyle w:val="ECHRHeader"/>
      <w:rPr>
        <w:lang w:val="pl-PL"/>
      </w:rPr>
    </w:pPr>
    <w:r>
      <w:tab/>
    </w:r>
    <w:r w:rsidRPr="0038713A">
      <w:rPr>
        <w:lang w:val="pl-PL"/>
      </w:rPr>
      <w:t>SOMORJAI PRZECIWKO WĘGROM WYROK – OPINIA ODRĘBNA</w:t>
    </w:r>
    <w:r w:rsidRPr="0038713A">
      <w:rPr>
        <w:lang w:val="pl-PL"/>
      </w:rPr>
      <w:tab/>
    </w:r>
    <w:r w:rsidRPr="0038713A">
      <w:rPr>
        <w:rStyle w:val="PageNumber"/>
        <w:lang w:val="pl-PL"/>
      </w:rPr>
      <w:fldChar w:fldCharType="begin"/>
    </w:r>
    <w:r w:rsidRPr="0038713A">
      <w:rPr>
        <w:rStyle w:val="PageNumber"/>
        <w:lang w:val="pl-PL"/>
      </w:rPr>
      <w:instrText xml:space="preserve"> PAGE </w:instrText>
    </w:r>
    <w:r w:rsidRPr="0038713A">
      <w:rPr>
        <w:rStyle w:val="PageNumber"/>
        <w:lang w:val="pl-PL"/>
      </w:rPr>
      <w:fldChar w:fldCharType="separate"/>
    </w:r>
    <w:r>
      <w:rPr>
        <w:rStyle w:val="PageNumber"/>
        <w:noProof/>
        <w:lang w:val="pl-PL"/>
      </w:rPr>
      <w:t>15</w:t>
    </w:r>
    <w:r w:rsidRPr="0038713A">
      <w:rPr>
        <w:rStyle w:val="PageNumber"/>
        <w:lang w:val="pl-P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180FE6"/>
    <w:lvl w:ilvl="0">
      <w:start w:val="1"/>
      <w:numFmt w:val="decimal"/>
      <w:lvlText w:val="%1."/>
      <w:lvlJc w:val="left"/>
      <w:pPr>
        <w:tabs>
          <w:tab w:val="num" w:pos="1492"/>
        </w:tabs>
        <w:ind w:left="1492" w:hanging="360"/>
      </w:pPr>
    </w:lvl>
  </w:abstractNum>
  <w:abstractNum w:abstractNumId="1">
    <w:nsid w:val="FFFFFF7D"/>
    <w:multiLevelType w:val="singleLevel"/>
    <w:tmpl w:val="B90ECFBC"/>
    <w:lvl w:ilvl="0">
      <w:start w:val="1"/>
      <w:numFmt w:val="decimal"/>
      <w:lvlText w:val="%1."/>
      <w:lvlJc w:val="left"/>
      <w:pPr>
        <w:tabs>
          <w:tab w:val="num" w:pos="1209"/>
        </w:tabs>
        <w:ind w:left="1209" w:hanging="360"/>
      </w:pPr>
    </w:lvl>
  </w:abstractNum>
  <w:abstractNum w:abstractNumId="2">
    <w:nsid w:val="FFFFFF7E"/>
    <w:multiLevelType w:val="singleLevel"/>
    <w:tmpl w:val="C5B8BEFC"/>
    <w:lvl w:ilvl="0">
      <w:start w:val="1"/>
      <w:numFmt w:val="decimal"/>
      <w:lvlText w:val="%1."/>
      <w:lvlJc w:val="left"/>
      <w:pPr>
        <w:tabs>
          <w:tab w:val="num" w:pos="926"/>
        </w:tabs>
        <w:ind w:left="926" w:hanging="360"/>
      </w:pPr>
    </w:lvl>
  </w:abstractNum>
  <w:abstractNum w:abstractNumId="3">
    <w:nsid w:val="FFFFFF7F"/>
    <w:multiLevelType w:val="singleLevel"/>
    <w:tmpl w:val="6F1CF73A"/>
    <w:lvl w:ilvl="0">
      <w:start w:val="1"/>
      <w:numFmt w:val="decimal"/>
      <w:lvlText w:val="%1."/>
      <w:lvlJc w:val="left"/>
      <w:pPr>
        <w:tabs>
          <w:tab w:val="num" w:pos="643"/>
        </w:tabs>
        <w:ind w:left="643" w:hanging="360"/>
      </w:pPr>
    </w:lvl>
  </w:abstractNum>
  <w:abstractNum w:abstractNumId="4">
    <w:nsid w:val="FFFFFF80"/>
    <w:multiLevelType w:val="singleLevel"/>
    <w:tmpl w:val="2380266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A90166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482EC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666B2C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2760110"/>
    <w:lvl w:ilvl="0">
      <w:start w:val="1"/>
      <w:numFmt w:val="decimal"/>
      <w:lvlText w:val="%1."/>
      <w:lvlJc w:val="left"/>
      <w:pPr>
        <w:tabs>
          <w:tab w:val="num" w:pos="360"/>
        </w:tabs>
        <w:ind w:left="360" w:hanging="360"/>
      </w:pPr>
    </w:lvl>
  </w:abstractNum>
  <w:abstractNum w:abstractNumId="9">
    <w:nsid w:val="FFFFFF89"/>
    <w:multiLevelType w:val="singleLevel"/>
    <w:tmpl w:val="8B72F7B2"/>
    <w:lvl w:ilvl="0">
      <w:start w:val="1"/>
      <w:numFmt w:val="bullet"/>
      <w:lvlText w:val=""/>
      <w:lvlJc w:val="left"/>
      <w:pPr>
        <w:tabs>
          <w:tab w:val="num" w:pos="360"/>
        </w:tabs>
        <w:ind w:left="360" w:hanging="360"/>
      </w:pPr>
      <w:rPr>
        <w:rFonts w:ascii="Symbol" w:hAnsi="Symbol" w:cs="Symbol" w:hint="default"/>
      </w:rPr>
    </w:lvl>
  </w:abstractNum>
  <w:abstractNum w:abstractNumId="1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95C4C4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9C73BC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B11657"/>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4F77B5"/>
    <w:multiLevelType w:val="multilevel"/>
    <w:tmpl w:val="FFFFFFFF"/>
    <w:lvl w:ilvl="0">
      <w:start w:val="1"/>
      <w:numFmt w:val="upperRoman"/>
      <w:lvlText w:val="Artykuł %1."/>
      <w:lvlJc w:val="left"/>
    </w:lvl>
    <w:lvl w:ilvl="1">
      <w:start w:val="1"/>
      <w:numFmt w:val="decimalZero"/>
      <w:isLgl/>
      <w:lvlText w:val="Artykuł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4571499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555FD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BD143D5"/>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cs="Wingdings" w:hint="default"/>
        <w:color w:val="808080"/>
        <w:sz w:val="16"/>
        <w:szCs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cs="Wingdings" w:hint="default"/>
      </w:rPr>
    </w:lvl>
    <w:lvl w:ilvl="3" w:tplc="08090001">
      <w:start w:val="1"/>
      <w:numFmt w:val="bullet"/>
      <w:lvlText w:val=""/>
      <w:lvlJc w:val="left"/>
      <w:pPr>
        <w:tabs>
          <w:tab w:val="num" w:pos="3164"/>
        </w:tabs>
        <w:ind w:left="3164" w:hanging="360"/>
      </w:pPr>
      <w:rPr>
        <w:rFonts w:ascii="Symbol" w:hAnsi="Symbol" w:cs="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cs="Wingdings" w:hint="default"/>
      </w:rPr>
    </w:lvl>
    <w:lvl w:ilvl="6" w:tplc="08090001">
      <w:start w:val="1"/>
      <w:numFmt w:val="bullet"/>
      <w:lvlText w:val=""/>
      <w:lvlJc w:val="left"/>
      <w:pPr>
        <w:tabs>
          <w:tab w:val="num" w:pos="5324"/>
        </w:tabs>
        <w:ind w:left="5324" w:hanging="360"/>
      </w:pPr>
      <w:rPr>
        <w:rFonts w:ascii="Symbol" w:hAnsi="Symbol" w:cs="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cs="Wingdings" w:hint="default"/>
      </w:rPr>
    </w:lvl>
  </w:abstractNum>
  <w:abstractNum w:abstractNumId="20">
    <w:nsid w:val="7737461D"/>
    <w:multiLevelType w:val="multilevel"/>
    <w:tmpl w:val="040C0023"/>
    <w:styleLink w:val="ArticleSection"/>
    <w:lvl w:ilvl="0">
      <w:start w:val="1"/>
      <w:numFmt w:val="upperRoman"/>
      <w:lvlText w:val="Artykuł %1."/>
      <w:lvlJc w:val="left"/>
    </w:lvl>
    <w:lvl w:ilvl="1">
      <w:start w:val="1"/>
      <w:numFmt w:val="decimalZero"/>
      <w:isLgl/>
      <w:lvlText w:val="Artykuł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7DC1396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19"/>
  </w:num>
  <w:num w:numId="41">
    <w:abstractNumId w:val="13"/>
  </w:num>
  <w:num w:numId="42">
    <w:abstractNumId w:val="10"/>
  </w:num>
  <w:num w:numId="43">
    <w:abstractNumId w:val="20"/>
  </w:num>
  <w:num w:numId="44">
    <w:abstractNumId w:val="17"/>
  </w:num>
  <w:num w:numId="45">
    <w:abstractNumId w:val="12"/>
  </w:num>
  <w:num w:numId="46">
    <w:abstractNumId w:val="15"/>
  </w:num>
  <w:num w:numId="47">
    <w:abstractNumId w:val="14"/>
  </w:num>
  <w:num w:numId="48">
    <w:abstractNumId w:val="18"/>
  </w:num>
  <w:num w:numId="49">
    <w:abstractNumId w:val="21"/>
  </w:num>
  <w:num w:numId="50">
    <w:abstractNumId w:val="16"/>
  </w:num>
  <w:num w:numId="5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hyphenationZone w:val="425"/>
  <w:doNotHyphenateCaps/>
  <w:evenAndOddHeaders/>
  <w:drawingGridHorizontalSpacing w:val="110"/>
  <w:displayHorizontalDrawingGridEvery w:val="2"/>
  <w:displayVerticalDrawingGridEvery w:val="2"/>
  <w:characterSpacingControl w:val="doNotCompress"/>
  <w:doNotValidateAgainstSchema/>
  <w:doNotDemarcateInvalidXml/>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C4456A"/>
    <w:rsid w:val="00000067"/>
    <w:rsid w:val="000010ED"/>
    <w:rsid w:val="00002052"/>
    <w:rsid w:val="000041F8"/>
    <w:rsid w:val="000042A8"/>
    <w:rsid w:val="00004308"/>
    <w:rsid w:val="00005BF0"/>
    <w:rsid w:val="00007154"/>
    <w:rsid w:val="000103AE"/>
    <w:rsid w:val="00011D69"/>
    <w:rsid w:val="00012AD3"/>
    <w:rsid w:val="00014566"/>
    <w:rsid w:val="00015C2D"/>
    <w:rsid w:val="00015F00"/>
    <w:rsid w:val="00022C1D"/>
    <w:rsid w:val="00025EEB"/>
    <w:rsid w:val="000274F0"/>
    <w:rsid w:val="00027D1B"/>
    <w:rsid w:val="000348DF"/>
    <w:rsid w:val="00034987"/>
    <w:rsid w:val="00034ECF"/>
    <w:rsid w:val="000350E3"/>
    <w:rsid w:val="000359C7"/>
    <w:rsid w:val="00035E92"/>
    <w:rsid w:val="000362F7"/>
    <w:rsid w:val="00036DC6"/>
    <w:rsid w:val="00043D28"/>
    <w:rsid w:val="00052D88"/>
    <w:rsid w:val="000579C9"/>
    <w:rsid w:val="000602DF"/>
    <w:rsid w:val="000610B6"/>
    <w:rsid w:val="00061B05"/>
    <w:rsid w:val="00062973"/>
    <w:rsid w:val="00062D5D"/>
    <w:rsid w:val="000632D5"/>
    <w:rsid w:val="000644EE"/>
    <w:rsid w:val="00064DA4"/>
    <w:rsid w:val="000664E0"/>
    <w:rsid w:val="00070B60"/>
    <w:rsid w:val="00071ABC"/>
    <w:rsid w:val="000741D1"/>
    <w:rsid w:val="000759B9"/>
    <w:rsid w:val="000856D7"/>
    <w:rsid w:val="0008734A"/>
    <w:rsid w:val="000925AD"/>
    <w:rsid w:val="00095C12"/>
    <w:rsid w:val="00095FD9"/>
    <w:rsid w:val="000A138C"/>
    <w:rsid w:val="000A24EB"/>
    <w:rsid w:val="000B350D"/>
    <w:rsid w:val="000B40C2"/>
    <w:rsid w:val="000B6923"/>
    <w:rsid w:val="000C033C"/>
    <w:rsid w:val="000C5A17"/>
    <w:rsid w:val="000C5F3C"/>
    <w:rsid w:val="000C6DCC"/>
    <w:rsid w:val="000D2B01"/>
    <w:rsid w:val="000D439E"/>
    <w:rsid w:val="000D47AA"/>
    <w:rsid w:val="000D6396"/>
    <w:rsid w:val="000D721F"/>
    <w:rsid w:val="000E069B"/>
    <w:rsid w:val="000E0E82"/>
    <w:rsid w:val="000E14D1"/>
    <w:rsid w:val="000E1DC5"/>
    <w:rsid w:val="000E223F"/>
    <w:rsid w:val="000E2AF3"/>
    <w:rsid w:val="000E2FA9"/>
    <w:rsid w:val="000E2FDD"/>
    <w:rsid w:val="000E35AC"/>
    <w:rsid w:val="000E3992"/>
    <w:rsid w:val="000E3D54"/>
    <w:rsid w:val="000E6097"/>
    <w:rsid w:val="000E7D45"/>
    <w:rsid w:val="000F32E8"/>
    <w:rsid w:val="000F5FA5"/>
    <w:rsid w:val="000F6C66"/>
    <w:rsid w:val="000F7851"/>
    <w:rsid w:val="001025CD"/>
    <w:rsid w:val="0010291F"/>
    <w:rsid w:val="00104760"/>
    <w:rsid w:val="00104E23"/>
    <w:rsid w:val="001077C4"/>
    <w:rsid w:val="00107F32"/>
    <w:rsid w:val="0011106D"/>
    <w:rsid w:val="00111B0C"/>
    <w:rsid w:val="00114287"/>
    <w:rsid w:val="001165C7"/>
    <w:rsid w:val="00120D6C"/>
    <w:rsid w:val="00121942"/>
    <w:rsid w:val="001257EC"/>
    <w:rsid w:val="00130974"/>
    <w:rsid w:val="00132C6A"/>
    <w:rsid w:val="00133D33"/>
    <w:rsid w:val="00134C1B"/>
    <w:rsid w:val="00134D64"/>
    <w:rsid w:val="00134F96"/>
    <w:rsid w:val="00135A30"/>
    <w:rsid w:val="0013612C"/>
    <w:rsid w:val="00137FF6"/>
    <w:rsid w:val="001413A2"/>
    <w:rsid w:val="00141650"/>
    <w:rsid w:val="001437D3"/>
    <w:rsid w:val="00145F23"/>
    <w:rsid w:val="00150976"/>
    <w:rsid w:val="00150BFA"/>
    <w:rsid w:val="00155EB4"/>
    <w:rsid w:val="00157F4F"/>
    <w:rsid w:val="00162A12"/>
    <w:rsid w:val="00163674"/>
    <w:rsid w:val="00166530"/>
    <w:rsid w:val="00170552"/>
    <w:rsid w:val="00170FE3"/>
    <w:rsid w:val="001727E3"/>
    <w:rsid w:val="001736ED"/>
    <w:rsid w:val="00180C0E"/>
    <w:rsid w:val="001832BD"/>
    <w:rsid w:val="00185FFF"/>
    <w:rsid w:val="00187AD6"/>
    <w:rsid w:val="00187C92"/>
    <w:rsid w:val="00193859"/>
    <w:rsid w:val="001943B5"/>
    <w:rsid w:val="00195134"/>
    <w:rsid w:val="001961BC"/>
    <w:rsid w:val="001A0802"/>
    <w:rsid w:val="001A08A7"/>
    <w:rsid w:val="001A145B"/>
    <w:rsid w:val="001A1EC5"/>
    <w:rsid w:val="001A2992"/>
    <w:rsid w:val="001A2A67"/>
    <w:rsid w:val="001A674C"/>
    <w:rsid w:val="001B08C2"/>
    <w:rsid w:val="001B0FFC"/>
    <w:rsid w:val="001B2C58"/>
    <w:rsid w:val="001B3B24"/>
    <w:rsid w:val="001B3DE0"/>
    <w:rsid w:val="001B4BE7"/>
    <w:rsid w:val="001B6EE5"/>
    <w:rsid w:val="001C0F98"/>
    <w:rsid w:val="001C2825"/>
    <w:rsid w:val="001C2A42"/>
    <w:rsid w:val="001C41E2"/>
    <w:rsid w:val="001C5D5F"/>
    <w:rsid w:val="001D2BBE"/>
    <w:rsid w:val="001D414C"/>
    <w:rsid w:val="001D63ED"/>
    <w:rsid w:val="001D7348"/>
    <w:rsid w:val="001E035B"/>
    <w:rsid w:val="001E03D2"/>
    <w:rsid w:val="001E0961"/>
    <w:rsid w:val="001E3EAE"/>
    <w:rsid w:val="001E5348"/>
    <w:rsid w:val="001E5F01"/>
    <w:rsid w:val="001E6397"/>
    <w:rsid w:val="001E6F32"/>
    <w:rsid w:val="001F04E3"/>
    <w:rsid w:val="001F060F"/>
    <w:rsid w:val="001F0881"/>
    <w:rsid w:val="001F1941"/>
    <w:rsid w:val="001F1DE3"/>
    <w:rsid w:val="001F2145"/>
    <w:rsid w:val="001F2FA6"/>
    <w:rsid w:val="001F6262"/>
    <w:rsid w:val="001F67B0"/>
    <w:rsid w:val="001F7B3D"/>
    <w:rsid w:val="002018CE"/>
    <w:rsid w:val="00205F9F"/>
    <w:rsid w:val="00210338"/>
    <w:rsid w:val="002115FC"/>
    <w:rsid w:val="002133F8"/>
    <w:rsid w:val="00213513"/>
    <w:rsid w:val="00213CC0"/>
    <w:rsid w:val="0021423C"/>
    <w:rsid w:val="00215FD9"/>
    <w:rsid w:val="0021635A"/>
    <w:rsid w:val="00220D32"/>
    <w:rsid w:val="00221586"/>
    <w:rsid w:val="002216BB"/>
    <w:rsid w:val="002218AF"/>
    <w:rsid w:val="00223B34"/>
    <w:rsid w:val="002255BE"/>
    <w:rsid w:val="0022743E"/>
    <w:rsid w:val="00230D00"/>
    <w:rsid w:val="00231DF7"/>
    <w:rsid w:val="00231FD1"/>
    <w:rsid w:val="002339E0"/>
    <w:rsid w:val="00233CF8"/>
    <w:rsid w:val="0023575D"/>
    <w:rsid w:val="00236E03"/>
    <w:rsid w:val="00237148"/>
    <w:rsid w:val="0024072F"/>
    <w:rsid w:val="00241657"/>
    <w:rsid w:val="0024222D"/>
    <w:rsid w:val="00244B0E"/>
    <w:rsid w:val="00244F6C"/>
    <w:rsid w:val="00246848"/>
    <w:rsid w:val="00247622"/>
    <w:rsid w:val="00250A09"/>
    <w:rsid w:val="002532C5"/>
    <w:rsid w:val="00260C03"/>
    <w:rsid w:val="00263BF3"/>
    <w:rsid w:val="0026540E"/>
    <w:rsid w:val="00267814"/>
    <w:rsid w:val="0027225C"/>
    <w:rsid w:val="00275123"/>
    <w:rsid w:val="00275EEE"/>
    <w:rsid w:val="00277CCD"/>
    <w:rsid w:val="00280B8F"/>
    <w:rsid w:val="00282240"/>
    <w:rsid w:val="0028572A"/>
    <w:rsid w:val="00287CA6"/>
    <w:rsid w:val="00292D1F"/>
    <w:rsid w:val="002948AD"/>
    <w:rsid w:val="00294C05"/>
    <w:rsid w:val="00294C92"/>
    <w:rsid w:val="00295337"/>
    <w:rsid w:val="002A01CC"/>
    <w:rsid w:val="002A4220"/>
    <w:rsid w:val="002A577E"/>
    <w:rsid w:val="002A58CE"/>
    <w:rsid w:val="002A61B1"/>
    <w:rsid w:val="002A63B2"/>
    <w:rsid w:val="002A663C"/>
    <w:rsid w:val="002A6C1F"/>
    <w:rsid w:val="002B11F0"/>
    <w:rsid w:val="002B1E6C"/>
    <w:rsid w:val="002B444B"/>
    <w:rsid w:val="002B5887"/>
    <w:rsid w:val="002C0074"/>
    <w:rsid w:val="002C0692"/>
    <w:rsid w:val="002C0E27"/>
    <w:rsid w:val="002C12B1"/>
    <w:rsid w:val="002C3040"/>
    <w:rsid w:val="002C4537"/>
    <w:rsid w:val="002C49C1"/>
    <w:rsid w:val="002C5CFF"/>
    <w:rsid w:val="002C62C5"/>
    <w:rsid w:val="002D022D"/>
    <w:rsid w:val="002D24BB"/>
    <w:rsid w:val="002D25B1"/>
    <w:rsid w:val="002D4C2C"/>
    <w:rsid w:val="002D599D"/>
    <w:rsid w:val="002E24B7"/>
    <w:rsid w:val="002E502D"/>
    <w:rsid w:val="002F2AF7"/>
    <w:rsid w:val="002F3573"/>
    <w:rsid w:val="002F6C31"/>
    <w:rsid w:val="002F7E1C"/>
    <w:rsid w:val="00301A75"/>
    <w:rsid w:val="00302F70"/>
    <w:rsid w:val="0030336F"/>
    <w:rsid w:val="0030375E"/>
    <w:rsid w:val="00303D1F"/>
    <w:rsid w:val="003059E3"/>
    <w:rsid w:val="00306781"/>
    <w:rsid w:val="00310AA5"/>
    <w:rsid w:val="00312A30"/>
    <w:rsid w:val="0032041A"/>
    <w:rsid w:val="00320F72"/>
    <w:rsid w:val="00321089"/>
    <w:rsid w:val="0032394C"/>
    <w:rsid w:val="0032463E"/>
    <w:rsid w:val="00326224"/>
    <w:rsid w:val="0032676F"/>
    <w:rsid w:val="00326AC8"/>
    <w:rsid w:val="00330078"/>
    <w:rsid w:val="003327E6"/>
    <w:rsid w:val="00333372"/>
    <w:rsid w:val="0033370D"/>
    <w:rsid w:val="0033696B"/>
    <w:rsid w:val="00336DE3"/>
    <w:rsid w:val="00337EE4"/>
    <w:rsid w:val="00340FFD"/>
    <w:rsid w:val="00343F95"/>
    <w:rsid w:val="0034440C"/>
    <w:rsid w:val="0034739E"/>
    <w:rsid w:val="003506B1"/>
    <w:rsid w:val="00350CB8"/>
    <w:rsid w:val="00353FDB"/>
    <w:rsid w:val="00356AC7"/>
    <w:rsid w:val="003609FA"/>
    <w:rsid w:val="0037010A"/>
    <w:rsid w:val="00370690"/>
    <w:rsid w:val="003710C8"/>
    <w:rsid w:val="0037254C"/>
    <w:rsid w:val="00373AAA"/>
    <w:rsid w:val="0037489C"/>
    <w:rsid w:val="003750BE"/>
    <w:rsid w:val="00381378"/>
    <w:rsid w:val="00381C03"/>
    <w:rsid w:val="00383AD1"/>
    <w:rsid w:val="0038713A"/>
    <w:rsid w:val="00387533"/>
    <w:rsid w:val="00387B9D"/>
    <w:rsid w:val="00391D87"/>
    <w:rsid w:val="0039364F"/>
    <w:rsid w:val="00396686"/>
    <w:rsid w:val="0039778E"/>
    <w:rsid w:val="003A0F5E"/>
    <w:rsid w:val="003A215F"/>
    <w:rsid w:val="003A2E57"/>
    <w:rsid w:val="003A3D29"/>
    <w:rsid w:val="003A42B8"/>
    <w:rsid w:val="003A441D"/>
    <w:rsid w:val="003A4E8B"/>
    <w:rsid w:val="003B2D2A"/>
    <w:rsid w:val="003B4941"/>
    <w:rsid w:val="003B5C20"/>
    <w:rsid w:val="003B688A"/>
    <w:rsid w:val="003C097D"/>
    <w:rsid w:val="003C338A"/>
    <w:rsid w:val="003C5714"/>
    <w:rsid w:val="003C6B9F"/>
    <w:rsid w:val="003C6E2A"/>
    <w:rsid w:val="003C6EDA"/>
    <w:rsid w:val="003D0299"/>
    <w:rsid w:val="003D2344"/>
    <w:rsid w:val="003D67B6"/>
    <w:rsid w:val="003E54CE"/>
    <w:rsid w:val="003E6D80"/>
    <w:rsid w:val="003F05FA"/>
    <w:rsid w:val="003F1CB5"/>
    <w:rsid w:val="003F244A"/>
    <w:rsid w:val="003F30B8"/>
    <w:rsid w:val="003F4C45"/>
    <w:rsid w:val="003F5F7B"/>
    <w:rsid w:val="003F724C"/>
    <w:rsid w:val="003F7D64"/>
    <w:rsid w:val="0040258C"/>
    <w:rsid w:val="00404051"/>
    <w:rsid w:val="00404D8F"/>
    <w:rsid w:val="00407ED9"/>
    <w:rsid w:val="00410CCD"/>
    <w:rsid w:val="00414300"/>
    <w:rsid w:val="00420B6C"/>
    <w:rsid w:val="00420E08"/>
    <w:rsid w:val="00425C67"/>
    <w:rsid w:val="00426B03"/>
    <w:rsid w:val="00427E7A"/>
    <w:rsid w:val="00431E77"/>
    <w:rsid w:val="004355E3"/>
    <w:rsid w:val="00435C1E"/>
    <w:rsid w:val="00436307"/>
    <w:rsid w:val="00436C49"/>
    <w:rsid w:val="00436C62"/>
    <w:rsid w:val="00445366"/>
    <w:rsid w:val="00445E72"/>
    <w:rsid w:val="00447F5B"/>
    <w:rsid w:val="0045146F"/>
    <w:rsid w:val="00452A73"/>
    <w:rsid w:val="004548FD"/>
    <w:rsid w:val="00461DB0"/>
    <w:rsid w:val="00463926"/>
    <w:rsid w:val="00463FC5"/>
    <w:rsid w:val="004646E0"/>
    <w:rsid w:val="00464C9A"/>
    <w:rsid w:val="004653CE"/>
    <w:rsid w:val="00470031"/>
    <w:rsid w:val="004709CC"/>
    <w:rsid w:val="0047353D"/>
    <w:rsid w:val="00474F3D"/>
    <w:rsid w:val="004760CE"/>
    <w:rsid w:val="004764F3"/>
    <w:rsid w:val="00477E3A"/>
    <w:rsid w:val="0048021A"/>
    <w:rsid w:val="00480F4B"/>
    <w:rsid w:val="00481900"/>
    <w:rsid w:val="004838EE"/>
    <w:rsid w:val="00483E5F"/>
    <w:rsid w:val="0048475A"/>
    <w:rsid w:val="00485FF9"/>
    <w:rsid w:val="0048703C"/>
    <w:rsid w:val="0048789A"/>
    <w:rsid w:val="00490650"/>
    <w:rsid w:val="004907F0"/>
    <w:rsid w:val="0049140B"/>
    <w:rsid w:val="004915FB"/>
    <w:rsid w:val="004923A5"/>
    <w:rsid w:val="00496BFB"/>
    <w:rsid w:val="004A1451"/>
    <w:rsid w:val="004A15C7"/>
    <w:rsid w:val="004A1750"/>
    <w:rsid w:val="004A5F43"/>
    <w:rsid w:val="004A60C6"/>
    <w:rsid w:val="004B013B"/>
    <w:rsid w:val="004B112B"/>
    <w:rsid w:val="004C0043"/>
    <w:rsid w:val="004C01E4"/>
    <w:rsid w:val="004C086C"/>
    <w:rsid w:val="004C1F56"/>
    <w:rsid w:val="004C27BC"/>
    <w:rsid w:val="004C331D"/>
    <w:rsid w:val="004C49A2"/>
    <w:rsid w:val="004C6127"/>
    <w:rsid w:val="004D08DB"/>
    <w:rsid w:val="004D15F3"/>
    <w:rsid w:val="004D343F"/>
    <w:rsid w:val="004D5311"/>
    <w:rsid w:val="004D5B69"/>
    <w:rsid w:val="004D5DCC"/>
    <w:rsid w:val="004D6686"/>
    <w:rsid w:val="004D7427"/>
    <w:rsid w:val="004E26DC"/>
    <w:rsid w:val="004E4F54"/>
    <w:rsid w:val="004E66B0"/>
    <w:rsid w:val="004E6F61"/>
    <w:rsid w:val="004F10AF"/>
    <w:rsid w:val="004F11A4"/>
    <w:rsid w:val="004F19AD"/>
    <w:rsid w:val="004F19C5"/>
    <w:rsid w:val="004F2389"/>
    <w:rsid w:val="004F304D"/>
    <w:rsid w:val="004F3ED2"/>
    <w:rsid w:val="004F4BD2"/>
    <w:rsid w:val="004F61BE"/>
    <w:rsid w:val="004F66B1"/>
    <w:rsid w:val="005020EB"/>
    <w:rsid w:val="0050514A"/>
    <w:rsid w:val="00510FF3"/>
    <w:rsid w:val="00511C07"/>
    <w:rsid w:val="00512A86"/>
    <w:rsid w:val="00513CDD"/>
    <w:rsid w:val="00514C72"/>
    <w:rsid w:val="005159CA"/>
    <w:rsid w:val="00516B41"/>
    <w:rsid w:val="005173A6"/>
    <w:rsid w:val="00520BAA"/>
    <w:rsid w:val="00525208"/>
    <w:rsid w:val="0052564B"/>
    <w:rsid w:val="005257A5"/>
    <w:rsid w:val="005264C0"/>
    <w:rsid w:val="005266FF"/>
    <w:rsid w:val="00526A8A"/>
    <w:rsid w:val="00531DF2"/>
    <w:rsid w:val="005357CB"/>
    <w:rsid w:val="00535BB8"/>
    <w:rsid w:val="00536722"/>
    <w:rsid w:val="005432A6"/>
    <w:rsid w:val="005442EE"/>
    <w:rsid w:val="00547353"/>
    <w:rsid w:val="005474E7"/>
    <w:rsid w:val="00547EC8"/>
    <w:rsid w:val="005512A3"/>
    <w:rsid w:val="005512C0"/>
    <w:rsid w:val="005529CD"/>
    <w:rsid w:val="00555613"/>
    <w:rsid w:val="005578CE"/>
    <w:rsid w:val="005618EB"/>
    <w:rsid w:val="00562781"/>
    <w:rsid w:val="00563E83"/>
    <w:rsid w:val="005651E0"/>
    <w:rsid w:val="00566964"/>
    <w:rsid w:val="005713BD"/>
    <w:rsid w:val="00571736"/>
    <w:rsid w:val="0057271C"/>
    <w:rsid w:val="00572845"/>
    <w:rsid w:val="005756AC"/>
    <w:rsid w:val="00576858"/>
    <w:rsid w:val="00576C09"/>
    <w:rsid w:val="005858E8"/>
    <w:rsid w:val="005874E2"/>
    <w:rsid w:val="00592772"/>
    <w:rsid w:val="0059574A"/>
    <w:rsid w:val="0059704E"/>
    <w:rsid w:val="005971A4"/>
    <w:rsid w:val="0059765B"/>
    <w:rsid w:val="005A1B9B"/>
    <w:rsid w:val="005A273D"/>
    <w:rsid w:val="005A3483"/>
    <w:rsid w:val="005A4475"/>
    <w:rsid w:val="005A6751"/>
    <w:rsid w:val="005A7BBA"/>
    <w:rsid w:val="005B092E"/>
    <w:rsid w:val="005B0FEB"/>
    <w:rsid w:val="005B152C"/>
    <w:rsid w:val="005B1EE0"/>
    <w:rsid w:val="005B2B24"/>
    <w:rsid w:val="005B2FD3"/>
    <w:rsid w:val="005B4425"/>
    <w:rsid w:val="005B4B94"/>
    <w:rsid w:val="005B6886"/>
    <w:rsid w:val="005B7417"/>
    <w:rsid w:val="005C3DB4"/>
    <w:rsid w:val="005C3EE8"/>
    <w:rsid w:val="005C445F"/>
    <w:rsid w:val="005C54CB"/>
    <w:rsid w:val="005C65DF"/>
    <w:rsid w:val="005D136C"/>
    <w:rsid w:val="005D34F9"/>
    <w:rsid w:val="005D4190"/>
    <w:rsid w:val="005D67A3"/>
    <w:rsid w:val="005E2988"/>
    <w:rsid w:val="005E2A43"/>
    <w:rsid w:val="005E3085"/>
    <w:rsid w:val="005E438A"/>
    <w:rsid w:val="005E7616"/>
    <w:rsid w:val="005E76A1"/>
    <w:rsid w:val="005E7E6F"/>
    <w:rsid w:val="005F2292"/>
    <w:rsid w:val="005F29E4"/>
    <w:rsid w:val="005F4301"/>
    <w:rsid w:val="005F51E1"/>
    <w:rsid w:val="005F6DAB"/>
    <w:rsid w:val="005F7FEC"/>
    <w:rsid w:val="00600629"/>
    <w:rsid w:val="0060270B"/>
    <w:rsid w:val="00604607"/>
    <w:rsid w:val="00607BE6"/>
    <w:rsid w:val="0061154F"/>
    <w:rsid w:val="00611C80"/>
    <w:rsid w:val="00611E61"/>
    <w:rsid w:val="00612913"/>
    <w:rsid w:val="00612D1D"/>
    <w:rsid w:val="00620692"/>
    <w:rsid w:val="00621D08"/>
    <w:rsid w:val="006242CA"/>
    <w:rsid w:val="00627507"/>
    <w:rsid w:val="006312D7"/>
    <w:rsid w:val="00633717"/>
    <w:rsid w:val="006344E1"/>
    <w:rsid w:val="00641C3E"/>
    <w:rsid w:val="006470C6"/>
    <w:rsid w:val="00650227"/>
    <w:rsid w:val="0065357C"/>
    <w:rsid w:val="006545C4"/>
    <w:rsid w:val="00657688"/>
    <w:rsid w:val="006617B9"/>
    <w:rsid w:val="00661971"/>
    <w:rsid w:val="00661CE8"/>
    <w:rsid w:val="00661D64"/>
    <w:rsid w:val="006623D9"/>
    <w:rsid w:val="0066487E"/>
    <w:rsid w:val="0066550C"/>
    <w:rsid w:val="006716F2"/>
    <w:rsid w:val="00671FB0"/>
    <w:rsid w:val="00682BF2"/>
    <w:rsid w:val="006859CE"/>
    <w:rsid w:val="00685DCF"/>
    <w:rsid w:val="00691270"/>
    <w:rsid w:val="00692BAB"/>
    <w:rsid w:val="00694BA8"/>
    <w:rsid w:val="00697683"/>
    <w:rsid w:val="00697923"/>
    <w:rsid w:val="006A037C"/>
    <w:rsid w:val="006A18E6"/>
    <w:rsid w:val="006A288C"/>
    <w:rsid w:val="006A3308"/>
    <w:rsid w:val="006A36F4"/>
    <w:rsid w:val="006A406F"/>
    <w:rsid w:val="006A5D3A"/>
    <w:rsid w:val="006A69B3"/>
    <w:rsid w:val="006A704B"/>
    <w:rsid w:val="006A7D73"/>
    <w:rsid w:val="006B3018"/>
    <w:rsid w:val="006B5F98"/>
    <w:rsid w:val="006B6872"/>
    <w:rsid w:val="006C23D4"/>
    <w:rsid w:val="006C2E98"/>
    <w:rsid w:val="006C4EEF"/>
    <w:rsid w:val="006C6DA3"/>
    <w:rsid w:val="006C7BB0"/>
    <w:rsid w:val="006D115F"/>
    <w:rsid w:val="006D3237"/>
    <w:rsid w:val="006E2E37"/>
    <w:rsid w:val="006E3CF1"/>
    <w:rsid w:val="006E4493"/>
    <w:rsid w:val="006E7E80"/>
    <w:rsid w:val="006F1DF9"/>
    <w:rsid w:val="006F24DB"/>
    <w:rsid w:val="006F26A9"/>
    <w:rsid w:val="006F347D"/>
    <w:rsid w:val="006F48CA"/>
    <w:rsid w:val="006F4C9B"/>
    <w:rsid w:val="006F5657"/>
    <w:rsid w:val="006F64DD"/>
    <w:rsid w:val="006F694D"/>
    <w:rsid w:val="006F767E"/>
    <w:rsid w:val="00701FD5"/>
    <w:rsid w:val="00715127"/>
    <w:rsid w:val="00715E8E"/>
    <w:rsid w:val="00717CFB"/>
    <w:rsid w:val="0072068E"/>
    <w:rsid w:val="007227E3"/>
    <w:rsid w:val="00723580"/>
    <w:rsid w:val="00723755"/>
    <w:rsid w:val="00726266"/>
    <w:rsid w:val="00730AC6"/>
    <w:rsid w:val="0073136C"/>
    <w:rsid w:val="00731F0F"/>
    <w:rsid w:val="00733250"/>
    <w:rsid w:val="007348F6"/>
    <w:rsid w:val="00735CB9"/>
    <w:rsid w:val="0073646B"/>
    <w:rsid w:val="007364CE"/>
    <w:rsid w:val="00736B2D"/>
    <w:rsid w:val="00736D11"/>
    <w:rsid w:val="0073742D"/>
    <w:rsid w:val="007375B1"/>
    <w:rsid w:val="007378D9"/>
    <w:rsid w:val="00740CA4"/>
    <w:rsid w:val="00741404"/>
    <w:rsid w:val="0074198F"/>
    <w:rsid w:val="007449E5"/>
    <w:rsid w:val="00744EBA"/>
    <w:rsid w:val="00745AF2"/>
    <w:rsid w:val="00746C5A"/>
    <w:rsid w:val="00747FF0"/>
    <w:rsid w:val="00751582"/>
    <w:rsid w:val="00753D90"/>
    <w:rsid w:val="00754235"/>
    <w:rsid w:val="00761114"/>
    <w:rsid w:val="00763AB6"/>
    <w:rsid w:val="00763E33"/>
    <w:rsid w:val="007648AB"/>
    <w:rsid w:val="00764D4E"/>
    <w:rsid w:val="00765644"/>
    <w:rsid w:val="00765A1F"/>
    <w:rsid w:val="00765BCE"/>
    <w:rsid w:val="00766961"/>
    <w:rsid w:val="00775B6D"/>
    <w:rsid w:val="00776D68"/>
    <w:rsid w:val="007823CF"/>
    <w:rsid w:val="007842EB"/>
    <w:rsid w:val="007850EE"/>
    <w:rsid w:val="00785B95"/>
    <w:rsid w:val="0078785A"/>
    <w:rsid w:val="00790E96"/>
    <w:rsid w:val="0079229E"/>
    <w:rsid w:val="00793366"/>
    <w:rsid w:val="00795AF0"/>
    <w:rsid w:val="00797C5A"/>
    <w:rsid w:val="007A05E9"/>
    <w:rsid w:val="007A5180"/>
    <w:rsid w:val="007A5BB0"/>
    <w:rsid w:val="007A716F"/>
    <w:rsid w:val="007B270A"/>
    <w:rsid w:val="007B2CA3"/>
    <w:rsid w:val="007B4F25"/>
    <w:rsid w:val="007B55E0"/>
    <w:rsid w:val="007B7E0E"/>
    <w:rsid w:val="007C00D5"/>
    <w:rsid w:val="007C0695"/>
    <w:rsid w:val="007C0F10"/>
    <w:rsid w:val="007C1C5E"/>
    <w:rsid w:val="007C1EC9"/>
    <w:rsid w:val="007C2E65"/>
    <w:rsid w:val="007C419A"/>
    <w:rsid w:val="007C4625"/>
    <w:rsid w:val="007C4CC8"/>
    <w:rsid w:val="007C5426"/>
    <w:rsid w:val="007C5798"/>
    <w:rsid w:val="007D0A5B"/>
    <w:rsid w:val="007D29BE"/>
    <w:rsid w:val="007D4832"/>
    <w:rsid w:val="007D6136"/>
    <w:rsid w:val="007D63B0"/>
    <w:rsid w:val="007D6D4C"/>
    <w:rsid w:val="007E21B2"/>
    <w:rsid w:val="007E2C4E"/>
    <w:rsid w:val="007E59FA"/>
    <w:rsid w:val="007E7045"/>
    <w:rsid w:val="007E75BA"/>
    <w:rsid w:val="007F03E9"/>
    <w:rsid w:val="007F18CA"/>
    <w:rsid w:val="007F1905"/>
    <w:rsid w:val="007F371B"/>
    <w:rsid w:val="007F5151"/>
    <w:rsid w:val="007F6D2B"/>
    <w:rsid w:val="0080048F"/>
    <w:rsid w:val="00801300"/>
    <w:rsid w:val="00801A4D"/>
    <w:rsid w:val="00802C64"/>
    <w:rsid w:val="00805E52"/>
    <w:rsid w:val="008061D0"/>
    <w:rsid w:val="00810174"/>
    <w:rsid w:val="00810381"/>
    <w:rsid w:val="008105F9"/>
    <w:rsid w:val="00810B38"/>
    <w:rsid w:val="00811330"/>
    <w:rsid w:val="00813AF3"/>
    <w:rsid w:val="008204C7"/>
    <w:rsid w:val="00820992"/>
    <w:rsid w:val="00821674"/>
    <w:rsid w:val="00823602"/>
    <w:rsid w:val="008255F5"/>
    <w:rsid w:val="00827848"/>
    <w:rsid w:val="00827B08"/>
    <w:rsid w:val="0083014E"/>
    <w:rsid w:val="00830D0B"/>
    <w:rsid w:val="0083214A"/>
    <w:rsid w:val="008338B3"/>
    <w:rsid w:val="00834220"/>
    <w:rsid w:val="00841055"/>
    <w:rsid w:val="00845723"/>
    <w:rsid w:val="008458F0"/>
    <w:rsid w:val="00851EF9"/>
    <w:rsid w:val="00855192"/>
    <w:rsid w:val="008577FD"/>
    <w:rsid w:val="00860B03"/>
    <w:rsid w:val="00862DCA"/>
    <w:rsid w:val="0086497A"/>
    <w:rsid w:val="008713A1"/>
    <w:rsid w:val="0087383A"/>
    <w:rsid w:val="008754AB"/>
    <w:rsid w:val="0088060C"/>
    <w:rsid w:val="00884CB7"/>
    <w:rsid w:val="0088708D"/>
    <w:rsid w:val="00891E46"/>
    <w:rsid w:val="00893576"/>
    <w:rsid w:val="00893E73"/>
    <w:rsid w:val="00894097"/>
    <w:rsid w:val="00894627"/>
    <w:rsid w:val="00896D34"/>
    <w:rsid w:val="008A1326"/>
    <w:rsid w:val="008A2F54"/>
    <w:rsid w:val="008A43C4"/>
    <w:rsid w:val="008A6505"/>
    <w:rsid w:val="008B02DC"/>
    <w:rsid w:val="008B3083"/>
    <w:rsid w:val="008B36E6"/>
    <w:rsid w:val="008B3BEC"/>
    <w:rsid w:val="008B57CE"/>
    <w:rsid w:val="008B659F"/>
    <w:rsid w:val="008B6D22"/>
    <w:rsid w:val="008C26DE"/>
    <w:rsid w:val="008C5C12"/>
    <w:rsid w:val="008D1BE0"/>
    <w:rsid w:val="008D2225"/>
    <w:rsid w:val="008D4558"/>
    <w:rsid w:val="008D4752"/>
    <w:rsid w:val="008D552A"/>
    <w:rsid w:val="008D5B75"/>
    <w:rsid w:val="008E271C"/>
    <w:rsid w:val="008E418E"/>
    <w:rsid w:val="008E4FDD"/>
    <w:rsid w:val="008E5BC6"/>
    <w:rsid w:val="008E6A25"/>
    <w:rsid w:val="008E6D53"/>
    <w:rsid w:val="008E72CF"/>
    <w:rsid w:val="008F0EFF"/>
    <w:rsid w:val="008F156D"/>
    <w:rsid w:val="008F5193"/>
    <w:rsid w:val="009013A7"/>
    <w:rsid w:val="009017FB"/>
    <w:rsid w:val="009017FC"/>
    <w:rsid w:val="009038B8"/>
    <w:rsid w:val="00903B43"/>
    <w:rsid w:val="0090506B"/>
    <w:rsid w:val="009050C9"/>
    <w:rsid w:val="009066FC"/>
    <w:rsid w:val="00906BA3"/>
    <w:rsid w:val="009140A3"/>
    <w:rsid w:val="009144A2"/>
    <w:rsid w:val="0091510C"/>
    <w:rsid w:val="009176ED"/>
    <w:rsid w:val="00920186"/>
    <w:rsid w:val="0092441E"/>
    <w:rsid w:val="009259AC"/>
    <w:rsid w:val="00926F38"/>
    <w:rsid w:val="00931102"/>
    <w:rsid w:val="009315A4"/>
    <w:rsid w:val="00931733"/>
    <w:rsid w:val="0093299B"/>
    <w:rsid w:val="00934301"/>
    <w:rsid w:val="00935FF1"/>
    <w:rsid w:val="00936A18"/>
    <w:rsid w:val="00936CD1"/>
    <w:rsid w:val="00941747"/>
    <w:rsid w:val="00941EFB"/>
    <w:rsid w:val="00943B94"/>
    <w:rsid w:val="0094671B"/>
    <w:rsid w:val="00947AFB"/>
    <w:rsid w:val="00951B28"/>
    <w:rsid w:val="00951D7D"/>
    <w:rsid w:val="00952C12"/>
    <w:rsid w:val="00954E85"/>
    <w:rsid w:val="00957D4B"/>
    <w:rsid w:val="009630C7"/>
    <w:rsid w:val="00964FE4"/>
    <w:rsid w:val="009723FB"/>
    <w:rsid w:val="00972B55"/>
    <w:rsid w:val="0097342B"/>
    <w:rsid w:val="009743B7"/>
    <w:rsid w:val="00976613"/>
    <w:rsid w:val="00976D7A"/>
    <w:rsid w:val="00976D7D"/>
    <w:rsid w:val="00980B9A"/>
    <w:rsid w:val="0098228B"/>
    <w:rsid w:val="009828DA"/>
    <w:rsid w:val="00984CD3"/>
    <w:rsid w:val="00985BAB"/>
    <w:rsid w:val="009933CA"/>
    <w:rsid w:val="00997F03"/>
    <w:rsid w:val="009A082D"/>
    <w:rsid w:val="009A3714"/>
    <w:rsid w:val="009A46DF"/>
    <w:rsid w:val="009A6E9B"/>
    <w:rsid w:val="009A7C00"/>
    <w:rsid w:val="009B1552"/>
    <w:rsid w:val="009B1B5F"/>
    <w:rsid w:val="009B2B30"/>
    <w:rsid w:val="009B2EC2"/>
    <w:rsid w:val="009B64F4"/>
    <w:rsid w:val="009B6673"/>
    <w:rsid w:val="009C191B"/>
    <w:rsid w:val="009C2BD6"/>
    <w:rsid w:val="009C2E2E"/>
    <w:rsid w:val="009C34EF"/>
    <w:rsid w:val="009C386D"/>
    <w:rsid w:val="009C4135"/>
    <w:rsid w:val="009C7BC3"/>
    <w:rsid w:val="009D004C"/>
    <w:rsid w:val="009D320C"/>
    <w:rsid w:val="009D6251"/>
    <w:rsid w:val="009E0583"/>
    <w:rsid w:val="009E1F32"/>
    <w:rsid w:val="009E41AD"/>
    <w:rsid w:val="009E52B5"/>
    <w:rsid w:val="009E5829"/>
    <w:rsid w:val="009E776C"/>
    <w:rsid w:val="009F0473"/>
    <w:rsid w:val="009F6554"/>
    <w:rsid w:val="00A0113E"/>
    <w:rsid w:val="00A049AB"/>
    <w:rsid w:val="00A0701E"/>
    <w:rsid w:val="00A1726E"/>
    <w:rsid w:val="00A200FD"/>
    <w:rsid w:val="00A204CF"/>
    <w:rsid w:val="00A2315A"/>
    <w:rsid w:val="00A23D49"/>
    <w:rsid w:val="00A26EDC"/>
    <w:rsid w:val="00A27004"/>
    <w:rsid w:val="00A30C29"/>
    <w:rsid w:val="00A31F66"/>
    <w:rsid w:val="00A33694"/>
    <w:rsid w:val="00A33F12"/>
    <w:rsid w:val="00A343A9"/>
    <w:rsid w:val="00A34DD6"/>
    <w:rsid w:val="00A36819"/>
    <w:rsid w:val="00A36989"/>
    <w:rsid w:val="00A41439"/>
    <w:rsid w:val="00A43628"/>
    <w:rsid w:val="00A45145"/>
    <w:rsid w:val="00A459A5"/>
    <w:rsid w:val="00A533B8"/>
    <w:rsid w:val="00A54192"/>
    <w:rsid w:val="00A55B6A"/>
    <w:rsid w:val="00A55C18"/>
    <w:rsid w:val="00A55CB7"/>
    <w:rsid w:val="00A6035E"/>
    <w:rsid w:val="00A6136B"/>
    <w:rsid w:val="00A6144C"/>
    <w:rsid w:val="00A63FC0"/>
    <w:rsid w:val="00A66617"/>
    <w:rsid w:val="00A671F8"/>
    <w:rsid w:val="00A673A4"/>
    <w:rsid w:val="00A67639"/>
    <w:rsid w:val="00A724AE"/>
    <w:rsid w:val="00A73329"/>
    <w:rsid w:val="00A74A32"/>
    <w:rsid w:val="00A753E6"/>
    <w:rsid w:val="00A76A4D"/>
    <w:rsid w:val="00A816C7"/>
    <w:rsid w:val="00A82359"/>
    <w:rsid w:val="00A865D2"/>
    <w:rsid w:val="00A87C22"/>
    <w:rsid w:val="00A91ADC"/>
    <w:rsid w:val="00A94839"/>
    <w:rsid w:val="00A94C20"/>
    <w:rsid w:val="00A96ED6"/>
    <w:rsid w:val="00A96EEE"/>
    <w:rsid w:val="00AA1B31"/>
    <w:rsid w:val="00AA227F"/>
    <w:rsid w:val="00AA3BC7"/>
    <w:rsid w:val="00AA3CAB"/>
    <w:rsid w:val="00AA754A"/>
    <w:rsid w:val="00AB099E"/>
    <w:rsid w:val="00AB4328"/>
    <w:rsid w:val="00AB5501"/>
    <w:rsid w:val="00AB5832"/>
    <w:rsid w:val="00AB5FA0"/>
    <w:rsid w:val="00AC4A1F"/>
    <w:rsid w:val="00AC51B7"/>
    <w:rsid w:val="00AC77C3"/>
    <w:rsid w:val="00AD06F7"/>
    <w:rsid w:val="00AD137A"/>
    <w:rsid w:val="00AD2244"/>
    <w:rsid w:val="00AE0A2E"/>
    <w:rsid w:val="00AE13B1"/>
    <w:rsid w:val="00AE1B1B"/>
    <w:rsid w:val="00AE354C"/>
    <w:rsid w:val="00AE6510"/>
    <w:rsid w:val="00AE6A52"/>
    <w:rsid w:val="00AF1918"/>
    <w:rsid w:val="00AF2200"/>
    <w:rsid w:val="00AF3192"/>
    <w:rsid w:val="00AF4B07"/>
    <w:rsid w:val="00AF6042"/>
    <w:rsid w:val="00AF6186"/>
    <w:rsid w:val="00AF7A3A"/>
    <w:rsid w:val="00B00197"/>
    <w:rsid w:val="00B02827"/>
    <w:rsid w:val="00B0434E"/>
    <w:rsid w:val="00B06D30"/>
    <w:rsid w:val="00B112AB"/>
    <w:rsid w:val="00B160DB"/>
    <w:rsid w:val="00B20836"/>
    <w:rsid w:val="00B21199"/>
    <w:rsid w:val="00B22CD8"/>
    <w:rsid w:val="00B235BB"/>
    <w:rsid w:val="00B27A44"/>
    <w:rsid w:val="00B30BBF"/>
    <w:rsid w:val="00B33C03"/>
    <w:rsid w:val="00B34228"/>
    <w:rsid w:val="00B4496D"/>
    <w:rsid w:val="00B44E56"/>
    <w:rsid w:val="00B46543"/>
    <w:rsid w:val="00B47D33"/>
    <w:rsid w:val="00B52BCB"/>
    <w:rsid w:val="00B52BE0"/>
    <w:rsid w:val="00B54133"/>
    <w:rsid w:val="00B56322"/>
    <w:rsid w:val="00B6007E"/>
    <w:rsid w:val="00B637B9"/>
    <w:rsid w:val="00B63EA7"/>
    <w:rsid w:val="00B65931"/>
    <w:rsid w:val="00B677F6"/>
    <w:rsid w:val="00B701ED"/>
    <w:rsid w:val="00B72661"/>
    <w:rsid w:val="00B72D45"/>
    <w:rsid w:val="00B73EC9"/>
    <w:rsid w:val="00B76D76"/>
    <w:rsid w:val="00B8086C"/>
    <w:rsid w:val="00B861B4"/>
    <w:rsid w:val="00B86D32"/>
    <w:rsid w:val="00B86DFE"/>
    <w:rsid w:val="00B90990"/>
    <w:rsid w:val="00B922FF"/>
    <w:rsid w:val="00B9281E"/>
    <w:rsid w:val="00B93925"/>
    <w:rsid w:val="00B9517C"/>
    <w:rsid w:val="00B95187"/>
    <w:rsid w:val="00BA2D55"/>
    <w:rsid w:val="00BA3774"/>
    <w:rsid w:val="00BA5DB5"/>
    <w:rsid w:val="00BA63C1"/>
    <w:rsid w:val="00BA71B1"/>
    <w:rsid w:val="00BA7207"/>
    <w:rsid w:val="00BB0637"/>
    <w:rsid w:val="00BB0836"/>
    <w:rsid w:val="00BB345F"/>
    <w:rsid w:val="00BB459D"/>
    <w:rsid w:val="00BB47AD"/>
    <w:rsid w:val="00BB5883"/>
    <w:rsid w:val="00BB68EA"/>
    <w:rsid w:val="00BC1C27"/>
    <w:rsid w:val="00BC36DB"/>
    <w:rsid w:val="00BC480C"/>
    <w:rsid w:val="00BC6BBF"/>
    <w:rsid w:val="00BD1572"/>
    <w:rsid w:val="00BD1C96"/>
    <w:rsid w:val="00BD51AB"/>
    <w:rsid w:val="00BE1247"/>
    <w:rsid w:val="00BE14E3"/>
    <w:rsid w:val="00BE2FDA"/>
    <w:rsid w:val="00BE30DD"/>
    <w:rsid w:val="00BE33F7"/>
    <w:rsid w:val="00BE3774"/>
    <w:rsid w:val="00BE41E5"/>
    <w:rsid w:val="00BE5729"/>
    <w:rsid w:val="00BE5910"/>
    <w:rsid w:val="00BF0BBB"/>
    <w:rsid w:val="00BF34DD"/>
    <w:rsid w:val="00BF4109"/>
    <w:rsid w:val="00BF4CC3"/>
    <w:rsid w:val="00BF7B14"/>
    <w:rsid w:val="00C02121"/>
    <w:rsid w:val="00C054C7"/>
    <w:rsid w:val="00C057B5"/>
    <w:rsid w:val="00C062B0"/>
    <w:rsid w:val="00C132C1"/>
    <w:rsid w:val="00C13412"/>
    <w:rsid w:val="00C2213D"/>
    <w:rsid w:val="00C22687"/>
    <w:rsid w:val="00C235E2"/>
    <w:rsid w:val="00C25726"/>
    <w:rsid w:val="00C276E0"/>
    <w:rsid w:val="00C27C97"/>
    <w:rsid w:val="00C315FF"/>
    <w:rsid w:val="00C32E4D"/>
    <w:rsid w:val="00C333A0"/>
    <w:rsid w:val="00C33958"/>
    <w:rsid w:val="00C34497"/>
    <w:rsid w:val="00C36A81"/>
    <w:rsid w:val="00C37470"/>
    <w:rsid w:val="00C41974"/>
    <w:rsid w:val="00C42E49"/>
    <w:rsid w:val="00C4456A"/>
    <w:rsid w:val="00C447AD"/>
    <w:rsid w:val="00C4536E"/>
    <w:rsid w:val="00C5304A"/>
    <w:rsid w:val="00C53F4A"/>
    <w:rsid w:val="00C54125"/>
    <w:rsid w:val="00C55B54"/>
    <w:rsid w:val="00C6098E"/>
    <w:rsid w:val="00C6152C"/>
    <w:rsid w:val="00C621C2"/>
    <w:rsid w:val="00C629A3"/>
    <w:rsid w:val="00C6516C"/>
    <w:rsid w:val="00C66001"/>
    <w:rsid w:val="00C703BE"/>
    <w:rsid w:val="00C7052E"/>
    <w:rsid w:val="00C72991"/>
    <w:rsid w:val="00C74810"/>
    <w:rsid w:val="00C75533"/>
    <w:rsid w:val="00C7580A"/>
    <w:rsid w:val="00C75ED0"/>
    <w:rsid w:val="00C77512"/>
    <w:rsid w:val="00C81BFE"/>
    <w:rsid w:val="00C83688"/>
    <w:rsid w:val="00C852FF"/>
    <w:rsid w:val="00C90D68"/>
    <w:rsid w:val="00C9207D"/>
    <w:rsid w:val="00C939FE"/>
    <w:rsid w:val="00C94E8C"/>
    <w:rsid w:val="00C95267"/>
    <w:rsid w:val="00C957E3"/>
    <w:rsid w:val="00C975BA"/>
    <w:rsid w:val="00C976E5"/>
    <w:rsid w:val="00CA1AA9"/>
    <w:rsid w:val="00CA4A26"/>
    <w:rsid w:val="00CA4BDA"/>
    <w:rsid w:val="00CB1F66"/>
    <w:rsid w:val="00CB2652"/>
    <w:rsid w:val="00CB2951"/>
    <w:rsid w:val="00CB2DD7"/>
    <w:rsid w:val="00CB441A"/>
    <w:rsid w:val="00CB6E8D"/>
    <w:rsid w:val="00CD282B"/>
    <w:rsid w:val="00CD3EDD"/>
    <w:rsid w:val="00CD4AD9"/>
    <w:rsid w:val="00CD4C35"/>
    <w:rsid w:val="00CD5CCE"/>
    <w:rsid w:val="00CD7369"/>
    <w:rsid w:val="00CE0B0E"/>
    <w:rsid w:val="00CE0BF6"/>
    <w:rsid w:val="00CE3831"/>
    <w:rsid w:val="00CF1106"/>
    <w:rsid w:val="00CF353C"/>
    <w:rsid w:val="00CF3578"/>
    <w:rsid w:val="00CF5DD9"/>
    <w:rsid w:val="00CF5E40"/>
    <w:rsid w:val="00CF6C8E"/>
    <w:rsid w:val="00D00ABB"/>
    <w:rsid w:val="00D00E38"/>
    <w:rsid w:val="00D021C6"/>
    <w:rsid w:val="00D02EEC"/>
    <w:rsid w:val="00D031A5"/>
    <w:rsid w:val="00D03551"/>
    <w:rsid w:val="00D05CF6"/>
    <w:rsid w:val="00D06A63"/>
    <w:rsid w:val="00D06F3A"/>
    <w:rsid w:val="00D07005"/>
    <w:rsid w:val="00D07E0E"/>
    <w:rsid w:val="00D11478"/>
    <w:rsid w:val="00D123C3"/>
    <w:rsid w:val="00D15703"/>
    <w:rsid w:val="00D15ED0"/>
    <w:rsid w:val="00D16CFC"/>
    <w:rsid w:val="00D21B3E"/>
    <w:rsid w:val="00D21FED"/>
    <w:rsid w:val="00D24251"/>
    <w:rsid w:val="00D33BB6"/>
    <w:rsid w:val="00D33FCF"/>
    <w:rsid w:val="00D343E2"/>
    <w:rsid w:val="00D361A2"/>
    <w:rsid w:val="00D44C2E"/>
    <w:rsid w:val="00D45414"/>
    <w:rsid w:val="00D50ED7"/>
    <w:rsid w:val="00D53C0F"/>
    <w:rsid w:val="00D55523"/>
    <w:rsid w:val="00D55B7E"/>
    <w:rsid w:val="00D561F5"/>
    <w:rsid w:val="00D566BD"/>
    <w:rsid w:val="00D57A4D"/>
    <w:rsid w:val="00D60AA7"/>
    <w:rsid w:val="00D60D87"/>
    <w:rsid w:val="00D6435F"/>
    <w:rsid w:val="00D64DA2"/>
    <w:rsid w:val="00D65568"/>
    <w:rsid w:val="00D70862"/>
    <w:rsid w:val="00D73DDD"/>
    <w:rsid w:val="00D7497C"/>
    <w:rsid w:val="00D75E28"/>
    <w:rsid w:val="00D772C2"/>
    <w:rsid w:val="00D8008E"/>
    <w:rsid w:val="00D8075C"/>
    <w:rsid w:val="00D82C45"/>
    <w:rsid w:val="00D82F1E"/>
    <w:rsid w:val="00D835EA"/>
    <w:rsid w:val="00D848D0"/>
    <w:rsid w:val="00D908A8"/>
    <w:rsid w:val="00D9260F"/>
    <w:rsid w:val="00D977B6"/>
    <w:rsid w:val="00DA0B3C"/>
    <w:rsid w:val="00DA1480"/>
    <w:rsid w:val="00DA1C65"/>
    <w:rsid w:val="00DA4A31"/>
    <w:rsid w:val="00DA61F2"/>
    <w:rsid w:val="00DA62A6"/>
    <w:rsid w:val="00DA73D9"/>
    <w:rsid w:val="00DA7B04"/>
    <w:rsid w:val="00DB116E"/>
    <w:rsid w:val="00DB33CA"/>
    <w:rsid w:val="00DB36B1"/>
    <w:rsid w:val="00DB36C2"/>
    <w:rsid w:val="00DB5CA7"/>
    <w:rsid w:val="00DB6F14"/>
    <w:rsid w:val="00DB7196"/>
    <w:rsid w:val="00DC0579"/>
    <w:rsid w:val="00DC13CB"/>
    <w:rsid w:val="00DC169B"/>
    <w:rsid w:val="00DC2AB9"/>
    <w:rsid w:val="00DC63F0"/>
    <w:rsid w:val="00DC73B6"/>
    <w:rsid w:val="00DD1740"/>
    <w:rsid w:val="00DD2106"/>
    <w:rsid w:val="00DD3800"/>
    <w:rsid w:val="00DD3FD1"/>
    <w:rsid w:val="00DD42C2"/>
    <w:rsid w:val="00DD696B"/>
    <w:rsid w:val="00DD6EE5"/>
    <w:rsid w:val="00DE1016"/>
    <w:rsid w:val="00DE1B8E"/>
    <w:rsid w:val="00DE3266"/>
    <w:rsid w:val="00DE386C"/>
    <w:rsid w:val="00DE4D35"/>
    <w:rsid w:val="00DF0549"/>
    <w:rsid w:val="00DF098B"/>
    <w:rsid w:val="00DF11C4"/>
    <w:rsid w:val="00DF210C"/>
    <w:rsid w:val="00DF3CFF"/>
    <w:rsid w:val="00DF4B6A"/>
    <w:rsid w:val="00E02C09"/>
    <w:rsid w:val="00E0307B"/>
    <w:rsid w:val="00E04768"/>
    <w:rsid w:val="00E04D59"/>
    <w:rsid w:val="00E05943"/>
    <w:rsid w:val="00E07DA1"/>
    <w:rsid w:val="00E111A4"/>
    <w:rsid w:val="00E123CB"/>
    <w:rsid w:val="00E147EF"/>
    <w:rsid w:val="00E1557C"/>
    <w:rsid w:val="00E17CF9"/>
    <w:rsid w:val="00E20E13"/>
    <w:rsid w:val="00E21DBC"/>
    <w:rsid w:val="00E26A3A"/>
    <w:rsid w:val="00E275D7"/>
    <w:rsid w:val="00E27DBE"/>
    <w:rsid w:val="00E31AEC"/>
    <w:rsid w:val="00E32868"/>
    <w:rsid w:val="00E32AB1"/>
    <w:rsid w:val="00E36C71"/>
    <w:rsid w:val="00E40404"/>
    <w:rsid w:val="00E459C6"/>
    <w:rsid w:val="00E47589"/>
    <w:rsid w:val="00E5273A"/>
    <w:rsid w:val="00E52E87"/>
    <w:rsid w:val="00E555D8"/>
    <w:rsid w:val="00E61B39"/>
    <w:rsid w:val="00E64915"/>
    <w:rsid w:val="00E6591F"/>
    <w:rsid w:val="00E661D4"/>
    <w:rsid w:val="00E6757C"/>
    <w:rsid w:val="00E70091"/>
    <w:rsid w:val="00E701BA"/>
    <w:rsid w:val="00E720F5"/>
    <w:rsid w:val="00E739C4"/>
    <w:rsid w:val="00E74FBC"/>
    <w:rsid w:val="00E76D47"/>
    <w:rsid w:val="00E81E49"/>
    <w:rsid w:val="00E84301"/>
    <w:rsid w:val="00E849F7"/>
    <w:rsid w:val="00E84F8F"/>
    <w:rsid w:val="00E86B30"/>
    <w:rsid w:val="00E90302"/>
    <w:rsid w:val="00E945F1"/>
    <w:rsid w:val="00E9597F"/>
    <w:rsid w:val="00E97396"/>
    <w:rsid w:val="00EA145E"/>
    <w:rsid w:val="00EA185E"/>
    <w:rsid w:val="00EA2F55"/>
    <w:rsid w:val="00EA592A"/>
    <w:rsid w:val="00EA5B22"/>
    <w:rsid w:val="00EB0748"/>
    <w:rsid w:val="00EB14E4"/>
    <w:rsid w:val="00EB1576"/>
    <w:rsid w:val="00EB2C83"/>
    <w:rsid w:val="00EB3001"/>
    <w:rsid w:val="00EB32A5"/>
    <w:rsid w:val="00EB3467"/>
    <w:rsid w:val="00EB34ED"/>
    <w:rsid w:val="00EB7BE0"/>
    <w:rsid w:val="00EC315E"/>
    <w:rsid w:val="00EC3BAB"/>
    <w:rsid w:val="00EC5B5F"/>
    <w:rsid w:val="00EC6FCF"/>
    <w:rsid w:val="00ED077C"/>
    <w:rsid w:val="00ED1190"/>
    <w:rsid w:val="00ED6544"/>
    <w:rsid w:val="00ED7063"/>
    <w:rsid w:val="00EE0277"/>
    <w:rsid w:val="00EE1836"/>
    <w:rsid w:val="00EE1DA9"/>
    <w:rsid w:val="00EE1FC3"/>
    <w:rsid w:val="00EE3E00"/>
    <w:rsid w:val="00EE4D74"/>
    <w:rsid w:val="00EE5026"/>
    <w:rsid w:val="00EE5DD2"/>
    <w:rsid w:val="00EF41F1"/>
    <w:rsid w:val="00EF4F08"/>
    <w:rsid w:val="00EF573B"/>
    <w:rsid w:val="00F00A79"/>
    <w:rsid w:val="00F00E86"/>
    <w:rsid w:val="00F00F8B"/>
    <w:rsid w:val="00F01448"/>
    <w:rsid w:val="00F07763"/>
    <w:rsid w:val="00F07C1E"/>
    <w:rsid w:val="00F105DB"/>
    <w:rsid w:val="00F1295B"/>
    <w:rsid w:val="00F12A6D"/>
    <w:rsid w:val="00F132BC"/>
    <w:rsid w:val="00F13D80"/>
    <w:rsid w:val="00F14CB5"/>
    <w:rsid w:val="00F15922"/>
    <w:rsid w:val="00F159F7"/>
    <w:rsid w:val="00F16598"/>
    <w:rsid w:val="00F16AAA"/>
    <w:rsid w:val="00F16BF9"/>
    <w:rsid w:val="00F21161"/>
    <w:rsid w:val="00F218EF"/>
    <w:rsid w:val="00F21BC7"/>
    <w:rsid w:val="00F228DE"/>
    <w:rsid w:val="00F25026"/>
    <w:rsid w:val="00F266A2"/>
    <w:rsid w:val="00F32269"/>
    <w:rsid w:val="00F33827"/>
    <w:rsid w:val="00F403C5"/>
    <w:rsid w:val="00F412A7"/>
    <w:rsid w:val="00F42372"/>
    <w:rsid w:val="00F432BB"/>
    <w:rsid w:val="00F4457E"/>
    <w:rsid w:val="00F4589C"/>
    <w:rsid w:val="00F505DE"/>
    <w:rsid w:val="00F5156C"/>
    <w:rsid w:val="00F56A6F"/>
    <w:rsid w:val="00F5709C"/>
    <w:rsid w:val="00F60502"/>
    <w:rsid w:val="00F64EF1"/>
    <w:rsid w:val="00F75781"/>
    <w:rsid w:val="00F80DC5"/>
    <w:rsid w:val="00F8765F"/>
    <w:rsid w:val="00F90767"/>
    <w:rsid w:val="00F9086F"/>
    <w:rsid w:val="00F92A93"/>
    <w:rsid w:val="00F97561"/>
    <w:rsid w:val="00FA1D84"/>
    <w:rsid w:val="00FA349C"/>
    <w:rsid w:val="00FA4F31"/>
    <w:rsid w:val="00FA685B"/>
    <w:rsid w:val="00FA6F10"/>
    <w:rsid w:val="00FB0C01"/>
    <w:rsid w:val="00FB1A2F"/>
    <w:rsid w:val="00FB3224"/>
    <w:rsid w:val="00FB438E"/>
    <w:rsid w:val="00FB60E0"/>
    <w:rsid w:val="00FC18F2"/>
    <w:rsid w:val="00FC39E5"/>
    <w:rsid w:val="00FC3A78"/>
    <w:rsid w:val="00FC5FFE"/>
    <w:rsid w:val="00FD1005"/>
    <w:rsid w:val="00FD3180"/>
    <w:rsid w:val="00FD5AE4"/>
    <w:rsid w:val="00FD6C75"/>
    <w:rsid w:val="00FD6FD5"/>
    <w:rsid w:val="00FE1BE9"/>
    <w:rsid w:val="00FE71B3"/>
    <w:rsid w:val="00FE7A2F"/>
    <w:rsid w:val="00FF256A"/>
    <w:rsid w:val="00FF281B"/>
    <w:rsid w:val="00FF397B"/>
    <w:rsid w:val="00FF3CFA"/>
    <w:rsid w:val="00FF42C5"/>
    <w:rsid w:val="00FF46B9"/>
    <w:rsid w:val="00FF57C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7010A"/>
    <w:pPr>
      <w:jc w:val="both"/>
    </w:pPr>
    <w:rPr>
      <w:rFonts w:eastAsia="MS Mincho"/>
      <w:sz w:val="24"/>
      <w:szCs w:val="24"/>
      <w:lang w:val="en-GB" w:eastAsia="en-US"/>
    </w:rPr>
  </w:style>
  <w:style w:type="paragraph" w:styleId="Heading1">
    <w:name w:val="heading 1"/>
    <w:basedOn w:val="Normal"/>
    <w:next w:val="Normal"/>
    <w:link w:val="Heading1Char"/>
    <w:uiPriority w:val="99"/>
    <w:qFormat/>
    <w:rsid w:val="0037010A"/>
    <w:pPr>
      <w:spacing w:before="480"/>
      <w:outlineLvl w:val="0"/>
    </w:pPr>
    <w:rPr>
      <w:rFonts w:eastAsia="MS Gothic"/>
      <w:b/>
      <w:bCs/>
      <w:color w:val="333333"/>
      <w:sz w:val="28"/>
      <w:szCs w:val="28"/>
      <w:lang w:eastAsia="pl-PL"/>
    </w:rPr>
  </w:style>
  <w:style w:type="paragraph" w:styleId="Heading2">
    <w:name w:val="heading 2"/>
    <w:basedOn w:val="Normal"/>
    <w:next w:val="Normal"/>
    <w:link w:val="Heading2Char"/>
    <w:uiPriority w:val="99"/>
    <w:qFormat/>
    <w:rsid w:val="0037010A"/>
    <w:pPr>
      <w:spacing w:before="200"/>
      <w:outlineLvl w:val="1"/>
    </w:pPr>
    <w:rPr>
      <w:rFonts w:eastAsia="MS Gothic"/>
      <w:b/>
      <w:bCs/>
      <w:color w:val="4D4D4D"/>
      <w:sz w:val="26"/>
      <w:szCs w:val="26"/>
      <w:lang w:eastAsia="pl-PL"/>
    </w:rPr>
  </w:style>
  <w:style w:type="paragraph" w:styleId="Heading3">
    <w:name w:val="heading 3"/>
    <w:basedOn w:val="Normal"/>
    <w:next w:val="Normal"/>
    <w:link w:val="Heading3Char"/>
    <w:uiPriority w:val="99"/>
    <w:qFormat/>
    <w:rsid w:val="0037010A"/>
    <w:pPr>
      <w:spacing w:before="200" w:line="271" w:lineRule="auto"/>
      <w:outlineLvl w:val="2"/>
    </w:pPr>
    <w:rPr>
      <w:rFonts w:eastAsia="MS Gothic"/>
      <w:b/>
      <w:bCs/>
      <w:color w:val="5F5F5F"/>
      <w:lang w:eastAsia="pl-PL"/>
    </w:rPr>
  </w:style>
  <w:style w:type="paragraph" w:styleId="Heading4">
    <w:name w:val="heading 4"/>
    <w:basedOn w:val="Normal"/>
    <w:next w:val="Normal"/>
    <w:link w:val="Heading4Char"/>
    <w:uiPriority w:val="99"/>
    <w:qFormat/>
    <w:rsid w:val="0037010A"/>
    <w:pPr>
      <w:spacing w:before="200"/>
      <w:outlineLvl w:val="3"/>
    </w:pPr>
    <w:rPr>
      <w:rFonts w:eastAsia="MS Gothic"/>
      <w:b/>
      <w:bCs/>
      <w:i/>
      <w:iCs/>
      <w:color w:val="777777"/>
      <w:lang w:eastAsia="pl-PL"/>
    </w:rPr>
  </w:style>
  <w:style w:type="paragraph" w:styleId="Heading5">
    <w:name w:val="heading 5"/>
    <w:basedOn w:val="Normal"/>
    <w:next w:val="Normal"/>
    <w:link w:val="Heading5Char"/>
    <w:uiPriority w:val="99"/>
    <w:qFormat/>
    <w:rsid w:val="0037010A"/>
    <w:pPr>
      <w:spacing w:before="200"/>
      <w:outlineLvl w:val="4"/>
    </w:pPr>
    <w:rPr>
      <w:rFonts w:eastAsia="MS Gothic"/>
      <w:b/>
      <w:bCs/>
      <w:color w:val="808080"/>
      <w:sz w:val="20"/>
      <w:szCs w:val="20"/>
      <w:lang w:val="pl-PL" w:eastAsia="pl-PL"/>
    </w:rPr>
  </w:style>
  <w:style w:type="paragraph" w:styleId="Heading6">
    <w:name w:val="heading 6"/>
    <w:basedOn w:val="Normal"/>
    <w:next w:val="Normal"/>
    <w:link w:val="Heading6Char"/>
    <w:uiPriority w:val="99"/>
    <w:qFormat/>
    <w:rsid w:val="0037010A"/>
    <w:pPr>
      <w:spacing w:line="271" w:lineRule="auto"/>
      <w:outlineLvl w:val="5"/>
    </w:pPr>
    <w:rPr>
      <w:rFonts w:eastAsia="MS Gothic"/>
      <w:b/>
      <w:bCs/>
      <w:i/>
      <w:iCs/>
      <w:color w:val="7F7F7F"/>
      <w:lang w:eastAsia="pl-PL"/>
    </w:rPr>
  </w:style>
  <w:style w:type="paragraph" w:styleId="Heading7">
    <w:name w:val="heading 7"/>
    <w:basedOn w:val="Normal"/>
    <w:next w:val="Normal"/>
    <w:link w:val="Heading7Char"/>
    <w:uiPriority w:val="99"/>
    <w:qFormat/>
    <w:rsid w:val="0037010A"/>
    <w:pPr>
      <w:outlineLvl w:val="6"/>
    </w:pPr>
    <w:rPr>
      <w:rFonts w:eastAsia="MS Gothic"/>
      <w:i/>
      <w:iCs/>
      <w:sz w:val="20"/>
      <w:szCs w:val="20"/>
      <w:lang w:val="pl-PL" w:eastAsia="pl-PL"/>
    </w:rPr>
  </w:style>
  <w:style w:type="paragraph" w:styleId="Heading8">
    <w:name w:val="heading 8"/>
    <w:basedOn w:val="Normal"/>
    <w:next w:val="Normal"/>
    <w:link w:val="Heading8Char"/>
    <w:uiPriority w:val="99"/>
    <w:qFormat/>
    <w:rsid w:val="0037010A"/>
    <w:pPr>
      <w:outlineLvl w:val="7"/>
    </w:pPr>
    <w:rPr>
      <w:rFonts w:eastAsia="MS Gothic"/>
      <w:sz w:val="20"/>
      <w:szCs w:val="20"/>
      <w:lang w:val="pl-PL" w:eastAsia="pl-PL"/>
    </w:rPr>
  </w:style>
  <w:style w:type="paragraph" w:styleId="Heading9">
    <w:name w:val="heading 9"/>
    <w:basedOn w:val="Normal"/>
    <w:next w:val="Normal"/>
    <w:link w:val="Heading9Char"/>
    <w:uiPriority w:val="99"/>
    <w:qFormat/>
    <w:rsid w:val="0037010A"/>
    <w:pPr>
      <w:outlineLvl w:val="8"/>
    </w:pPr>
    <w:rPr>
      <w:rFonts w:eastAsia="MS Gothic"/>
      <w:i/>
      <w:iCs/>
      <w:spacing w:val="5"/>
      <w:sz w:val="20"/>
      <w:szCs w:val="20"/>
      <w:lang w:val="pl-PL"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37010A"/>
    <w:rPr>
      <w:rFonts w:ascii="Times New Roman" w:eastAsia="MS Gothic" w:hAnsi="Times New Roman" w:cs="Times New Roman"/>
      <w:b/>
      <w:bCs/>
      <w:color w:val="333333"/>
      <w:sz w:val="28"/>
      <w:szCs w:val="28"/>
      <w:lang w:val="en-GB"/>
    </w:rPr>
  </w:style>
  <w:style w:type="character" w:customStyle="1" w:styleId="Heading2Char">
    <w:name w:val="Heading 2 Char"/>
    <w:basedOn w:val="DefaultParagraphFont"/>
    <w:link w:val="Heading2"/>
    <w:uiPriority w:val="99"/>
    <w:semiHidden/>
    <w:locked/>
    <w:rsid w:val="0037010A"/>
    <w:rPr>
      <w:rFonts w:ascii="Times New Roman" w:eastAsia="MS Gothic" w:hAnsi="Times New Roman" w:cs="Times New Roman"/>
      <w:b/>
      <w:bCs/>
      <w:color w:val="4D4D4D"/>
      <w:sz w:val="26"/>
      <w:szCs w:val="26"/>
      <w:lang w:val="en-GB"/>
    </w:rPr>
  </w:style>
  <w:style w:type="character" w:customStyle="1" w:styleId="Heading3Char">
    <w:name w:val="Heading 3 Char"/>
    <w:basedOn w:val="DefaultParagraphFont"/>
    <w:link w:val="Heading3"/>
    <w:uiPriority w:val="99"/>
    <w:semiHidden/>
    <w:locked/>
    <w:rsid w:val="0037010A"/>
    <w:rPr>
      <w:rFonts w:ascii="Times New Roman" w:eastAsia="MS Gothic" w:hAnsi="Times New Roman" w:cs="Times New Roman"/>
      <w:b/>
      <w:bCs/>
      <w:color w:val="5F5F5F"/>
      <w:sz w:val="24"/>
      <w:szCs w:val="24"/>
      <w:lang w:val="en-GB"/>
    </w:rPr>
  </w:style>
  <w:style w:type="character" w:customStyle="1" w:styleId="Heading4Char">
    <w:name w:val="Heading 4 Char"/>
    <w:basedOn w:val="DefaultParagraphFont"/>
    <w:link w:val="Heading4"/>
    <w:uiPriority w:val="99"/>
    <w:semiHidden/>
    <w:locked/>
    <w:rsid w:val="0037010A"/>
    <w:rPr>
      <w:rFonts w:ascii="Times New Roman" w:eastAsia="MS Gothic" w:hAnsi="Times New Roman" w:cs="Times New Roman"/>
      <w:b/>
      <w:bCs/>
      <w:i/>
      <w:iCs/>
      <w:color w:val="777777"/>
      <w:sz w:val="24"/>
      <w:szCs w:val="24"/>
      <w:lang w:val="en-GB"/>
    </w:rPr>
  </w:style>
  <w:style w:type="character" w:customStyle="1" w:styleId="Heading5Char">
    <w:name w:val="Heading 5 Char"/>
    <w:basedOn w:val="DefaultParagraphFont"/>
    <w:link w:val="Heading5"/>
    <w:uiPriority w:val="99"/>
    <w:semiHidden/>
    <w:locked/>
    <w:rsid w:val="0037010A"/>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semiHidden/>
    <w:locked/>
    <w:rsid w:val="0037010A"/>
    <w:rPr>
      <w:rFonts w:ascii="Times New Roman" w:eastAsia="MS Gothic" w:hAnsi="Times New Roman" w:cs="Times New Roman"/>
      <w:b/>
      <w:bCs/>
      <w:i/>
      <w:iCs/>
      <w:color w:val="7F7F7F"/>
      <w:sz w:val="24"/>
      <w:szCs w:val="24"/>
      <w:lang w:val="en-GB"/>
    </w:rPr>
  </w:style>
  <w:style w:type="character" w:customStyle="1" w:styleId="Heading7Char">
    <w:name w:val="Heading 7 Char"/>
    <w:basedOn w:val="DefaultParagraphFont"/>
    <w:link w:val="Heading7"/>
    <w:uiPriority w:val="99"/>
    <w:semiHidden/>
    <w:locked/>
    <w:rsid w:val="0037010A"/>
    <w:rPr>
      <w:rFonts w:ascii="Times New Roman" w:eastAsia="MS Gothic" w:hAnsi="Times New Roman" w:cs="Times New Roman"/>
      <w:i/>
      <w:iCs/>
    </w:rPr>
  </w:style>
  <w:style w:type="character" w:customStyle="1" w:styleId="Heading8Char">
    <w:name w:val="Heading 8 Char"/>
    <w:basedOn w:val="DefaultParagraphFont"/>
    <w:link w:val="Heading8"/>
    <w:uiPriority w:val="99"/>
    <w:semiHidden/>
    <w:locked/>
    <w:rsid w:val="0037010A"/>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37010A"/>
    <w:rPr>
      <w:rFonts w:ascii="Times New Roman" w:eastAsia="MS Gothic" w:hAnsi="Times New Roman" w:cs="Times New Roman"/>
      <w:i/>
      <w:iCs/>
      <w:spacing w:val="5"/>
      <w:sz w:val="20"/>
      <w:szCs w:val="20"/>
    </w:rPr>
  </w:style>
  <w:style w:type="paragraph" w:styleId="BalloonText">
    <w:name w:val="Balloon Text"/>
    <w:basedOn w:val="Normal"/>
    <w:link w:val="BalloonTextChar"/>
    <w:uiPriority w:val="99"/>
    <w:semiHidden/>
    <w:rsid w:val="0037010A"/>
    <w:rPr>
      <w:rFonts w:ascii="Tahoma" w:hAnsi="Tahoma" w:cs="Tahoma"/>
      <w:sz w:val="16"/>
      <w:szCs w:val="16"/>
      <w:lang w:eastAsia="pl-PL"/>
    </w:rPr>
  </w:style>
  <w:style w:type="character" w:customStyle="1" w:styleId="BalloonTextChar">
    <w:name w:val="Balloon Text Char"/>
    <w:basedOn w:val="DefaultParagraphFont"/>
    <w:link w:val="BalloonText"/>
    <w:uiPriority w:val="99"/>
    <w:semiHidden/>
    <w:locked/>
    <w:rsid w:val="0037010A"/>
    <w:rPr>
      <w:rFonts w:ascii="Tahoma" w:eastAsia="MS Mincho" w:hAnsi="Tahoma" w:cs="Tahoma"/>
      <w:sz w:val="16"/>
      <w:szCs w:val="16"/>
      <w:lang w:val="en-GB"/>
    </w:rPr>
  </w:style>
  <w:style w:type="character" w:styleId="BookTitle">
    <w:name w:val="Book Title"/>
    <w:basedOn w:val="DefaultParagraphFont"/>
    <w:uiPriority w:val="99"/>
    <w:qFormat/>
    <w:rsid w:val="0037010A"/>
    <w:rPr>
      <w:i/>
      <w:iCs/>
      <w:smallCaps/>
      <w:spacing w:val="5"/>
    </w:rPr>
  </w:style>
  <w:style w:type="paragraph" w:customStyle="1" w:styleId="ECHRHeader">
    <w:name w:val="ECHR_Header"/>
    <w:aliases w:val="Ju_Header"/>
    <w:basedOn w:val="Header"/>
    <w:uiPriority w:val="99"/>
    <w:rsid w:val="0037010A"/>
    <w:pPr>
      <w:tabs>
        <w:tab w:val="clear" w:pos="4536"/>
        <w:tab w:val="clear" w:pos="9072"/>
        <w:tab w:val="center" w:pos="3686"/>
        <w:tab w:val="right" w:pos="7371"/>
      </w:tabs>
      <w:jc w:val="left"/>
    </w:pPr>
    <w:rPr>
      <w:sz w:val="18"/>
      <w:szCs w:val="18"/>
    </w:rPr>
  </w:style>
  <w:style w:type="paragraph" w:customStyle="1" w:styleId="ECHRFooter">
    <w:name w:val="ECHR_Footer"/>
    <w:aliases w:val="Footer_ECHR"/>
    <w:basedOn w:val="Footer"/>
    <w:uiPriority w:val="99"/>
    <w:semiHidden/>
    <w:rsid w:val="0037010A"/>
    <w:pPr>
      <w:jc w:val="left"/>
    </w:pPr>
    <w:rPr>
      <w:sz w:val="8"/>
      <w:szCs w:val="8"/>
    </w:rPr>
  </w:style>
  <w:style w:type="character" w:styleId="Strong">
    <w:name w:val="Strong"/>
    <w:basedOn w:val="DefaultParagraphFont"/>
    <w:uiPriority w:val="99"/>
    <w:qFormat/>
    <w:rsid w:val="0037010A"/>
    <w:rPr>
      <w:b/>
      <w:bCs/>
    </w:rPr>
  </w:style>
  <w:style w:type="paragraph" w:styleId="NoSpacing">
    <w:name w:val="No Spacing"/>
    <w:basedOn w:val="Normal"/>
    <w:link w:val="NoSpacingChar"/>
    <w:uiPriority w:val="99"/>
    <w:qFormat/>
    <w:rsid w:val="0037010A"/>
    <w:rPr>
      <w:sz w:val="20"/>
      <w:szCs w:val="20"/>
      <w:lang w:val="pl-PL" w:eastAsia="pl-PL"/>
    </w:rPr>
  </w:style>
  <w:style w:type="character" w:customStyle="1" w:styleId="NoSpacingChar">
    <w:name w:val="No Spacing Char"/>
    <w:link w:val="NoSpacing"/>
    <w:uiPriority w:val="99"/>
    <w:semiHidden/>
    <w:locked/>
    <w:rsid w:val="0037010A"/>
    <w:rPr>
      <w:rFonts w:eastAsia="MS Mincho"/>
    </w:rPr>
  </w:style>
  <w:style w:type="paragraph" w:customStyle="1" w:styleId="ECHRFooterLine">
    <w:name w:val="ECHR_Footer_Line"/>
    <w:aliases w:val="Footer_Line"/>
    <w:basedOn w:val="Normal"/>
    <w:next w:val="ECHRFooter"/>
    <w:uiPriority w:val="99"/>
    <w:semiHidden/>
    <w:rsid w:val="0037010A"/>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99"/>
    <w:semiHidden/>
    <w:rsid w:val="0037010A"/>
  </w:style>
  <w:style w:type="paragraph" w:customStyle="1" w:styleId="DecList">
    <w:name w:val="Dec_List"/>
    <w:basedOn w:val="Normal"/>
    <w:uiPriority w:val="99"/>
    <w:semiHidden/>
    <w:rsid w:val="0037010A"/>
    <w:pPr>
      <w:spacing w:before="240"/>
      <w:ind w:left="284"/>
    </w:pPr>
  </w:style>
  <w:style w:type="paragraph" w:customStyle="1" w:styleId="DummyStyle">
    <w:name w:val="Dummy_Style"/>
    <w:basedOn w:val="Normal"/>
    <w:uiPriority w:val="99"/>
    <w:semiHidden/>
    <w:rsid w:val="0037010A"/>
    <w:rPr>
      <w:color w:val="00B050"/>
    </w:rPr>
  </w:style>
  <w:style w:type="paragraph" w:customStyle="1" w:styleId="ECHRTitleCentre3">
    <w:name w:val="ECHR_Title_Centre_3"/>
    <w:aliases w:val="Ju_H_Article"/>
    <w:basedOn w:val="Normal"/>
    <w:next w:val="ECHRParaQuote"/>
    <w:uiPriority w:val="99"/>
    <w:rsid w:val="0037010A"/>
    <w:pPr>
      <w:keepNext/>
      <w:keepLines/>
      <w:spacing w:before="240" w:after="120"/>
      <w:jc w:val="center"/>
      <w:outlineLvl w:val="3"/>
    </w:pPr>
    <w:rPr>
      <w:b/>
      <w:bCs/>
      <w:sz w:val="20"/>
      <w:szCs w:val="20"/>
    </w:rPr>
  </w:style>
  <w:style w:type="paragraph" w:customStyle="1" w:styleId="ECHRTitleCentre1">
    <w:name w:val="ECHR_Title_Centre_1"/>
    <w:aliases w:val="Opi_H_Head"/>
    <w:basedOn w:val="Normal"/>
    <w:next w:val="OpiPara"/>
    <w:uiPriority w:val="99"/>
    <w:rsid w:val="0037010A"/>
    <w:pPr>
      <w:keepNext/>
      <w:keepLines/>
      <w:spacing w:after="240"/>
      <w:jc w:val="center"/>
      <w:outlineLvl w:val="0"/>
    </w:pPr>
    <w:rPr>
      <w:sz w:val="28"/>
      <w:szCs w:val="28"/>
    </w:rPr>
  </w:style>
  <w:style w:type="paragraph" w:customStyle="1" w:styleId="JuAppQuestion">
    <w:name w:val="Ju_App_Question"/>
    <w:basedOn w:val="Normal"/>
    <w:uiPriority w:val="99"/>
    <w:semiHidden/>
    <w:rsid w:val="0037010A"/>
    <w:pPr>
      <w:numPr>
        <w:numId w:val="18"/>
      </w:numPr>
      <w:tabs>
        <w:tab w:val="clear" w:pos="926"/>
        <w:tab w:val="num" w:pos="720"/>
      </w:tabs>
      <w:ind w:left="720"/>
      <w:jc w:val="left"/>
    </w:pPr>
    <w:rPr>
      <w:b/>
      <w:bCs/>
    </w:rPr>
  </w:style>
  <w:style w:type="paragraph" w:customStyle="1" w:styleId="JuCourt">
    <w:name w:val="Ju_Court"/>
    <w:basedOn w:val="Normal"/>
    <w:next w:val="Normal"/>
    <w:uiPriority w:val="99"/>
    <w:rsid w:val="0037010A"/>
    <w:pPr>
      <w:tabs>
        <w:tab w:val="left" w:pos="907"/>
        <w:tab w:val="left" w:pos="1701"/>
        <w:tab w:val="right" w:pos="7371"/>
      </w:tabs>
      <w:spacing w:before="240"/>
      <w:ind w:left="397" w:hanging="397"/>
      <w:jc w:val="left"/>
    </w:pPr>
  </w:style>
  <w:style w:type="paragraph" w:customStyle="1" w:styleId="JuHeaderLandscape">
    <w:name w:val="Ju_Header_Landscape"/>
    <w:basedOn w:val="ECHRHeader"/>
    <w:uiPriority w:val="99"/>
    <w:rsid w:val="0037010A"/>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99"/>
    <w:rsid w:val="0037010A"/>
    <w:pPr>
      <w:spacing w:after="240"/>
      <w:jc w:val="center"/>
      <w:outlineLvl w:val="0"/>
    </w:pPr>
  </w:style>
  <w:style w:type="character" w:customStyle="1" w:styleId="JuITMark">
    <w:name w:val="Ju_ITMark"/>
    <w:uiPriority w:val="99"/>
    <w:rsid w:val="0037010A"/>
    <w:rPr>
      <w:color w:val="auto"/>
      <w:sz w:val="14"/>
      <w:szCs w:val="14"/>
      <w:shd w:val="clear" w:color="auto" w:fill="BEE5FF"/>
    </w:rPr>
  </w:style>
  <w:style w:type="paragraph" w:styleId="Title">
    <w:name w:val="Title"/>
    <w:basedOn w:val="Normal"/>
    <w:next w:val="Normal"/>
    <w:link w:val="TitleChar"/>
    <w:uiPriority w:val="99"/>
    <w:qFormat/>
    <w:rsid w:val="0037010A"/>
    <w:pPr>
      <w:pBdr>
        <w:bottom w:val="single" w:sz="4" w:space="1" w:color="auto"/>
      </w:pBdr>
    </w:pPr>
    <w:rPr>
      <w:rFonts w:eastAsia="MS Gothic"/>
      <w:spacing w:val="5"/>
      <w:sz w:val="52"/>
      <w:szCs w:val="52"/>
      <w:lang w:val="pl-PL" w:eastAsia="pl-PL"/>
    </w:rPr>
  </w:style>
  <w:style w:type="character" w:customStyle="1" w:styleId="TitleChar">
    <w:name w:val="Title Char"/>
    <w:basedOn w:val="DefaultParagraphFont"/>
    <w:link w:val="Title"/>
    <w:uiPriority w:val="99"/>
    <w:semiHidden/>
    <w:locked/>
    <w:rsid w:val="0037010A"/>
    <w:rPr>
      <w:rFonts w:ascii="Times New Roman" w:eastAsia="MS Gothic" w:hAnsi="Times New Roman" w:cs="Times New Roman"/>
      <w:spacing w:val="5"/>
      <w:sz w:val="52"/>
      <w:szCs w:val="52"/>
    </w:rPr>
  </w:style>
  <w:style w:type="paragraph" w:customStyle="1" w:styleId="ECHRHeading3">
    <w:name w:val="ECHR_Heading_3"/>
    <w:aliases w:val="Ju_H_1."/>
    <w:basedOn w:val="Heading3"/>
    <w:next w:val="ECHRPara"/>
    <w:uiPriority w:val="99"/>
    <w:rsid w:val="0037010A"/>
    <w:pPr>
      <w:keepNext/>
      <w:keepLines/>
      <w:tabs>
        <w:tab w:val="left" w:pos="731"/>
      </w:tabs>
      <w:spacing w:before="240" w:after="120" w:line="240" w:lineRule="auto"/>
      <w:ind w:left="732" w:hanging="301"/>
    </w:pPr>
    <w:rPr>
      <w:b w:val="0"/>
      <w:bCs w:val="0"/>
      <w:i/>
      <w:iCs/>
      <w:color w:val="auto"/>
    </w:rPr>
  </w:style>
  <w:style w:type="paragraph" w:customStyle="1" w:styleId="ECHRHeading4">
    <w:name w:val="ECHR_Heading_4"/>
    <w:aliases w:val="Ju_H_a"/>
    <w:basedOn w:val="Heading4"/>
    <w:next w:val="ECHRPara"/>
    <w:uiPriority w:val="99"/>
    <w:rsid w:val="0037010A"/>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
    <w:basedOn w:val="Heading5"/>
    <w:next w:val="ECHRPara"/>
    <w:uiPriority w:val="99"/>
    <w:rsid w:val="0037010A"/>
    <w:pPr>
      <w:keepNext/>
      <w:keepLines/>
      <w:tabs>
        <w:tab w:val="left" w:pos="1191"/>
      </w:tabs>
      <w:spacing w:before="240" w:after="120"/>
      <w:ind w:left="1190" w:hanging="357"/>
    </w:pPr>
    <w:rPr>
      <w:b w:val="0"/>
      <w:bCs w:val="0"/>
      <w:i/>
      <w:iCs/>
      <w:color w:val="auto"/>
      <w:lang w:val="en-GB"/>
    </w:rPr>
  </w:style>
  <w:style w:type="paragraph" w:customStyle="1" w:styleId="ECHRHeading6">
    <w:name w:val="ECHR_Heading_6"/>
    <w:aliases w:val="Ju_H_alpha"/>
    <w:basedOn w:val="Heading6"/>
    <w:next w:val="ECHRPara"/>
    <w:uiPriority w:val="99"/>
    <w:rsid w:val="0037010A"/>
    <w:pPr>
      <w:keepNext/>
      <w:keepLines/>
      <w:tabs>
        <w:tab w:val="left" w:pos="1372"/>
      </w:tabs>
      <w:spacing w:before="240" w:after="120" w:line="240" w:lineRule="auto"/>
      <w:ind w:left="1373" w:hanging="335"/>
    </w:pPr>
    <w:rPr>
      <w:b w:val="0"/>
      <w:bCs w:val="0"/>
      <w:i w:val="0"/>
      <w:iCs w:val="0"/>
      <w:color w:val="auto"/>
      <w:sz w:val="20"/>
      <w:szCs w:val="20"/>
    </w:rPr>
  </w:style>
  <w:style w:type="paragraph" w:customStyle="1" w:styleId="ECHRHeading7">
    <w:name w:val="ECHR_Heading_7"/>
    <w:aliases w:val="Ju_H_–"/>
    <w:basedOn w:val="Heading7"/>
    <w:next w:val="ECHRPara"/>
    <w:uiPriority w:val="99"/>
    <w:rsid w:val="0037010A"/>
    <w:pPr>
      <w:keepNext/>
      <w:keepLines/>
      <w:spacing w:before="240" w:after="120"/>
      <w:ind w:left="1236"/>
    </w:pPr>
    <w:rPr>
      <w:lang w:val="en-GB"/>
    </w:rPr>
  </w:style>
  <w:style w:type="paragraph" w:customStyle="1" w:styleId="JuQuotSub">
    <w:name w:val="Ju_Quot_Sub"/>
    <w:basedOn w:val="ECHRParaQuote"/>
    <w:uiPriority w:val="99"/>
    <w:rsid w:val="0037010A"/>
    <w:pPr>
      <w:ind w:left="567"/>
    </w:pPr>
  </w:style>
  <w:style w:type="paragraph" w:customStyle="1" w:styleId="JuInitialled">
    <w:name w:val="Ju_Initialled"/>
    <w:basedOn w:val="Normal"/>
    <w:uiPriority w:val="99"/>
    <w:rsid w:val="0037010A"/>
    <w:pPr>
      <w:tabs>
        <w:tab w:val="center" w:pos="6407"/>
      </w:tabs>
      <w:spacing w:before="720"/>
      <w:jc w:val="right"/>
    </w:pPr>
  </w:style>
  <w:style w:type="character" w:customStyle="1" w:styleId="JUNAMES">
    <w:name w:val="JU_NAMES"/>
    <w:uiPriority w:val="99"/>
    <w:rsid w:val="0037010A"/>
    <w:rPr>
      <w:smallCaps/>
    </w:rPr>
  </w:style>
  <w:style w:type="paragraph" w:styleId="Header">
    <w:name w:val="header"/>
    <w:basedOn w:val="Normal"/>
    <w:link w:val="HeaderChar"/>
    <w:uiPriority w:val="99"/>
    <w:semiHidden/>
    <w:rsid w:val="0037010A"/>
    <w:pPr>
      <w:tabs>
        <w:tab w:val="center" w:pos="4536"/>
        <w:tab w:val="right" w:pos="9072"/>
      </w:tabs>
    </w:pPr>
    <w:rPr>
      <w:rFonts w:eastAsia="Times New Roman"/>
      <w:lang w:eastAsia="pl-PL"/>
    </w:rPr>
  </w:style>
  <w:style w:type="character" w:customStyle="1" w:styleId="HeaderChar">
    <w:name w:val="Header Char"/>
    <w:basedOn w:val="DefaultParagraphFont"/>
    <w:link w:val="Header"/>
    <w:uiPriority w:val="99"/>
    <w:semiHidden/>
    <w:locked/>
    <w:rsid w:val="0037010A"/>
    <w:rPr>
      <w:sz w:val="24"/>
      <w:szCs w:val="24"/>
      <w:lang w:val="en-GB"/>
    </w:rPr>
  </w:style>
  <w:style w:type="paragraph" w:customStyle="1" w:styleId="ECHRHeading1">
    <w:name w:val="ECHR_Heading_1"/>
    <w:aliases w:val="Ju_H_I_Roman"/>
    <w:basedOn w:val="Heading1"/>
    <w:next w:val="ECHRPara"/>
    <w:uiPriority w:val="99"/>
    <w:rsid w:val="0037010A"/>
    <w:pPr>
      <w:keepNext/>
      <w:keepLines/>
      <w:tabs>
        <w:tab w:val="left" w:pos="357"/>
      </w:tabs>
      <w:spacing w:before="360" w:after="240"/>
      <w:ind w:left="357" w:hanging="357"/>
    </w:pPr>
    <w:rPr>
      <w:b w:val="0"/>
      <w:bCs w:val="0"/>
      <w:color w:val="auto"/>
      <w:sz w:val="24"/>
      <w:szCs w:val="24"/>
    </w:rPr>
  </w:style>
  <w:style w:type="paragraph" w:customStyle="1" w:styleId="ECHRHeading2">
    <w:name w:val="ECHR_Heading_2"/>
    <w:aliases w:val="Ju_H_A"/>
    <w:basedOn w:val="Heading2"/>
    <w:next w:val="ECHRPara"/>
    <w:uiPriority w:val="99"/>
    <w:rsid w:val="0037010A"/>
    <w:pPr>
      <w:keepNext/>
      <w:keepLines/>
      <w:tabs>
        <w:tab w:val="left" w:pos="584"/>
      </w:tabs>
      <w:spacing w:before="360" w:after="240"/>
      <w:ind w:left="584" w:hanging="352"/>
    </w:pPr>
    <w:rPr>
      <w:color w:val="auto"/>
      <w:sz w:val="24"/>
      <w:szCs w:val="24"/>
    </w:rPr>
  </w:style>
  <w:style w:type="paragraph" w:customStyle="1" w:styleId="JuParaSub">
    <w:name w:val="Ju_Para_Sub"/>
    <w:basedOn w:val="ECHRPara"/>
    <w:uiPriority w:val="99"/>
    <w:rsid w:val="0037010A"/>
    <w:pPr>
      <w:ind w:left="284"/>
    </w:pPr>
  </w:style>
  <w:style w:type="paragraph" w:customStyle="1" w:styleId="JuCase">
    <w:name w:val="Ju_Case"/>
    <w:basedOn w:val="Normal"/>
    <w:next w:val="ECHRPara"/>
    <w:uiPriority w:val="99"/>
    <w:rsid w:val="0037010A"/>
    <w:pPr>
      <w:ind w:firstLine="284"/>
    </w:pPr>
    <w:rPr>
      <w:b/>
      <w:bCs/>
    </w:rPr>
  </w:style>
  <w:style w:type="character" w:styleId="SubtleEmphasis">
    <w:name w:val="Subtle Emphasis"/>
    <w:basedOn w:val="DefaultParagraphFont"/>
    <w:uiPriority w:val="99"/>
    <w:qFormat/>
    <w:rsid w:val="0037010A"/>
    <w:rPr>
      <w:i/>
      <w:iCs/>
    </w:rPr>
  </w:style>
  <w:style w:type="table" w:customStyle="1" w:styleId="ECHRTable">
    <w:name w:val="ECHR_Table"/>
    <w:uiPriority w:val="99"/>
    <w:rsid w:val="00860B03"/>
    <w:rPr>
      <w:sz w:val="20"/>
      <w:szCs w:val="20"/>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rPr>
      <w:rFonts w:ascii="Verdana" w:hAnsi="Verdana" w:cs="Verdana"/>
      <w:sz w:val="20"/>
      <w:szCs w:val="20"/>
      <w:lang w:val="en-GB"/>
    </w:rPr>
    <w:tblPr>
      <w:tblCellMar>
        <w:top w:w="57" w:type="dxa"/>
        <w:left w:w="57" w:type="dxa"/>
        <w:bottom w:w="57" w:type="dxa"/>
        <w:right w:w="57" w:type="dxa"/>
      </w:tblCellMar>
    </w:tblPr>
    <w:tcPr>
      <w:shd w:val="clear" w:color="auto" w:fill="F8F8F8"/>
    </w:tcPr>
  </w:style>
  <w:style w:type="paragraph" w:customStyle="1" w:styleId="ECHRTitle1">
    <w:name w:val="ECHR_Title_1"/>
    <w:aliases w:val="Ju_H_Head"/>
    <w:basedOn w:val="Normal"/>
    <w:next w:val="ECHRPara"/>
    <w:uiPriority w:val="99"/>
    <w:rsid w:val="0037010A"/>
    <w:pPr>
      <w:keepNext/>
      <w:keepLines/>
      <w:spacing w:before="720" w:after="240"/>
      <w:outlineLvl w:val="0"/>
    </w:pPr>
    <w:rPr>
      <w:sz w:val="28"/>
      <w:szCs w:val="28"/>
    </w:rPr>
  </w:style>
  <w:style w:type="character" w:styleId="Emphasis">
    <w:name w:val="Emphasis"/>
    <w:basedOn w:val="DefaultParagraphFont"/>
    <w:uiPriority w:val="99"/>
    <w:qFormat/>
    <w:rsid w:val="0037010A"/>
    <w:rPr>
      <w:b/>
      <w:bCs/>
      <w:i/>
      <w:iCs/>
      <w:spacing w:val="10"/>
      <w:shd w:val="clear" w:color="auto" w:fill="auto"/>
    </w:rPr>
  </w:style>
  <w:style w:type="paragraph" w:styleId="Footer">
    <w:name w:val="footer"/>
    <w:basedOn w:val="Normal"/>
    <w:link w:val="FooterChar"/>
    <w:uiPriority w:val="99"/>
    <w:semiHidden/>
    <w:rsid w:val="0037010A"/>
    <w:pPr>
      <w:tabs>
        <w:tab w:val="center" w:pos="4536"/>
        <w:tab w:val="right" w:pos="9696"/>
      </w:tabs>
      <w:ind w:left="-680" w:right="-680"/>
    </w:pPr>
    <w:rPr>
      <w:rFonts w:eastAsia="Times New Roman"/>
      <w:lang w:eastAsia="pl-PL"/>
    </w:rPr>
  </w:style>
  <w:style w:type="character" w:customStyle="1" w:styleId="FooterChar">
    <w:name w:val="Footer Char"/>
    <w:basedOn w:val="DefaultParagraphFont"/>
    <w:link w:val="Footer"/>
    <w:uiPriority w:val="99"/>
    <w:semiHidden/>
    <w:locked/>
    <w:rsid w:val="0037010A"/>
    <w:rPr>
      <w:sz w:val="24"/>
      <w:szCs w:val="24"/>
      <w:lang w:val="en-GB"/>
    </w:rPr>
  </w:style>
  <w:style w:type="character" w:styleId="FootnoteReference">
    <w:name w:val="footnote reference"/>
    <w:basedOn w:val="DefaultParagraphFont"/>
    <w:uiPriority w:val="99"/>
    <w:semiHidden/>
    <w:rsid w:val="0037010A"/>
    <w:rPr>
      <w:vertAlign w:val="superscript"/>
    </w:rPr>
  </w:style>
  <w:style w:type="paragraph" w:styleId="FootnoteText">
    <w:name w:val="footnote text"/>
    <w:basedOn w:val="Normal"/>
    <w:link w:val="FootnoteTextChar"/>
    <w:uiPriority w:val="99"/>
    <w:semiHidden/>
    <w:rsid w:val="0037010A"/>
    <w:rPr>
      <w:sz w:val="20"/>
      <w:szCs w:val="20"/>
      <w:lang w:eastAsia="pl-PL"/>
    </w:rPr>
  </w:style>
  <w:style w:type="character" w:customStyle="1" w:styleId="FootnoteTextChar">
    <w:name w:val="Footnote Text Char"/>
    <w:basedOn w:val="DefaultParagraphFont"/>
    <w:link w:val="FootnoteText"/>
    <w:uiPriority w:val="99"/>
    <w:semiHidden/>
    <w:locked/>
    <w:rsid w:val="0037010A"/>
    <w:rPr>
      <w:rFonts w:eastAsia="MS Mincho"/>
      <w:sz w:val="20"/>
      <w:szCs w:val="20"/>
      <w:lang w:val="en-GB"/>
    </w:rPr>
  </w:style>
  <w:style w:type="character" w:styleId="Hyperlink">
    <w:name w:val="Hyperlink"/>
    <w:basedOn w:val="DefaultParagraphFont"/>
    <w:uiPriority w:val="99"/>
    <w:semiHidden/>
    <w:rsid w:val="0037010A"/>
    <w:rPr>
      <w:color w:val="0072BC"/>
      <w:u w:val="single"/>
    </w:rPr>
  </w:style>
  <w:style w:type="character" w:styleId="IntenseEmphasis">
    <w:name w:val="Intense Emphasis"/>
    <w:basedOn w:val="DefaultParagraphFont"/>
    <w:uiPriority w:val="99"/>
    <w:qFormat/>
    <w:rsid w:val="0037010A"/>
    <w:rPr>
      <w:b/>
      <w:bCs/>
    </w:rPr>
  </w:style>
  <w:style w:type="paragraph" w:styleId="IntenseQuote">
    <w:name w:val="Intense Quote"/>
    <w:basedOn w:val="Normal"/>
    <w:next w:val="Normal"/>
    <w:link w:val="IntenseQuoteChar"/>
    <w:uiPriority w:val="99"/>
    <w:qFormat/>
    <w:rsid w:val="0037010A"/>
    <w:pPr>
      <w:pBdr>
        <w:bottom w:val="single" w:sz="4" w:space="1" w:color="auto"/>
      </w:pBdr>
      <w:spacing w:before="200" w:after="280"/>
      <w:ind w:left="1008" w:right="1152"/>
    </w:pPr>
    <w:rPr>
      <w:b/>
      <w:bCs/>
      <w:i/>
      <w:iCs/>
      <w:sz w:val="20"/>
      <w:szCs w:val="20"/>
      <w:lang w:val="pl-PL" w:eastAsia="pl-PL"/>
    </w:rPr>
  </w:style>
  <w:style w:type="character" w:customStyle="1" w:styleId="IntenseQuoteChar">
    <w:name w:val="Intense Quote Char"/>
    <w:basedOn w:val="DefaultParagraphFont"/>
    <w:link w:val="IntenseQuote"/>
    <w:uiPriority w:val="99"/>
    <w:semiHidden/>
    <w:locked/>
    <w:rsid w:val="0037010A"/>
    <w:rPr>
      <w:rFonts w:eastAsia="MS Mincho"/>
      <w:b/>
      <w:bCs/>
      <w:i/>
      <w:iCs/>
    </w:rPr>
  </w:style>
  <w:style w:type="character" w:styleId="IntenseReference">
    <w:name w:val="Intense Reference"/>
    <w:basedOn w:val="DefaultParagraphFont"/>
    <w:uiPriority w:val="99"/>
    <w:qFormat/>
    <w:rsid w:val="0037010A"/>
    <w:rPr>
      <w:smallCaps/>
      <w:spacing w:val="5"/>
      <w:u w:val="single"/>
    </w:rPr>
  </w:style>
  <w:style w:type="paragraph" w:styleId="ListParagraph">
    <w:name w:val="List Paragraph"/>
    <w:basedOn w:val="Normal"/>
    <w:uiPriority w:val="99"/>
    <w:qFormat/>
    <w:rsid w:val="0037010A"/>
    <w:pPr>
      <w:ind w:left="720"/>
    </w:pPr>
  </w:style>
  <w:style w:type="table" w:customStyle="1" w:styleId="LtrTableAddress">
    <w:name w:val="Ltr_Table_Address"/>
    <w:uiPriority w:val="99"/>
    <w:rsid w:val="001E6F32"/>
    <w:rPr>
      <w:sz w:val="20"/>
      <w:szCs w:val="20"/>
    </w:rPr>
    <w:tblPr>
      <w:tblCellMar>
        <w:top w:w="0" w:type="dxa"/>
        <w:left w:w="108" w:type="dxa"/>
        <w:bottom w:w="0" w:type="dxa"/>
        <w:right w:w="108" w:type="dxa"/>
      </w:tblCellMar>
    </w:tblPr>
  </w:style>
  <w:style w:type="paragraph" w:styleId="Quote">
    <w:name w:val="Quote"/>
    <w:basedOn w:val="Normal"/>
    <w:next w:val="Normal"/>
    <w:link w:val="QuoteChar"/>
    <w:uiPriority w:val="99"/>
    <w:qFormat/>
    <w:rsid w:val="0037010A"/>
    <w:pPr>
      <w:spacing w:before="200"/>
      <w:ind w:left="360" w:right="360"/>
    </w:pPr>
    <w:rPr>
      <w:i/>
      <w:iCs/>
      <w:sz w:val="20"/>
      <w:szCs w:val="20"/>
      <w:lang w:val="pl-PL" w:eastAsia="pl-PL"/>
    </w:rPr>
  </w:style>
  <w:style w:type="character" w:customStyle="1" w:styleId="QuoteChar">
    <w:name w:val="Quote Char"/>
    <w:basedOn w:val="DefaultParagraphFont"/>
    <w:link w:val="Quote"/>
    <w:uiPriority w:val="99"/>
    <w:semiHidden/>
    <w:locked/>
    <w:rsid w:val="0037010A"/>
    <w:rPr>
      <w:rFonts w:eastAsia="MS Mincho"/>
      <w:i/>
      <w:iCs/>
    </w:rPr>
  </w:style>
  <w:style w:type="character" w:styleId="SubtleReference">
    <w:name w:val="Subtle Reference"/>
    <w:basedOn w:val="DefaultParagraphFont"/>
    <w:uiPriority w:val="99"/>
    <w:qFormat/>
    <w:rsid w:val="0037010A"/>
    <w:rPr>
      <w:smallCaps/>
    </w:rPr>
  </w:style>
  <w:style w:type="table" w:styleId="TableGrid">
    <w:name w:val="Table Grid"/>
    <w:basedOn w:val="TableNormal"/>
    <w:uiPriority w:val="99"/>
    <w:semiHidden/>
    <w:rsid w:val="0037010A"/>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37010A"/>
    <w:pPr>
      <w:keepNext/>
      <w:tabs>
        <w:tab w:val="right" w:leader="dot" w:pos="7371"/>
      </w:tabs>
      <w:spacing w:before="160" w:after="60" w:line="240" w:lineRule="exact"/>
      <w:ind w:left="340" w:right="567" w:hanging="340"/>
    </w:pPr>
    <w:rPr>
      <w:b/>
      <w:bCs/>
      <w:sz w:val="22"/>
      <w:szCs w:val="22"/>
    </w:rPr>
  </w:style>
  <w:style w:type="paragraph" w:styleId="TOC2">
    <w:name w:val="toc 2"/>
    <w:basedOn w:val="Normal"/>
    <w:next w:val="Normal"/>
    <w:autoRedefine/>
    <w:uiPriority w:val="99"/>
    <w:semiHidden/>
    <w:rsid w:val="0037010A"/>
    <w:pPr>
      <w:keepNext/>
      <w:tabs>
        <w:tab w:val="right" w:leader="dot" w:pos="7371"/>
      </w:tabs>
      <w:spacing w:after="60" w:line="240" w:lineRule="exact"/>
      <w:ind w:left="680" w:right="567" w:hanging="340"/>
    </w:pPr>
    <w:rPr>
      <w:sz w:val="22"/>
      <w:szCs w:val="22"/>
    </w:rPr>
  </w:style>
  <w:style w:type="paragraph" w:styleId="TOC3">
    <w:name w:val="toc 3"/>
    <w:basedOn w:val="Normal"/>
    <w:next w:val="Normal"/>
    <w:autoRedefine/>
    <w:uiPriority w:val="99"/>
    <w:semiHidden/>
    <w:rsid w:val="0037010A"/>
    <w:pPr>
      <w:keepNext/>
      <w:tabs>
        <w:tab w:val="right" w:leader="dot" w:pos="7371"/>
      </w:tabs>
      <w:spacing w:after="60" w:line="240" w:lineRule="exact"/>
      <w:ind w:left="1020" w:right="567" w:hanging="340"/>
    </w:pPr>
    <w:rPr>
      <w:sz w:val="20"/>
      <w:szCs w:val="20"/>
    </w:rPr>
  </w:style>
  <w:style w:type="paragraph" w:styleId="TOC4">
    <w:name w:val="toc 4"/>
    <w:basedOn w:val="Normal"/>
    <w:next w:val="Normal"/>
    <w:autoRedefine/>
    <w:uiPriority w:val="99"/>
    <w:semiHidden/>
    <w:rsid w:val="0037010A"/>
    <w:pPr>
      <w:tabs>
        <w:tab w:val="right" w:leader="dot" w:pos="7371"/>
      </w:tabs>
      <w:spacing w:after="60" w:line="240" w:lineRule="exact"/>
      <w:ind w:left="1361" w:right="567" w:hanging="340"/>
    </w:pPr>
    <w:rPr>
      <w:sz w:val="20"/>
      <w:szCs w:val="20"/>
    </w:rPr>
  </w:style>
  <w:style w:type="paragraph" w:styleId="TOC5">
    <w:name w:val="toc 5"/>
    <w:basedOn w:val="Normal"/>
    <w:next w:val="Normal"/>
    <w:autoRedefine/>
    <w:uiPriority w:val="99"/>
    <w:semiHidden/>
    <w:rsid w:val="0037010A"/>
    <w:pPr>
      <w:tabs>
        <w:tab w:val="right" w:leader="dot" w:pos="7371"/>
      </w:tabs>
      <w:spacing w:after="60" w:line="240" w:lineRule="exact"/>
      <w:ind w:left="1701" w:right="567" w:hanging="340"/>
    </w:pPr>
    <w:rPr>
      <w:sz w:val="20"/>
      <w:szCs w:val="20"/>
    </w:rPr>
  </w:style>
  <w:style w:type="paragraph" w:styleId="TOCHeading">
    <w:name w:val="TOC Heading"/>
    <w:basedOn w:val="Normal"/>
    <w:next w:val="Normal"/>
    <w:uiPriority w:val="99"/>
    <w:qFormat/>
    <w:rsid w:val="0037010A"/>
    <w:pPr>
      <w:keepNext/>
      <w:keepLines/>
      <w:spacing w:before="240"/>
      <w:jc w:val="center"/>
    </w:pPr>
    <w:rPr>
      <w:rFonts w:eastAsia="Times New Roman"/>
      <w:b/>
      <w:bCs/>
      <w:color w:val="474747"/>
      <w:sz w:val="28"/>
      <w:szCs w:val="28"/>
    </w:rPr>
  </w:style>
  <w:style w:type="table" w:customStyle="1" w:styleId="UGTable">
    <w:name w:val="UG_Table"/>
    <w:uiPriority w:val="99"/>
    <w:rsid w:val="00801300"/>
    <w:rPr>
      <w:rFonts w:eastAsia="MS Mincho"/>
      <w:sz w:val="20"/>
      <w:szCs w:val="20"/>
      <w:lang w:val="en-GB" w:eastAsia="en-GB"/>
    </w:rPr>
    <w:tblPr>
      <w:tblCellMar>
        <w:top w:w="57" w:type="dxa"/>
        <w:left w:w="0" w:type="dxa"/>
        <w:bottom w:w="0" w:type="dxa"/>
        <w:right w:w="0" w:type="dxa"/>
      </w:tblCellMar>
    </w:tblPr>
  </w:style>
  <w:style w:type="table" w:customStyle="1" w:styleId="UGTableWhiteBox">
    <w:name w:val="UG_Table_White_Box"/>
    <w:uiPriority w:val="99"/>
    <w:rsid w:val="00801300"/>
    <w:rPr>
      <w:rFonts w:eastAsia="MS Mincho"/>
      <w:sz w:val="20"/>
      <w:szCs w:val="20"/>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rPr>
      <w:color w:val="000000"/>
      <w:sz w:val="20"/>
      <w:szCs w:val="2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rPr>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TOAHeading">
    <w:name w:val="toa heading"/>
    <w:basedOn w:val="Normal"/>
    <w:next w:val="Normal"/>
    <w:uiPriority w:val="99"/>
    <w:semiHidden/>
    <w:rsid w:val="0037010A"/>
    <w:pPr>
      <w:keepNext/>
      <w:keepLines/>
      <w:spacing w:before="240"/>
      <w:jc w:val="center"/>
    </w:pPr>
    <w:rPr>
      <w:rFonts w:eastAsia="MS Gothic"/>
      <w:b/>
      <w:bCs/>
      <w:color w:val="474747"/>
      <w:sz w:val="28"/>
      <w:szCs w:val="28"/>
    </w:rPr>
  </w:style>
  <w:style w:type="paragraph" w:customStyle="1" w:styleId="ECHRParaQuote">
    <w:name w:val="ECHR_Para_Quote"/>
    <w:aliases w:val="Ju_Quot"/>
    <w:basedOn w:val="Normal"/>
    <w:uiPriority w:val="99"/>
    <w:rsid w:val="0037010A"/>
    <w:pPr>
      <w:spacing w:before="120" w:after="120"/>
      <w:ind w:left="425" w:firstLine="142"/>
    </w:pPr>
    <w:rPr>
      <w:sz w:val="20"/>
      <w:szCs w:val="20"/>
    </w:rPr>
  </w:style>
  <w:style w:type="paragraph" w:customStyle="1" w:styleId="ECHRPara">
    <w:name w:val="ECHR_Para"/>
    <w:aliases w:val="Ju_Para,Left,First line:  0 cm,Para,N_Para,Ju_Para + Interligne : Double"/>
    <w:basedOn w:val="Normal"/>
    <w:link w:val="ECHRParaChar"/>
    <w:uiPriority w:val="99"/>
    <w:rsid w:val="0037010A"/>
    <w:pPr>
      <w:ind w:firstLine="284"/>
    </w:pPr>
    <w:rPr>
      <w:lang w:eastAsia="pl-PL"/>
    </w:rPr>
  </w:style>
  <w:style w:type="table" w:customStyle="1" w:styleId="ECHRTableSimpleBox">
    <w:name w:val="ECHR_Table_Simple_Box"/>
    <w:uiPriority w:val="99"/>
    <w:rsid w:val="00AE354C"/>
    <w:rPr>
      <w:sz w:val="20"/>
      <w:szCs w:val="20"/>
    </w:rPr>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CellMar>
        <w:top w:w="85" w:type="dxa"/>
        <w:left w:w="142" w:type="dxa"/>
        <w:bottom w:w="28" w:type="dxa"/>
        <w:right w:w="142" w:type="dxa"/>
      </w:tblCellMar>
    </w:tblPr>
  </w:style>
  <w:style w:type="table" w:customStyle="1" w:styleId="ECHRTableForInternalUse">
    <w:name w:val="ECHR_Table_For_Internal_Use"/>
    <w:uiPriority w:val="99"/>
    <w:rsid w:val="005474E7"/>
    <w:rPr>
      <w:color w:val="636363"/>
      <w:sz w:val="18"/>
      <w:szCs w:val="18"/>
    </w:rPr>
    <w:tblPr>
      <w:tblStyleColBandSize w:val="1"/>
      <w:jc w:val="right"/>
      <w:tblCellMar>
        <w:top w:w="113" w:type="dxa"/>
        <w:left w:w="108" w:type="dxa"/>
        <w:bottom w:w="28" w:type="dxa"/>
        <w:right w:w="108" w:type="dxa"/>
      </w:tblCellMar>
    </w:tblPr>
    <w:trPr>
      <w:jc w:val="right"/>
    </w:trPr>
  </w:style>
  <w:style w:type="table" w:customStyle="1" w:styleId="ECHRListTable">
    <w:name w:val="ECHR_List_Table"/>
    <w:uiPriority w:val="99"/>
    <w:rsid w:val="0037010A"/>
    <w:rPr>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
    <w:name w:val="ECHR_Header_Table"/>
    <w:uiPriority w:val="99"/>
    <w:rsid w:val="00661971"/>
    <w:rPr>
      <w:sz w:val="20"/>
      <w:szCs w:val="20"/>
    </w:rPr>
    <w:tblPr>
      <w:tblBorders>
        <w:bottom w:val="single" w:sz="6" w:space="0" w:color="949494"/>
      </w:tblBorders>
      <w:tblCellMar>
        <w:top w:w="0" w:type="dxa"/>
        <w:left w:w="0" w:type="dxa"/>
        <w:bottom w:w="28" w:type="dxa"/>
        <w:right w:w="0" w:type="dxa"/>
      </w:tblCellMar>
    </w:tblPr>
  </w:style>
  <w:style w:type="table" w:customStyle="1" w:styleId="ECHRTableOddBanded">
    <w:name w:val="ECHR_Table_Odd_Banded"/>
    <w:uiPriority w:val="99"/>
    <w:rsid w:val="00860B03"/>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customStyle="1" w:styleId="ECHRDecisionBody">
    <w:name w:val="ECHR_Decision_Body"/>
    <w:aliases w:val="Ju_Judges"/>
    <w:basedOn w:val="Normal"/>
    <w:uiPriority w:val="99"/>
    <w:rsid w:val="0037010A"/>
    <w:pPr>
      <w:tabs>
        <w:tab w:val="left" w:pos="567"/>
        <w:tab w:val="left" w:pos="1134"/>
      </w:tabs>
      <w:jc w:val="left"/>
    </w:pPr>
  </w:style>
  <w:style w:type="table" w:customStyle="1" w:styleId="ECHRHeaderTableReduced">
    <w:name w:val="ECHR_Header_Table_Reduced"/>
    <w:uiPriority w:val="99"/>
    <w:rsid w:val="00B52BE0"/>
    <w:rPr>
      <w:sz w:val="20"/>
      <w:szCs w:val="20"/>
    </w:rPr>
    <w:tblPr>
      <w:tblCellMar>
        <w:top w:w="0" w:type="dxa"/>
        <w:left w:w="0" w:type="dxa"/>
        <w:bottom w:w="0" w:type="dxa"/>
        <w:right w:w="0" w:type="dxa"/>
      </w:tblCellMar>
    </w:tblPr>
  </w:style>
  <w:style w:type="paragraph" w:customStyle="1" w:styleId="JuList">
    <w:name w:val="Ju_List"/>
    <w:basedOn w:val="Normal"/>
    <w:uiPriority w:val="99"/>
    <w:rsid w:val="0037010A"/>
    <w:pPr>
      <w:ind w:left="340" w:hanging="340"/>
    </w:pPr>
  </w:style>
  <w:style w:type="paragraph" w:customStyle="1" w:styleId="JuSigned">
    <w:name w:val="Ju_Signed"/>
    <w:basedOn w:val="Normal"/>
    <w:next w:val="JuParaLast"/>
    <w:uiPriority w:val="99"/>
    <w:rsid w:val="0037010A"/>
    <w:pPr>
      <w:tabs>
        <w:tab w:val="center" w:pos="851"/>
        <w:tab w:val="center" w:pos="6407"/>
      </w:tabs>
      <w:spacing w:before="720"/>
      <w:jc w:val="left"/>
    </w:pPr>
  </w:style>
  <w:style w:type="paragraph" w:customStyle="1" w:styleId="JuParaLast">
    <w:name w:val="Ju_Para_Last"/>
    <w:basedOn w:val="Normal"/>
    <w:next w:val="ECHRPara"/>
    <w:uiPriority w:val="99"/>
    <w:rsid w:val="0037010A"/>
    <w:pPr>
      <w:keepNext/>
      <w:keepLines/>
      <w:spacing w:before="240"/>
      <w:ind w:firstLine="284"/>
    </w:pPr>
  </w:style>
  <w:style w:type="paragraph" w:customStyle="1" w:styleId="JuTitle">
    <w:name w:val="Ju_Title"/>
    <w:basedOn w:val="Normal"/>
    <w:next w:val="ECHRPara"/>
    <w:uiPriority w:val="99"/>
    <w:semiHidden/>
    <w:rsid w:val="0037010A"/>
    <w:pPr>
      <w:spacing w:before="720" w:after="240"/>
      <w:jc w:val="center"/>
      <w:outlineLvl w:val="0"/>
    </w:pPr>
    <w:rPr>
      <w:b/>
      <w:bCs/>
      <w:caps/>
    </w:rPr>
  </w:style>
  <w:style w:type="character" w:styleId="PageNumber">
    <w:name w:val="page number"/>
    <w:basedOn w:val="DefaultParagraphFont"/>
    <w:uiPriority w:val="99"/>
    <w:semiHidden/>
    <w:rsid w:val="00014566"/>
    <w:rPr>
      <w:sz w:val="18"/>
      <w:szCs w:val="18"/>
    </w:rPr>
  </w:style>
  <w:style w:type="paragraph" w:customStyle="1" w:styleId="JuLista">
    <w:name w:val="Ju_List_a"/>
    <w:basedOn w:val="JuList"/>
    <w:uiPriority w:val="99"/>
    <w:rsid w:val="0037010A"/>
    <w:pPr>
      <w:ind w:left="346" w:firstLine="0"/>
    </w:pPr>
  </w:style>
  <w:style w:type="paragraph" w:customStyle="1" w:styleId="JuListi">
    <w:name w:val="Ju_List_i"/>
    <w:basedOn w:val="Normal"/>
    <w:next w:val="JuLista"/>
    <w:uiPriority w:val="99"/>
    <w:rsid w:val="0037010A"/>
    <w:pPr>
      <w:ind w:left="794"/>
    </w:pPr>
  </w:style>
  <w:style w:type="character" w:styleId="CommentReference">
    <w:name w:val="annotation reference"/>
    <w:basedOn w:val="DefaultParagraphFont"/>
    <w:uiPriority w:val="99"/>
    <w:semiHidden/>
    <w:rsid w:val="00014566"/>
    <w:rPr>
      <w:sz w:val="16"/>
      <w:szCs w:val="16"/>
    </w:rPr>
  </w:style>
  <w:style w:type="paragraph" w:styleId="CommentText">
    <w:name w:val="annotation text"/>
    <w:basedOn w:val="Normal"/>
    <w:link w:val="CommentTextChar"/>
    <w:uiPriority w:val="99"/>
    <w:semiHidden/>
    <w:rsid w:val="00014566"/>
    <w:rPr>
      <w:sz w:val="20"/>
      <w:szCs w:val="20"/>
      <w:lang w:val="pl-PL" w:eastAsia="pl-PL"/>
    </w:rPr>
  </w:style>
  <w:style w:type="character" w:customStyle="1" w:styleId="CommentTextChar">
    <w:name w:val="Comment Text Char"/>
    <w:basedOn w:val="DefaultParagraphFont"/>
    <w:link w:val="CommentText"/>
    <w:uiPriority w:val="99"/>
    <w:semiHidden/>
    <w:locked/>
    <w:rsid w:val="00014566"/>
    <w:rPr>
      <w:rFonts w:eastAsia="MS Mincho"/>
      <w:sz w:val="20"/>
      <w:szCs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locked/>
    <w:rsid w:val="00014566"/>
    <w:rPr>
      <w:b/>
      <w:bCs/>
    </w:rPr>
  </w:style>
  <w:style w:type="character" w:styleId="EndnoteReference">
    <w:name w:val="endnote reference"/>
    <w:basedOn w:val="DefaultParagraphFont"/>
    <w:uiPriority w:val="99"/>
    <w:semiHidden/>
    <w:rsid w:val="0037010A"/>
    <w:rPr>
      <w:vertAlign w:val="superscript"/>
    </w:rPr>
  </w:style>
  <w:style w:type="paragraph" w:styleId="EndnoteText">
    <w:name w:val="endnote text"/>
    <w:basedOn w:val="Normal"/>
    <w:link w:val="EndnoteTextChar"/>
    <w:uiPriority w:val="99"/>
    <w:semiHidden/>
    <w:rsid w:val="0037010A"/>
    <w:rPr>
      <w:sz w:val="20"/>
      <w:szCs w:val="20"/>
      <w:lang w:eastAsia="pl-PL"/>
    </w:rPr>
  </w:style>
  <w:style w:type="character" w:customStyle="1" w:styleId="EndnoteTextChar">
    <w:name w:val="Endnote Text Char"/>
    <w:basedOn w:val="DefaultParagraphFont"/>
    <w:link w:val="EndnoteText"/>
    <w:uiPriority w:val="99"/>
    <w:semiHidden/>
    <w:locked/>
    <w:rsid w:val="0037010A"/>
    <w:rPr>
      <w:rFonts w:eastAsia="MS Mincho"/>
      <w:sz w:val="20"/>
      <w:szCs w:val="20"/>
      <w:lang w:val="en-GB"/>
    </w:rPr>
  </w:style>
  <w:style w:type="character" w:styleId="FollowedHyperlink">
    <w:name w:val="FollowedHyperlink"/>
    <w:basedOn w:val="DefaultParagraphFont"/>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szCs w:val="20"/>
      <w:lang w:val="pl-PL" w:eastAsia="pl-PL"/>
    </w:rPr>
  </w:style>
  <w:style w:type="character" w:customStyle="1" w:styleId="DocumentMapChar">
    <w:name w:val="Document Map Char"/>
    <w:basedOn w:val="DefaultParagraphFont"/>
    <w:link w:val="DocumentMap"/>
    <w:uiPriority w:val="99"/>
    <w:semiHidden/>
    <w:locked/>
    <w:rsid w:val="00014566"/>
    <w:rPr>
      <w:rFonts w:ascii="Tahoma" w:eastAsia="MS Mincho" w:hAnsi="Tahoma" w:cs="Tahoma"/>
      <w:sz w:val="20"/>
      <w:szCs w:val="20"/>
      <w:shd w:val="clear" w:color="auto" w:fill="000080"/>
    </w:rPr>
  </w:style>
  <w:style w:type="paragraph" w:customStyle="1" w:styleId="OpiH1">
    <w:name w:val="Opi_H_1"/>
    <w:basedOn w:val="ECHRHeading2"/>
    <w:uiPriority w:val="99"/>
    <w:rsid w:val="0037010A"/>
    <w:pPr>
      <w:ind w:left="635" w:hanging="357"/>
      <w:outlineLvl w:val="2"/>
    </w:pPr>
  </w:style>
  <w:style w:type="paragraph" w:styleId="ListBullet">
    <w:name w:val="List Bullet"/>
    <w:basedOn w:val="Normal"/>
    <w:uiPriority w:val="99"/>
    <w:semiHidden/>
    <w:rsid w:val="00014566"/>
    <w:pPr>
      <w:numPr>
        <w:numId w:val="40"/>
      </w:numPr>
    </w:pPr>
  </w:style>
  <w:style w:type="paragraph" w:customStyle="1" w:styleId="OpiHa">
    <w:name w:val="Opi_H_a"/>
    <w:basedOn w:val="ECHRHeading3"/>
    <w:uiPriority w:val="99"/>
    <w:rsid w:val="0037010A"/>
    <w:pPr>
      <w:ind w:left="833" w:hanging="357"/>
      <w:outlineLvl w:val="3"/>
    </w:pPr>
    <w:rPr>
      <w:b/>
      <w:bCs/>
      <w:i w:val="0"/>
      <w:iCs w:val="0"/>
      <w:sz w:val="20"/>
      <w:szCs w:val="20"/>
    </w:rPr>
  </w:style>
  <w:style w:type="paragraph" w:styleId="Subtitle">
    <w:name w:val="Subtitle"/>
    <w:basedOn w:val="Normal"/>
    <w:next w:val="Normal"/>
    <w:link w:val="SubtitleChar"/>
    <w:uiPriority w:val="99"/>
    <w:qFormat/>
    <w:rsid w:val="0037010A"/>
    <w:pPr>
      <w:spacing w:after="600"/>
    </w:pPr>
    <w:rPr>
      <w:rFonts w:eastAsia="MS Gothic"/>
      <w:i/>
      <w:iCs/>
      <w:spacing w:val="13"/>
      <w:lang w:val="pl-PL" w:eastAsia="pl-PL"/>
    </w:rPr>
  </w:style>
  <w:style w:type="character" w:customStyle="1" w:styleId="SubtitleChar">
    <w:name w:val="Subtitle Char"/>
    <w:basedOn w:val="DefaultParagraphFont"/>
    <w:link w:val="Subtitle"/>
    <w:uiPriority w:val="99"/>
    <w:semiHidden/>
    <w:locked/>
    <w:rsid w:val="0037010A"/>
    <w:rPr>
      <w:rFonts w:ascii="Times New Roman" w:eastAsia="MS Gothic" w:hAnsi="Times New Roman" w:cs="Times New Roman"/>
      <w:i/>
      <w:iCs/>
      <w:spacing w:val="13"/>
      <w:sz w:val="24"/>
      <w:szCs w:val="24"/>
    </w:rPr>
  </w:style>
  <w:style w:type="paragraph" w:styleId="Bibliography">
    <w:name w:val="Bibliography"/>
    <w:basedOn w:val="Normal"/>
    <w:next w:val="Normal"/>
    <w:uiPriority w:val="99"/>
    <w:semiHidden/>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rPr>
      <w:lang w:val="pl-PL" w:eastAsia="pl-PL"/>
    </w:rPr>
  </w:style>
  <w:style w:type="character" w:customStyle="1" w:styleId="BodyTextChar">
    <w:name w:val="Body Text Char"/>
    <w:basedOn w:val="DefaultParagraphFont"/>
    <w:link w:val="BodyText"/>
    <w:uiPriority w:val="99"/>
    <w:semiHidden/>
    <w:locked/>
    <w:rsid w:val="00014566"/>
    <w:rPr>
      <w:rFonts w:eastAsia="MS Mincho"/>
      <w:sz w:val="24"/>
      <w:szCs w:val="24"/>
    </w:rPr>
  </w:style>
  <w:style w:type="paragraph" w:styleId="BodyText2">
    <w:name w:val="Body Text 2"/>
    <w:basedOn w:val="Normal"/>
    <w:link w:val="BodyText2Char"/>
    <w:uiPriority w:val="99"/>
    <w:semiHidden/>
    <w:rsid w:val="00014566"/>
    <w:pPr>
      <w:spacing w:after="120" w:line="480" w:lineRule="auto"/>
    </w:pPr>
    <w:rPr>
      <w:lang w:val="pl-PL" w:eastAsia="pl-PL"/>
    </w:rPr>
  </w:style>
  <w:style w:type="character" w:customStyle="1" w:styleId="BodyText2Char">
    <w:name w:val="Body Text 2 Char"/>
    <w:basedOn w:val="DefaultParagraphFont"/>
    <w:link w:val="BodyText2"/>
    <w:uiPriority w:val="99"/>
    <w:semiHidden/>
    <w:locked/>
    <w:rsid w:val="00014566"/>
    <w:rPr>
      <w:rFonts w:eastAsia="MS Mincho"/>
      <w:sz w:val="24"/>
      <w:szCs w:val="24"/>
    </w:rPr>
  </w:style>
  <w:style w:type="paragraph" w:styleId="BodyText3">
    <w:name w:val="Body Text 3"/>
    <w:basedOn w:val="Normal"/>
    <w:link w:val="BodyText3Char"/>
    <w:uiPriority w:val="99"/>
    <w:semiHidden/>
    <w:rsid w:val="00014566"/>
    <w:pPr>
      <w:spacing w:after="120"/>
    </w:pPr>
    <w:rPr>
      <w:sz w:val="16"/>
      <w:szCs w:val="16"/>
      <w:lang w:val="pl-PL" w:eastAsia="pl-PL"/>
    </w:rPr>
  </w:style>
  <w:style w:type="character" w:customStyle="1" w:styleId="BodyText3Char">
    <w:name w:val="Body Text 3 Char"/>
    <w:basedOn w:val="DefaultParagraphFont"/>
    <w:link w:val="BodyText3"/>
    <w:uiPriority w:val="99"/>
    <w:semiHidden/>
    <w:locked/>
    <w:rsid w:val="00014566"/>
    <w:rPr>
      <w:rFonts w:eastAsia="MS Mincho"/>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locked/>
    <w:rsid w:val="00014566"/>
  </w:style>
  <w:style w:type="paragraph" w:styleId="BodyTextIndent">
    <w:name w:val="Body Text Indent"/>
    <w:basedOn w:val="Normal"/>
    <w:link w:val="BodyTextIndentChar"/>
    <w:uiPriority w:val="99"/>
    <w:semiHidden/>
    <w:rsid w:val="00014566"/>
    <w:pPr>
      <w:spacing w:after="120"/>
      <w:ind w:left="283"/>
    </w:pPr>
    <w:rPr>
      <w:lang w:val="pl-PL" w:eastAsia="pl-PL"/>
    </w:rPr>
  </w:style>
  <w:style w:type="character" w:customStyle="1" w:styleId="BodyTextIndentChar">
    <w:name w:val="Body Text Indent Char"/>
    <w:basedOn w:val="DefaultParagraphFont"/>
    <w:link w:val="BodyTextIndent"/>
    <w:uiPriority w:val="99"/>
    <w:semiHidden/>
    <w:locked/>
    <w:rsid w:val="00014566"/>
    <w:rPr>
      <w:rFonts w:eastAsia="MS Mincho"/>
      <w:sz w:val="24"/>
      <w:szCs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014566"/>
  </w:style>
  <w:style w:type="paragraph" w:styleId="BodyTextIndent2">
    <w:name w:val="Body Text Indent 2"/>
    <w:basedOn w:val="Normal"/>
    <w:link w:val="BodyTextIndent2Char"/>
    <w:uiPriority w:val="99"/>
    <w:semiHidden/>
    <w:rsid w:val="00014566"/>
    <w:pPr>
      <w:spacing w:after="120" w:line="480" w:lineRule="auto"/>
      <w:ind w:left="283"/>
    </w:pPr>
    <w:rPr>
      <w:lang w:val="pl-PL" w:eastAsia="pl-PL"/>
    </w:rPr>
  </w:style>
  <w:style w:type="character" w:customStyle="1" w:styleId="BodyTextIndent2Char">
    <w:name w:val="Body Text Indent 2 Char"/>
    <w:basedOn w:val="DefaultParagraphFont"/>
    <w:link w:val="BodyTextIndent2"/>
    <w:uiPriority w:val="99"/>
    <w:semiHidden/>
    <w:locked/>
    <w:rsid w:val="00014566"/>
    <w:rPr>
      <w:rFonts w:eastAsia="MS Mincho"/>
      <w:sz w:val="24"/>
      <w:szCs w:val="24"/>
    </w:rPr>
  </w:style>
  <w:style w:type="paragraph" w:styleId="BodyTextIndent3">
    <w:name w:val="Body Text Indent 3"/>
    <w:basedOn w:val="Normal"/>
    <w:link w:val="BodyTextIndent3Char"/>
    <w:uiPriority w:val="99"/>
    <w:semiHidden/>
    <w:rsid w:val="00014566"/>
    <w:pPr>
      <w:spacing w:after="120"/>
      <w:ind w:left="283"/>
    </w:pPr>
    <w:rPr>
      <w:sz w:val="16"/>
      <w:szCs w:val="16"/>
      <w:lang w:val="pl-PL" w:eastAsia="pl-PL"/>
    </w:rPr>
  </w:style>
  <w:style w:type="character" w:customStyle="1" w:styleId="BodyTextIndent3Char">
    <w:name w:val="Body Text Indent 3 Char"/>
    <w:basedOn w:val="DefaultParagraphFont"/>
    <w:link w:val="BodyTextIndent3"/>
    <w:uiPriority w:val="99"/>
    <w:semiHidden/>
    <w:locked/>
    <w:rsid w:val="00014566"/>
    <w:rPr>
      <w:rFonts w:eastAsia="MS Mincho"/>
      <w:sz w:val="16"/>
      <w:szCs w:val="16"/>
    </w:rPr>
  </w:style>
  <w:style w:type="paragraph" w:styleId="Caption">
    <w:name w:val="caption"/>
    <w:basedOn w:val="Normal"/>
    <w:next w:val="Normal"/>
    <w:uiPriority w:val="99"/>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rPr>
      <w:lang w:val="pl-PL" w:eastAsia="pl-PL"/>
    </w:rPr>
  </w:style>
  <w:style w:type="character" w:customStyle="1" w:styleId="ClosingChar">
    <w:name w:val="Closing Char"/>
    <w:basedOn w:val="DefaultParagraphFont"/>
    <w:link w:val="Closing"/>
    <w:uiPriority w:val="99"/>
    <w:semiHidden/>
    <w:locked/>
    <w:rsid w:val="00014566"/>
    <w:rPr>
      <w:rFonts w:eastAsia="MS Mincho"/>
      <w:sz w:val="24"/>
      <w:szCs w:val="24"/>
    </w:rPr>
  </w:style>
  <w:style w:type="table" w:styleId="ColorfulGrid">
    <w:name w:val="Colorful Grid"/>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014566"/>
    <w:rPr>
      <w:color w:val="000000"/>
      <w:sz w:val="20"/>
      <w:szCs w:val="2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sz w:val="20"/>
      <w:szCs w:val="2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sz w:val="20"/>
      <w:szCs w:val="2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sz w:val="20"/>
      <w:szCs w:val="2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sz w:val="20"/>
      <w:szCs w:val="2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sz w:val="20"/>
      <w:szCs w:val="2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sz w:val="20"/>
      <w:szCs w:val="2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rPr>
      <w:lang w:val="pl-PL" w:eastAsia="pl-PL"/>
    </w:rPr>
  </w:style>
  <w:style w:type="character" w:customStyle="1" w:styleId="DateChar">
    <w:name w:val="Date Char"/>
    <w:basedOn w:val="DefaultParagraphFont"/>
    <w:link w:val="Date"/>
    <w:uiPriority w:val="99"/>
    <w:semiHidden/>
    <w:locked/>
    <w:rsid w:val="00014566"/>
    <w:rPr>
      <w:rFonts w:eastAsia="MS Mincho"/>
      <w:sz w:val="24"/>
      <w:szCs w:val="24"/>
    </w:rPr>
  </w:style>
  <w:style w:type="paragraph" w:styleId="E-mailSignature">
    <w:name w:val="E-mail Signature"/>
    <w:basedOn w:val="Normal"/>
    <w:link w:val="E-mailSignatureChar"/>
    <w:uiPriority w:val="99"/>
    <w:semiHidden/>
    <w:rsid w:val="00014566"/>
    <w:rPr>
      <w:lang w:val="pl-PL" w:eastAsia="pl-PL"/>
    </w:rPr>
  </w:style>
  <w:style w:type="character" w:customStyle="1" w:styleId="E-mailSignatureChar">
    <w:name w:val="E-mail Signature Char"/>
    <w:basedOn w:val="DefaultParagraphFont"/>
    <w:link w:val="E-mailSignature"/>
    <w:uiPriority w:val="99"/>
    <w:semiHidden/>
    <w:locked/>
    <w:rsid w:val="00014566"/>
    <w:rPr>
      <w:rFonts w:eastAsia="MS Mincho"/>
      <w:sz w:val="24"/>
      <w:szCs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lang w:val="pl-PL" w:eastAsia="pl-PL"/>
    </w:rPr>
  </w:style>
  <w:style w:type="character" w:customStyle="1" w:styleId="HTMLAddressChar">
    <w:name w:val="HTML Address Char"/>
    <w:basedOn w:val="DefaultParagraphFont"/>
    <w:link w:val="HTMLAddress"/>
    <w:uiPriority w:val="99"/>
    <w:semiHidden/>
    <w:locked/>
    <w:rsid w:val="00014566"/>
    <w:rPr>
      <w:rFonts w:eastAsia="MS Mincho"/>
      <w:i/>
      <w:iCs/>
      <w:sz w:val="24"/>
      <w:szCs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lang w:val="pl-PL" w:eastAsia="pl-PL"/>
    </w:rPr>
  </w:style>
  <w:style w:type="character" w:customStyle="1" w:styleId="HTMLPreformattedChar">
    <w:name w:val="HTML Preformatted Char"/>
    <w:basedOn w:val="DefaultParagraphFont"/>
    <w:link w:val="HTMLPreformatted"/>
    <w:uiPriority w:val="99"/>
    <w:semiHidden/>
    <w:locked/>
    <w:rsid w:val="00014566"/>
    <w:rPr>
      <w:rFonts w:ascii="Consolas" w:eastAsia="MS Mincho"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sz w:val="20"/>
      <w:szCs w:val="20"/>
      <w:lang w:val="fr-FR" w:eastAsia="fr-F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sz w:val="20"/>
      <w:szCs w:val="20"/>
      <w:lang w:val="fr-FR" w:eastAsia="fr-FR"/>
    </w:rPr>
    <w:tblPr>
      <w:tblStyleRowBandSize w:val="1"/>
      <w:tblStyleColBandSize w:val="1"/>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sz w:val="20"/>
      <w:szCs w:val="20"/>
      <w:lang w:val="fr-FR" w:eastAsia="fr-FR"/>
    </w:rPr>
    <w:tblPr>
      <w:tblStyleRowBandSize w:val="1"/>
      <w:tblStyleColBandSize w:val="1"/>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sz w:val="20"/>
      <w:szCs w:val="20"/>
      <w:lang w:val="fr-FR" w:eastAsia="fr-FR"/>
    </w:rPr>
    <w:tblPr>
      <w:tblStyleRowBandSize w:val="1"/>
      <w:tblStyleColBandSize w:val="1"/>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sz w:val="20"/>
      <w:szCs w:val="20"/>
      <w:lang w:val="fr-FR" w:eastAsia="fr-FR"/>
    </w:rPr>
    <w:tblPr>
      <w:tblStyleRowBandSize w:val="1"/>
      <w:tblStyleColBandSize w:val="1"/>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pPr>
  </w:style>
  <w:style w:type="paragraph" w:styleId="List2">
    <w:name w:val="List 2"/>
    <w:basedOn w:val="Normal"/>
    <w:uiPriority w:val="99"/>
    <w:semiHidden/>
    <w:rsid w:val="00014566"/>
    <w:pPr>
      <w:ind w:left="566" w:hanging="283"/>
    </w:pPr>
  </w:style>
  <w:style w:type="paragraph" w:styleId="List3">
    <w:name w:val="List 3"/>
    <w:basedOn w:val="Normal"/>
    <w:uiPriority w:val="99"/>
    <w:semiHidden/>
    <w:rsid w:val="00014566"/>
    <w:pPr>
      <w:ind w:left="849" w:hanging="283"/>
    </w:pPr>
  </w:style>
  <w:style w:type="paragraph" w:styleId="List4">
    <w:name w:val="List 4"/>
    <w:basedOn w:val="Normal"/>
    <w:uiPriority w:val="99"/>
    <w:semiHidden/>
    <w:rsid w:val="00014566"/>
    <w:pPr>
      <w:ind w:left="1132" w:hanging="283"/>
    </w:pPr>
  </w:style>
  <w:style w:type="paragraph" w:styleId="List5">
    <w:name w:val="List 5"/>
    <w:basedOn w:val="Normal"/>
    <w:uiPriority w:val="99"/>
    <w:semiHidden/>
    <w:rsid w:val="00014566"/>
    <w:pPr>
      <w:ind w:left="1415" w:hanging="283"/>
    </w:pPr>
  </w:style>
  <w:style w:type="paragraph" w:styleId="ListBullet2">
    <w:name w:val="List Bullet 2"/>
    <w:basedOn w:val="Normal"/>
    <w:uiPriority w:val="99"/>
    <w:semiHidden/>
    <w:rsid w:val="00014566"/>
    <w:pPr>
      <w:numPr>
        <w:numId w:val="11"/>
      </w:numPr>
      <w:tabs>
        <w:tab w:val="clear" w:pos="360"/>
        <w:tab w:val="num" w:pos="643"/>
      </w:tabs>
      <w:ind w:left="643"/>
    </w:pPr>
  </w:style>
  <w:style w:type="paragraph" w:styleId="ListBullet3">
    <w:name w:val="List Bullet 3"/>
    <w:basedOn w:val="Normal"/>
    <w:uiPriority w:val="99"/>
    <w:semiHidden/>
    <w:rsid w:val="00014566"/>
    <w:pPr>
      <w:numPr>
        <w:numId w:val="12"/>
      </w:numPr>
      <w:tabs>
        <w:tab w:val="clear" w:pos="643"/>
        <w:tab w:val="num" w:pos="926"/>
      </w:tabs>
      <w:ind w:left="926"/>
    </w:pPr>
  </w:style>
  <w:style w:type="paragraph" w:styleId="ListBullet4">
    <w:name w:val="List Bullet 4"/>
    <w:basedOn w:val="Normal"/>
    <w:uiPriority w:val="99"/>
    <w:semiHidden/>
    <w:rsid w:val="00014566"/>
    <w:pPr>
      <w:numPr>
        <w:numId w:val="13"/>
      </w:numPr>
      <w:tabs>
        <w:tab w:val="clear" w:pos="926"/>
        <w:tab w:val="num" w:pos="1209"/>
      </w:tabs>
      <w:ind w:left="1209"/>
    </w:pPr>
  </w:style>
  <w:style w:type="paragraph" w:styleId="ListBullet5">
    <w:name w:val="List Bullet 5"/>
    <w:basedOn w:val="Normal"/>
    <w:uiPriority w:val="99"/>
    <w:semiHidden/>
    <w:rsid w:val="00014566"/>
    <w:pPr>
      <w:numPr>
        <w:numId w:val="14"/>
      </w:numPr>
      <w:tabs>
        <w:tab w:val="clear" w:pos="1209"/>
        <w:tab w:val="num" w:pos="1492"/>
      </w:tabs>
      <w:ind w:left="1492"/>
    </w:pPr>
  </w:style>
  <w:style w:type="paragraph" w:styleId="ListContinue">
    <w:name w:val="List Continue"/>
    <w:basedOn w:val="Normal"/>
    <w:uiPriority w:val="99"/>
    <w:semiHidden/>
    <w:rsid w:val="00014566"/>
    <w:pPr>
      <w:spacing w:after="120"/>
      <w:ind w:left="283"/>
    </w:pPr>
  </w:style>
  <w:style w:type="paragraph" w:styleId="ListContinue2">
    <w:name w:val="List Continue 2"/>
    <w:basedOn w:val="Normal"/>
    <w:uiPriority w:val="99"/>
    <w:semiHidden/>
    <w:rsid w:val="00014566"/>
    <w:pPr>
      <w:spacing w:after="120"/>
      <w:ind w:left="566"/>
    </w:pPr>
  </w:style>
  <w:style w:type="paragraph" w:styleId="ListContinue3">
    <w:name w:val="List Continue 3"/>
    <w:basedOn w:val="Normal"/>
    <w:uiPriority w:val="99"/>
    <w:semiHidden/>
    <w:rsid w:val="00014566"/>
    <w:pPr>
      <w:spacing w:after="120"/>
      <w:ind w:left="849"/>
    </w:pPr>
  </w:style>
  <w:style w:type="paragraph" w:styleId="ListContinue4">
    <w:name w:val="List Continue 4"/>
    <w:basedOn w:val="Normal"/>
    <w:uiPriority w:val="99"/>
    <w:semiHidden/>
    <w:rsid w:val="00014566"/>
    <w:pPr>
      <w:spacing w:after="120"/>
      <w:ind w:left="1132"/>
    </w:pPr>
  </w:style>
  <w:style w:type="paragraph" w:styleId="ListContinue5">
    <w:name w:val="List Continue 5"/>
    <w:basedOn w:val="Normal"/>
    <w:uiPriority w:val="99"/>
    <w:semiHidden/>
    <w:rsid w:val="00014566"/>
    <w:pPr>
      <w:spacing w:after="120"/>
      <w:ind w:left="1415"/>
    </w:pPr>
  </w:style>
  <w:style w:type="paragraph" w:styleId="ListNumber">
    <w:name w:val="List Number"/>
    <w:basedOn w:val="Normal"/>
    <w:uiPriority w:val="99"/>
    <w:semiHidden/>
    <w:rsid w:val="00014566"/>
    <w:pPr>
      <w:numPr>
        <w:numId w:val="15"/>
      </w:numPr>
      <w:tabs>
        <w:tab w:val="clear" w:pos="1492"/>
        <w:tab w:val="num" w:pos="360"/>
      </w:tabs>
      <w:ind w:left="360"/>
    </w:pPr>
  </w:style>
  <w:style w:type="paragraph" w:styleId="ListNumber2">
    <w:name w:val="List Number 2"/>
    <w:basedOn w:val="Normal"/>
    <w:uiPriority w:val="99"/>
    <w:semiHidden/>
    <w:rsid w:val="00014566"/>
    <w:pPr>
      <w:numPr>
        <w:numId w:val="16"/>
      </w:numPr>
      <w:tabs>
        <w:tab w:val="clear" w:pos="360"/>
        <w:tab w:val="num" w:pos="643"/>
      </w:tabs>
      <w:ind w:left="643"/>
    </w:pPr>
  </w:style>
  <w:style w:type="paragraph" w:styleId="ListNumber3">
    <w:name w:val="List Number 3"/>
    <w:basedOn w:val="Normal"/>
    <w:uiPriority w:val="99"/>
    <w:semiHidden/>
    <w:rsid w:val="00014566"/>
    <w:pPr>
      <w:numPr>
        <w:numId w:val="17"/>
      </w:numPr>
      <w:tabs>
        <w:tab w:val="clear" w:pos="643"/>
        <w:tab w:val="num" w:pos="926"/>
      </w:tabs>
      <w:ind w:left="926"/>
    </w:pPr>
  </w:style>
  <w:style w:type="paragraph" w:styleId="ListNumber4">
    <w:name w:val="List Number 4"/>
    <w:basedOn w:val="Normal"/>
    <w:uiPriority w:val="99"/>
    <w:semiHidden/>
    <w:rsid w:val="00014566"/>
    <w:pPr>
      <w:tabs>
        <w:tab w:val="num" w:pos="1209"/>
      </w:tabs>
      <w:ind w:left="1209" w:hanging="360"/>
    </w:pPr>
  </w:style>
  <w:style w:type="paragraph" w:styleId="ListNumber5">
    <w:name w:val="List Number 5"/>
    <w:basedOn w:val="Normal"/>
    <w:uiPriority w:val="99"/>
    <w:semiHidden/>
    <w:rsid w:val="00014566"/>
    <w:pPr>
      <w:numPr>
        <w:numId w:val="19"/>
      </w:numPr>
      <w:tabs>
        <w:tab w:val="clear" w:pos="1209"/>
        <w:tab w:val="num" w:pos="1492"/>
      </w:tabs>
      <w:ind w:left="1492"/>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locked/>
    <w:rsid w:val="00014566"/>
    <w:rPr>
      <w:rFonts w:ascii="Consolas" w:hAnsi="Consolas" w:cs="Consolas"/>
      <w:lang w:val="en-GB" w:eastAsia="fr-FR"/>
    </w:rPr>
  </w:style>
  <w:style w:type="table" w:styleId="MediumGrid1">
    <w:name w:val="Medium Grid 1"/>
    <w:basedOn w:val="TableNormal"/>
    <w:uiPriority w:val="99"/>
    <w:semiHidden/>
    <w:rsid w:val="00014566"/>
    <w:rPr>
      <w:sz w:val="20"/>
      <w:szCs w:val="20"/>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sz w:val="20"/>
      <w:szCs w:val="20"/>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sz w:val="20"/>
      <w:szCs w:val="20"/>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sz w:val="20"/>
      <w:szCs w:val="20"/>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sz w:val="20"/>
      <w:szCs w:val="20"/>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sz w:val="20"/>
      <w:szCs w:val="20"/>
      <w:lang w:val="fr-FR" w:eastAsia="fr-F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014566"/>
    <w:rPr>
      <w:color w:val="000000"/>
      <w:sz w:val="20"/>
      <w:szCs w:val="20"/>
      <w:lang w:val="fr-FR" w:eastAsia="fr-FR"/>
    </w:rPr>
    <w:tblPr>
      <w:tblStyleRowBandSize w:val="1"/>
      <w:tblStyleColBandSize w:val="1"/>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sz w:val="20"/>
      <w:szCs w:val="20"/>
      <w:lang w:val="fr-FR" w:eastAsia="fr-FR"/>
    </w:rPr>
    <w:tblPr>
      <w:tblStyleRowBandSize w:val="1"/>
      <w:tblStyleColBandSize w:val="1"/>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sz w:val="20"/>
      <w:szCs w:val="20"/>
      <w:lang w:val="fr-FR" w:eastAsia="fr-FR"/>
    </w:rPr>
    <w:tblPr>
      <w:tblStyleRowBandSize w:val="1"/>
      <w:tblStyleColBandSize w:val="1"/>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sz w:val="20"/>
      <w:szCs w:val="20"/>
      <w:lang w:val="fr-FR" w:eastAsia="fr-FR"/>
    </w:rPr>
    <w:tblPr>
      <w:tblStyleRowBandSize w:val="1"/>
      <w:tblStyleColBandSize w:val="1"/>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014566"/>
    <w:rPr>
      <w:sz w:val="20"/>
      <w:szCs w:val="20"/>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sz w:val="20"/>
      <w:szCs w:val="20"/>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sz w:val="20"/>
      <w:szCs w:val="20"/>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sz w:val="20"/>
      <w:szCs w:val="20"/>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sz w:val="20"/>
      <w:szCs w:val="20"/>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lang w:val="pl-PL" w:eastAsia="pl-PL"/>
    </w:rPr>
  </w:style>
  <w:style w:type="character" w:customStyle="1" w:styleId="MessageHeaderChar">
    <w:name w:val="Message Header Char"/>
    <w:basedOn w:val="DefaultParagraphFont"/>
    <w:link w:val="MessageHeader"/>
    <w:uiPriority w:val="99"/>
    <w:semiHidden/>
    <w:locked/>
    <w:rsid w:val="00014566"/>
    <w:rPr>
      <w:rFonts w:ascii="Times New Roman" w:eastAsia="MS Gothic" w:hAnsi="Times New Roman" w:cs="Times New Roman"/>
      <w:sz w:val="24"/>
      <w:szCs w:val="24"/>
      <w:shd w:val="pct20" w:color="auto" w:fill="auto"/>
    </w:rPr>
  </w:style>
  <w:style w:type="paragraph" w:styleId="NormalWeb">
    <w:name w:val="Normal (Web)"/>
    <w:basedOn w:val="Normal"/>
    <w:uiPriority w:val="99"/>
    <w:semiHidden/>
    <w:rsid w:val="00014566"/>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rPr>
      <w:lang w:val="pl-PL" w:eastAsia="pl-PL"/>
    </w:rPr>
  </w:style>
  <w:style w:type="character" w:customStyle="1" w:styleId="NoteHeadingChar">
    <w:name w:val="Note Heading Char"/>
    <w:basedOn w:val="DefaultParagraphFont"/>
    <w:link w:val="NoteHeading"/>
    <w:uiPriority w:val="99"/>
    <w:semiHidden/>
    <w:locked/>
    <w:rsid w:val="00014566"/>
    <w:rPr>
      <w:rFonts w:eastAsia="MS Mincho"/>
      <w:sz w:val="24"/>
      <w:szCs w:val="24"/>
    </w:rPr>
  </w:style>
  <w:style w:type="character" w:styleId="PlaceholderText">
    <w:name w:val="Placeholder Text"/>
    <w:basedOn w:val="DefaultParagraphFont"/>
    <w:uiPriority w:val="99"/>
    <w:semiHidden/>
    <w:rsid w:val="0037010A"/>
    <w:rPr>
      <w:color w:val="auto"/>
      <w:shd w:val="clear" w:color="auto" w:fill="DFDFDF"/>
    </w:rPr>
  </w:style>
  <w:style w:type="paragraph" w:styleId="PlainText">
    <w:name w:val="Plain Text"/>
    <w:basedOn w:val="Normal"/>
    <w:link w:val="PlainTextChar"/>
    <w:uiPriority w:val="99"/>
    <w:semiHidden/>
    <w:rsid w:val="00014566"/>
    <w:rPr>
      <w:rFonts w:ascii="Consolas" w:hAnsi="Consolas" w:cs="Consolas"/>
      <w:sz w:val="21"/>
      <w:szCs w:val="21"/>
      <w:lang w:val="pl-PL" w:eastAsia="pl-PL"/>
    </w:rPr>
  </w:style>
  <w:style w:type="character" w:customStyle="1" w:styleId="PlainTextChar">
    <w:name w:val="Plain Text Char"/>
    <w:basedOn w:val="DefaultParagraphFont"/>
    <w:link w:val="PlainText"/>
    <w:uiPriority w:val="99"/>
    <w:semiHidden/>
    <w:locked/>
    <w:rsid w:val="00014566"/>
    <w:rPr>
      <w:rFonts w:ascii="Consolas" w:eastAsia="MS Mincho" w:hAnsi="Consolas" w:cs="Consolas"/>
      <w:sz w:val="21"/>
      <w:szCs w:val="21"/>
    </w:rPr>
  </w:style>
  <w:style w:type="paragraph" w:styleId="Salutation">
    <w:name w:val="Salutation"/>
    <w:basedOn w:val="Normal"/>
    <w:next w:val="Normal"/>
    <w:link w:val="SalutationChar"/>
    <w:uiPriority w:val="99"/>
    <w:semiHidden/>
    <w:rsid w:val="00014566"/>
    <w:rPr>
      <w:lang w:val="pl-PL" w:eastAsia="pl-PL"/>
    </w:rPr>
  </w:style>
  <w:style w:type="character" w:customStyle="1" w:styleId="SalutationChar">
    <w:name w:val="Salutation Char"/>
    <w:basedOn w:val="DefaultParagraphFont"/>
    <w:link w:val="Salutation"/>
    <w:uiPriority w:val="99"/>
    <w:semiHidden/>
    <w:locked/>
    <w:rsid w:val="00014566"/>
    <w:rPr>
      <w:rFonts w:eastAsia="MS Mincho"/>
      <w:sz w:val="24"/>
      <w:szCs w:val="24"/>
    </w:rPr>
  </w:style>
  <w:style w:type="paragraph" w:styleId="Signature">
    <w:name w:val="Signature"/>
    <w:basedOn w:val="Normal"/>
    <w:link w:val="SignatureChar"/>
    <w:uiPriority w:val="99"/>
    <w:semiHidden/>
    <w:rsid w:val="00014566"/>
    <w:pPr>
      <w:ind w:left="4252"/>
    </w:pPr>
    <w:rPr>
      <w:lang w:val="pl-PL" w:eastAsia="pl-PL"/>
    </w:rPr>
  </w:style>
  <w:style w:type="character" w:customStyle="1" w:styleId="SignatureChar">
    <w:name w:val="Signature Char"/>
    <w:basedOn w:val="DefaultParagraphFont"/>
    <w:link w:val="Signature"/>
    <w:uiPriority w:val="99"/>
    <w:semiHidden/>
    <w:locked/>
    <w:rsid w:val="00014566"/>
    <w:rPr>
      <w:rFonts w:eastAsia="MS Mincho"/>
      <w:sz w:val="24"/>
      <w:szCs w:val="24"/>
    </w:rPr>
  </w:style>
  <w:style w:type="table" w:styleId="Table3Deffects1">
    <w:name w:val="Table 3D effects 1"/>
    <w:basedOn w:val="TableNormal"/>
    <w:uiPriority w:val="99"/>
    <w:semiHidden/>
    <w:rsid w:val="00014566"/>
    <w:pPr>
      <w:suppressAutoHyphens/>
    </w:pPr>
    <w:rPr>
      <w:sz w:val="20"/>
      <w:szCs w:val="20"/>
      <w:lang w:val="fr-FR" w:eastAsia="fr-FR"/>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sz w:val="20"/>
      <w:szCs w:val="20"/>
      <w:lang w:val="fr-FR" w:eastAsia="fr-FR"/>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sz w:val="20"/>
      <w:szCs w:val="20"/>
      <w:lang w:val="fr-FR" w:eastAsia="fr-FR"/>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sz w:val="20"/>
      <w:szCs w:val="20"/>
      <w:lang w:val="fr-FR" w:eastAsia="fr-FR"/>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sz w:val="20"/>
      <w:szCs w:val="20"/>
      <w:lang w:val="fr-FR" w:eastAsia="fr-FR"/>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sz w:val="20"/>
      <w:szCs w:val="20"/>
      <w:lang w:val="fr-FR" w:eastAsia="fr-FR"/>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sz w:val="20"/>
      <w:szCs w:val="20"/>
      <w:lang w:val="fr-FR" w:eastAsia="fr-FR"/>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sz w:val="20"/>
      <w:szCs w:val="20"/>
      <w:lang w:val="fr-FR" w:eastAsia="fr-FR"/>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sz w:val="20"/>
      <w:szCs w:val="20"/>
      <w:lang w:val="fr-FR" w:eastAsia="fr-FR"/>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sz w:val="20"/>
      <w:szCs w:val="20"/>
      <w:lang w:val="fr-FR" w:eastAsia="fr-FR"/>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sz w:val="20"/>
      <w:szCs w:val="20"/>
      <w:lang w:val="fr-FR" w:eastAsia="fr-FR"/>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sz w:val="20"/>
      <w:szCs w:val="20"/>
      <w:lang w:val="fr-FR" w:eastAsia="fr-FR"/>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sz w:val="20"/>
      <w:szCs w:val="20"/>
      <w:lang w:val="fr-FR" w:eastAsia="fr-FR"/>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sz w:val="20"/>
      <w:szCs w:val="20"/>
      <w:lang w:val="fr-FR" w:eastAsia="fr-FR"/>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sz w:val="20"/>
      <w:szCs w:val="20"/>
      <w:lang w:val="fr-FR" w:eastAsia="fr-FR"/>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sz w:val="20"/>
      <w:szCs w:val="20"/>
      <w:lang w:val="fr-FR" w:eastAsia="fr-FR"/>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sz w:val="20"/>
      <w:szCs w:val="20"/>
      <w:lang w:val="fr-FR" w:eastAsia="fr-FR"/>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sz w:val="20"/>
      <w:szCs w:val="20"/>
      <w:lang w:val="fr-FR" w:eastAsia="fr-FR"/>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14566"/>
    <w:pPr>
      <w:suppressAutoHyphens/>
    </w:pPr>
    <w:rPr>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7010A"/>
    <w:pPr>
      <w:tabs>
        <w:tab w:val="right" w:leader="dot" w:pos="7371"/>
      </w:tabs>
      <w:spacing w:after="60" w:line="240" w:lineRule="exact"/>
      <w:ind w:left="2041" w:right="567" w:hanging="340"/>
    </w:pPr>
    <w:rPr>
      <w:sz w:val="20"/>
      <w:szCs w:val="20"/>
    </w:rPr>
  </w:style>
  <w:style w:type="paragraph" w:styleId="TOC7">
    <w:name w:val="toc 7"/>
    <w:basedOn w:val="Normal"/>
    <w:next w:val="Normal"/>
    <w:autoRedefine/>
    <w:uiPriority w:val="99"/>
    <w:semiHidden/>
    <w:rsid w:val="0037010A"/>
    <w:pPr>
      <w:tabs>
        <w:tab w:val="right" w:leader="dot" w:pos="7371"/>
      </w:tabs>
      <w:spacing w:after="60" w:line="240" w:lineRule="exact"/>
      <w:ind w:left="2381" w:right="567" w:hanging="340"/>
    </w:pPr>
    <w:rPr>
      <w:sz w:val="20"/>
      <w:szCs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99"/>
    <w:rsid w:val="0037010A"/>
    <w:pPr>
      <w:tabs>
        <w:tab w:val="clear" w:pos="357"/>
      </w:tabs>
      <w:outlineLvl w:val="1"/>
    </w:pPr>
    <w:rPr>
      <w:b/>
      <w:bCs/>
    </w:rPr>
  </w:style>
  <w:style w:type="paragraph" w:customStyle="1" w:styleId="OpiHi">
    <w:name w:val="Opi_H_i"/>
    <w:basedOn w:val="ECHRHeading4"/>
    <w:uiPriority w:val="99"/>
    <w:rsid w:val="0037010A"/>
    <w:pPr>
      <w:ind w:left="1037" w:hanging="357"/>
      <w:outlineLvl w:val="4"/>
    </w:pPr>
    <w:rPr>
      <w:b w:val="0"/>
      <w:bCs w:val="0"/>
      <w:i/>
      <w:iCs/>
    </w:rPr>
  </w:style>
  <w:style w:type="paragraph" w:customStyle="1" w:styleId="OpiPara">
    <w:name w:val="Opi_Para"/>
    <w:basedOn w:val="ECHRPara"/>
    <w:uiPriority w:val="99"/>
    <w:rsid w:val="0037010A"/>
  </w:style>
  <w:style w:type="paragraph" w:customStyle="1" w:styleId="OpiParaSub">
    <w:name w:val="Opi_Para_Sub"/>
    <w:basedOn w:val="JuParaSub"/>
    <w:uiPriority w:val="99"/>
    <w:rsid w:val="0037010A"/>
  </w:style>
  <w:style w:type="paragraph" w:customStyle="1" w:styleId="OpiQuot">
    <w:name w:val="Opi_Quot"/>
    <w:basedOn w:val="ECHRParaQuote"/>
    <w:uiPriority w:val="99"/>
    <w:rsid w:val="0037010A"/>
  </w:style>
  <w:style w:type="paragraph" w:customStyle="1" w:styleId="OpiQuotSub">
    <w:name w:val="Opi_Quot_Sub"/>
    <w:basedOn w:val="JuQuotSub"/>
    <w:uiPriority w:val="99"/>
    <w:rsid w:val="0037010A"/>
  </w:style>
  <w:style w:type="paragraph" w:customStyle="1" w:styleId="OpiTranslation">
    <w:name w:val="Opi_Translation"/>
    <w:basedOn w:val="Normal"/>
    <w:next w:val="OpiPara"/>
    <w:uiPriority w:val="99"/>
    <w:rsid w:val="0037010A"/>
    <w:pPr>
      <w:jc w:val="center"/>
      <w:outlineLvl w:val="0"/>
    </w:pPr>
    <w:rPr>
      <w:i/>
      <w:iCs/>
    </w:rPr>
  </w:style>
  <w:style w:type="character" w:customStyle="1" w:styleId="ECHRParaChar">
    <w:name w:val="ECHR_Para Char"/>
    <w:aliases w:val="Ju_Para Char"/>
    <w:link w:val="ECHRPara"/>
    <w:uiPriority w:val="99"/>
    <w:locked/>
    <w:rsid w:val="00AE6A52"/>
    <w:rPr>
      <w:rFonts w:eastAsia="MS Mincho"/>
      <w:sz w:val="24"/>
      <w:szCs w:val="24"/>
      <w:lang w:val="en-GB"/>
    </w:rPr>
  </w:style>
  <w:style w:type="paragraph" w:styleId="Revision">
    <w:name w:val="Revision"/>
    <w:hidden/>
    <w:uiPriority w:val="99"/>
    <w:semiHidden/>
    <w:rsid w:val="00DB36B1"/>
    <w:rPr>
      <w:rFonts w:eastAsia="MS Mincho"/>
      <w:sz w:val="24"/>
      <w:szCs w:val="24"/>
      <w:lang w:val="en-US" w:eastAsia="en-US"/>
    </w:rPr>
  </w:style>
  <w:style w:type="paragraph" w:customStyle="1" w:styleId="jupara">
    <w:name w:val="jupara"/>
    <w:basedOn w:val="Normal"/>
    <w:uiPriority w:val="99"/>
    <w:rsid w:val="006C2E98"/>
    <w:pPr>
      <w:ind w:firstLine="284"/>
    </w:pPr>
    <w:rPr>
      <w:rFonts w:eastAsia="Times New Roman"/>
      <w:lang w:eastAsia="en-GB"/>
    </w:rPr>
  </w:style>
  <w:style w:type="paragraph" w:customStyle="1" w:styleId="jucase0">
    <w:name w:val="jucase"/>
    <w:basedOn w:val="Normal"/>
    <w:uiPriority w:val="99"/>
    <w:rsid w:val="006C2E98"/>
    <w:pPr>
      <w:ind w:firstLine="284"/>
    </w:pPr>
    <w:rPr>
      <w:rFonts w:eastAsia="Times New Roman"/>
      <w:b/>
      <w:bCs/>
      <w:lang w:eastAsia="en-GB"/>
    </w:rPr>
  </w:style>
  <w:style w:type="paragraph" w:customStyle="1" w:styleId="s50c0b1c7">
    <w:name w:val="s50c0b1c7"/>
    <w:basedOn w:val="Normal"/>
    <w:uiPriority w:val="99"/>
    <w:rsid w:val="004760CE"/>
    <w:pPr>
      <w:spacing w:before="100" w:beforeAutospacing="1" w:after="100" w:afterAutospacing="1"/>
      <w:jc w:val="left"/>
    </w:pPr>
    <w:rPr>
      <w:rFonts w:eastAsia="Times New Roman"/>
      <w:lang w:eastAsia="en-GB"/>
    </w:rPr>
  </w:style>
  <w:style w:type="character" w:customStyle="1" w:styleId="s3aeeab2">
    <w:name w:val="s3aeeab2"/>
    <w:basedOn w:val="DefaultParagraphFont"/>
    <w:uiPriority w:val="99"/>
    <w:rsid w:val="004760CE"/>
  </w:style>
  <w:style w:type="character" w:customStyle="1" w:styleId="sfbbfee58">
    <w:name w:val="sfbbfee58"/>
    <w:basedOn w:val="DefaultParagraphFont"/>
    <w:uiPriority w:val="99"/>
    <w:rsid w:val="004760CE"/>
  </w:style>
  <w:style w:type="character" w:customStyle="1" w:styleId="s4f807e54">
    <w:name w:val="s4f807e54"/>
    <w:uiPriority w:val="99"/>
    <w:rsid w:val="001F2FA6"/>
  </w:style>
  <w:style w:type="numbering" w:styleId="1ai">
    <w:name w:val="Outline List 1"/>
    <w:basedOn w:val="NoList"/>
    <w:uiPriority w:val="99"/>
    <w:semiHidden/>
    <w:unhideWhenUsed/>
    <w:locked/>
    <w:rsid w:val="00300881"/>
    <w:pPr>
      <w:numPr>
        <w:numId w:val="42"/>
      </w:numPr>
    </w:pPr>
  </w:style>
  <w:style w:type="numbering" w:styleId="111111">
    <w:name w:val="Outline List 2"/>
    <w:basedOn w:val="NoList"/>
    <w:uiPriority w:val="99"/>
    <w:semiHidden/>
    <w:unhideWhenUsed/>
    <w:locked/>
    <w:rsid w:val="00300881"/>
    <w:pPr>
      <w:numPr>
        <w:numId w:val="41"/>
      </w:numPr>
    </w:pPr>
  </w:style>
  <w:style w:type="numbering" w:styleId="ArticleSection">
    <w:name w:val="Outline List 3"/>
    <w:basedOn w:val="NoList"/>
    <w:uiPriority w:val="99"/>
    <w:semiHidden/>
    <w:unhideWhenUsed/>
    <w:locked/>
    <w:rsid w:val="00300881"/>
    <w:pPr>
      <w:numPr>
        <w:numId w:val="43"/>
      </w:numPr>
    </w:pPr>
  </w:style>
</w:styles>
</file>

<file path=word/webSettings.xml><?xml version="1.0" encoding="utf-8"?>
<w:webSettings xmlns:r="http://schemas.openxmlformats.org/officeDocument/2006/relationships" xmlns:w="http://schemas.openxmlformats.org/wordprocessingml/2006/main">
  <w:divs>
    <w:div w:id="469786909">
      <w:marLeft w:val="0"/>
      <w:marRight w:val="0"/>
      <w:marTop w:val="0"/>
      <w:marBottom w:val="0"/>
      <w:divBdr>
        <w:top w:val="none" w:sz="0" w:space="0" w:color="auto"/>
        <w:left w:val="none" w:sz="0" w:space="0" w:color="auto"/>
        <w:bottom w:val="none" w:sz="0" w:space="0" w:color="auto"/>
        <w:right w:val="none" w:sz="0" w:space="0" w:color="auto"/>
      </w:divBdr>
      <w:divsChild>
        <w:div w:id="469786933">
          <w:marLeft w:val="0"/>
          <w:marRight w:val="0"/>
          <w:marTop w:val="0"/>
          <w:marBottom w:val="0"/>
          <w:divBdr>
            <w:top w:val="none" w:sz="0" w:space="0" w:color="auto"/>
            <w:left w:val="none" w:sz="0" w:space="0" w:color="auto"/>
            <w:bottom w:val="none" w:sz="0" w:space="0" w:color="auto"/>
            <w:right w:val="none" w:sz="0" w:space="0" w:color="auto"/>
          </w:divBdr>
          <w:divsChild>
            <w:div w:id="469786938">
              <w:marLeft w:val="0"/>
              <w:marRight w:val="0"/>
              <w:marTop w:val="0"/>
              <w:marBottom w:val="0"/>
              <w:divBdr>
                <w:top w:val="none" w:sz="0" w:space="0" w:color="auto"/>
                <w:left w:val="none" w:sz="0" w:space="0" w:color="auto"/>
                <w:bottom w:val="none" w:sz="0" w:space="0" w:color="auto"/>
                <w:right w:val="none" w:sz="0" w:space="0" w:color="auto"/>
              </w:divBdr>
              <w:divsChild>
                <w:div w:id="469786929">
                  <w:marLeft w:val="0"/>
                  <w:marRight w:val="0"/>
                  <w:marTop w:val="0"/>
                  <w:marBottom w:val="0"/>
                  <w:divBdr>
                    <w:top w:val="none" w:sz="0" w:space="0" w:color="auto"/>
                    <w:left w:val="none" w:sz="0" w:space="0" w:color="auto"/>
                    <w:bottom w:val="none" w:sz="0" w:space="0" w:color="auto"/>
                    <w:right w:val="none" w:sz="0" w:space="0" w:color="auto"/>
                  </w:divBdr>
                  <w:divsChild>
                    <w:div w:id="469786941">
                      <w:marLeft w:val="0"/>
                      <w:marRight w:val="0"/>
                      <w:marTop w:val="0"/>
                      <w:marBottom w:val="0"/>
                      <w:divBdr>
                        <w:top w:val="none" w:sz="0" w:space="0" w:color="auto"/>
                        <w:left w:val="none" w:sz="0" w:space="0" w:color="auto"/>
                        <w:bottom w:val="none" w:sz="0" w:space="0" w:color="auto"/>
                        <w:right w:val="none" w:sz="0" w:space="0" w:color="auto"/>
                      </w:divBdr>
                      <w:divsChild>
                        <w:div w:id="469786922">
                          <w:marLeft w:val="0"/>
                          <w:marRight w:val="0"/>
                          <w:marTop w:val="0"/>
                          <w:marBottom w:val="0"/>
                          <w:divBdr>
                            <w:top w:val="none" w:sz="0" w:space="0" w:color="auto"/>
                            <w:left w:val="none" w:sz="0" w:space="0" w:color="auto"/>
                            <w:bottom w:val="none" w:sz="0" w:space="0" w:color="auto"/>
                            <w:right w:val="none" w:sz="0" w:space="0" w:color="auto"/>
                          </w:divBdr>
                          <w:divsChild>
                            <w:div w:id="4697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86913">
      <w:marLeft w:val="0"/>
      <w:marRight w:val="0"/>
      <w:marTop w:val="0"/>
      <w:marBottom w:val="0"/>
      <w:divBdr>
        <w:top w:val="none" w:sz="0" w:space="0" w:color="auto"/>
        <w:left w:val="none" w:sz="0" w:space="0" w:color="auto"/>
        <w:bottom w:val="none" w:sz="0" w:space="0" w:color="auto"/>
        <w:right w:val="none" w:sz="0" w:space="0" w:color="auto"/>
      </w:divBdr>
      <w:divsChild>
        <w:div w:id="469786912">
          <w:marLeft w:val="0"/>
          <w:marRight w:val="0"/>
          <w:marTop w:val="0"/>
          <w:marBottom w:val="0"/>
          <w:divBdr>
            <w:top w:val="none" w:sz="0" w:space="0" w:color="auto"/>
            <w:left w:val="none" w:sz="0" w:space="0" w:color="auto"/>
            <w:bottom w:val="none" w:sz="0" w:space="0" w:color="auto"/>
            <w:right w:val="none" w:sz="0" w:space="0" w:color="auto"/>
          </w:divBdr>
          <w:divsChild>
            <w:div w:id="469786915">
              <w:marLeft w:val="0"/>
              <w:marRight w:val="0"/>
              <w:marTop w:val="0"/>
              <w:marBottom w:val="0"/>
              <w:divBdr>
                <w:top w:val="none" w:sz="0" w:space="0" w:color="auto"/>
                <w:left w:val="none" w:sz="0" w:space="0" w:color="auto"/>
                <w:bottom w:val="none" w:sz="0" w:space="0" w:color="auto"/>
                <w:right w:val="none" w:sz="0" w:space="0" w:color="auto"/>
              </w:divBdr>
              <w:divsChild>
                <w:div w:id="469786946">
                  <w:marLeft w:val="0"/>
                  <w:marRight w:val="0"/>
                  <w:marTop w:val="0"/>
                  <w:marBottom w:val="0"/>
                  <w:divBdr>
                    <w:top w:val="none" w:sz="0" w:space="0" w:color="auto"/>
                    <w:left w:val="none" w:sz="0" w:space="0" w:color="auto"/>
                    <w:bottom w:val="none" w:sz="0" w:space="0" w:color="auto"/>
                    <w:right w:val="none" w:sz="0" w:space="0" w:color="auto"/>
                  </w:divBdr>
                  <w:divsChild>
                    <w:div w:id="469786924">
                      <w:marLeft w:val="0"/>
                      <w:marRight w:val="0"/>
                      <w:marTop w:val="0"/>
                      <w:marBottom w:val="0"/>
                      <w:divBdr>
                        <w:top w:val="none" w:sz="0" w:space="0" w:color="auto"/>
                        <w:left w:val="none" w:sz="0" w:space="0" w:color="auto"/>
                        <w:bottom w:val="none" w:sz="0" w:space="0" w:color="auto"/>
                        <w:right w:val="none" w:sz="0" w:space="0" w:color="auto"/>
                      </w:divBdr>
                      <w:divsChild>
                        <w:div w:id="469786948">
                          <w:marLeft w:val="0"/>
                          <w:marRight w:val="0"/>
                          <w:marTop w:val="0"/>
                          <w:marBottom w:val="0"/>
                          <w:divBdr>
                            <w:top w:val="none" w:sz="0" w:space="0" w:color="auto"/>
                            <w:left w:val="none" w:sz="0" w:space="0" w:color="auto"/>
                            <w:bottom w:val="none" w:sz="0" w:space="0" w:color="auto"/>
                            <w:right w:val="none" w:sz="0" w:space="0" w:color="auto"/>
                          </w:divBdr>
                          <w:divsChild>
                            <w:div w:id="4697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86925">
      <w:marLeft w:val="0"/>
      <w:marRight w:val="0"/>
      <w:marTop w:val="0"/>
      <w:marBottom w:val="0"/>
      <w:divBdr>
        <w:top w:val="none" w:sz="0" w:space="0" w:color="auto"/>
        <w:left w:val="none" w:sz="0" w:space="0" w:color="auto"/>
        <w:bottom w:val="none" w:sz="0" w:space="0" w:color="auto"/>
        <w:right w:val="none" w:sz="0" w:space="0" w:color="auto"/>
      </w:divBdr>
    </w:div>
    <w:div w:id="469786928">
      <w:marLeft w:val="0"/>
      <w:marRight w:val="0"/>
      <w:marTop w:val="0"/>
      <w:marBottom w:val="0"/>
      <w:divBdr>
        <w:top w:val="none" w:sz="0" w:space="0" w:color="auto"/>
        <w:left w:val="none" w:sz="0" w:space="0" w:color="auto"/>
        <w:bottom w:val="none" w:sz="0" w:space="0" w:color="auto"/>
        <w:right w:val="none" w:sz="0" w:space="0" w:color="auto"/>
      </w:divBdr>
      <w:divsChild>
        <w:div w:id="469786910">
          <w:marLeft w:val="0"/>
          <w:marRight w:val="0"/>
          <w:marTop w:val="0"/>
          <w:marBottom w:val="0"/>
          <w:divBdr>
            <w:top w:val="none" w:sz="0" w:space="0" w:color="auto"/>
            <w:left w:val="none" w:sz="0" w:space="0" w:color="auto"/>
            <w:bottom w:val="none" w:sz="0" w:space="0" w:color="auto"/>
            <w:right w:val="none" w:sz="0" w:space="0" w:color="auto"/>
          </w:divBdr>
          <w:divsChild>
            <w:div w:id="469786950">
              <w:marLeft w:val="0"/>
              <w:marRight w:val="0"/>
              <w:marTop w:val="0"/>
              <w:marBottom w:val="0"/>
              <w:divBdr>
                <w:top w:val="none" w:sz="0" w:space="0" w:color="auto"/>
                <w:left w:val="none" w:sz="0" w:space="0" w:color="auto"/>
                <w:bottom w:val="none" w:sz="0" w:space="0" w:color="auto"/>
                <w:right w:val="none" w:sz="0" w:space="0" w:color="auto"/>
              </w:divBdr>
              <w:divsChild>
                <w:div w:id="469786942">
                  <w:marLeft w:val="0"/>
                  <w:marRight w:val="0"/>
                  <w:marTop w:val="0"/>
                  <w:marBottom w:val="0"/>
                  <w:divBdr>
                    <w:top w:val="none" w:sz="0" w:space="0" w:color="auto"/>
                    <w:left w:val="none" w:sz="0" w:space="0" w:color="auto"/>
                    <w:bottom w:val="none" w:sz="0" w:space="0" w:color="auto"/>
                    <w:right w:val="none" w:sz="0" w:space="0" w:color="auto"/>
                  </w:divBdr>
                  <w:divsChild>
                    <w:div w:id="469786932">
                      <w:marLeft w:val="0"/>
                      <w:marRight w:val="0"/>
                      <w:marTop w:val="0"/>
                      <w:marBottom w:val="0"/>
                      <w:divBdr>
                        <w:top w:val="none" w:sz="0" w:space="0" w:color="auto"/>
                        <w:left w:val="none" w:sz="0" w:space="0" w:color="auto"/>
                        <w:bottom w:val="none" w:sz="0" w:space="0" w:color="auto"/>
                        <w:right w:val="none" w:sz="0" w:space="0" w:color="auto"/>
                      </w:divBdr>
                      <w:divsChild>
                        <w:div w:id="469786953">
                          <w:marLeft w:val="0"/>
                          <w:marRight w:val="0"/>
                          <w:marTop w:val="0"/>
                          <w:marBottom w:val="0"/>
                          <w:divBdr>
                            <w:top w:val="none" w:sz="0" w:space="0" w:color="auto"/>
                            <w:left w:val="none" w:sz="0" w:space="0" w:color="auto"/>
                            <w:bottom w:val="none" w:sz="0" w:space="0" w:color="auto"/>
                            <w:right w:val="none" w:sz="0" w:space="0" w:color="auto"/>
                          </w:divBdr>
                          <w:divsChild>
                            <w:div w:id="4697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86930">
      <w:marLeft w:val="0"/>
      <w:marRight w:val="0"/>
      <w:marTop w:val="0"/>
      <w:marBottom w:val="0"/>
      <w:divBdr>
        <w:top w:val="none" w:sz="0" w:space="0" w:color="auto"/>
        <w:left w:val="none" w:sz="0" w:space="0" w:color="auto"/>
        <w:bottom w:val="none" w:sz="0" w:space="0" w:color="auto"/>
        <w:right w:val="none" w:sz="0" w:space="0" w:color="auto"/>
      </w:divBdr>
    </w:div>
    <w:div w:id="469786935">
      <w:marLeft w:val="0"/>
      <w:marRight w:val="0"/>
      <w:marTop w:val="0"/>
      <w:marBottom w:val="0"/>
      <w:divBdr>
        <w:top w:val="none" w:sz="0" w:space="0" w:color="auto"/>
        <w:left w:val="none" w:sz="0" w:space="0" w:color="auto"/>
        <w:bottom w:val="none" w:sz="0" w:space="0" w:color="auto"/>
        <w:right w:val="none" w:sz="0" w:space="0" w:color="auto"/>
      </w:divBdr>
      <w:divsChild>
        <w:div w:id="469786951">
          <w:marLeft w:val="0"/>
          <w:marRight w:val="0"/>
          <w:marTop w:val="0"/>
          <w:marBottom w:val="0"/>
          <w:divBdr>
            <w:top w:val="none" w:sz="0" w:space="0" w:color="auto"/>
            <w:left w:val="none" w:sz="0" w:space="0" w:color="auto"/>
            <w:bottom w:val="none" w:sz="0" w:space="0" w:color="auto"/>
            <w:right w:val="none" w:sz="0" w:space="0" w:color="auto"/>
          </w:divBdr>
          <w:divsChild>
            <w:div w:id="469786920">
              <w:marLeft w:val="0"/>
              <w:marRight w:val="0"/>
              <w:marTop w:val="0"/>
              <w:marBottom w:val="0"/>
              <w:divBdr>
                <w:top w:val="none" w:sz="0" w:space="0" w:color="auto"/>
                <w:left w:val="none" w:sz="0" w:space="0" w:color="auto"/>
                <w:bottom w:val="none" w:sz="0" w:space="0" w:color="auto"/>
                <w:right w:val="none" w:sz="0" w:space="0" w:color="auto"/>
              </w:divBdr>
              <w:divsChild>
                <w:div w:id="469786937">
                  <w:marLeft w:val="0"/>
                  <w:marRight w:val="0"/>
                  <w:marTop w:val="0"/>
                  <w:marBottom w:val="0"/>
                  <w:divBdr>
                    <w:top w:val="none" w:sz="0" w:space="0" w:color="auto"/>
                    <w:left w:val="none" w:sz="0" w:space="0" w:color="auto"/>
                    <w:bottom w:val="none" w:sz="0" w:space="0" w:color="auto"/>
                    <w:right w:val="none" w:sz="0" w:space="0" w:color="auto"/>
                  </w:divBdr>
                  <w:divsChild>
                    <w:div w:id="469786919">
                      <w:marLeft w:val="0"/>
                      <w:marRight w:val="0"/>
                      <w:marTop w:val="0"/>
                      <w:marBottom w:val="0"/>
                      <w:divBdr>
                        <w:top w:val="none" w:sz="0" w:space="0" w:color="auto"/>
                        <w:left w:val="none" w:sz="0" w:space="0" w:color="auto"/>
                        <w:bottom w:val="none" w:sz="0" w:space="0" w:color="auto"/>
                        <w:right w:val="none" w:sz="0" w:space="0" w:color="auto"/>
                      </w:divBdr>
                      <w:divsChild>
                        <w:div w:id="469786911">
                          <w:marLeft w:val="0"/>
                          <w:marRight w:val="0"/>
                          <w:marTop w:val="0"/>
                          <w:marBottom w:val="0"/>
                          <w:divBdr>
                            <w:top w:val="none" w:sz="0" w:space="0" w:color="auto"/>
                            <w:left w:val="none" w:sz="0" w:space="0" w:color="auto"/>
                            <w:bottom w:val="none" w:sz="0" w:space="0" w:color="auto"/>
                            <w:right w:val="none" w:sz="0" w:space="0" w:color="auto"/>
                          </w:divBdr>
                          <w:divsChild>
                            <w:div w:id="4697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86939">
      <w:marLeft w:val="0"/>
      <w:marRight w:val="0"/>
      <w:marTop w:val="0"/>
      <w:marBottom w:val="0"/>
      <w:divBdr>
        <w:top w:val="none" w:sz="0" w:space="0" w:color="auto"/>
        <w:left w:val="none" w:sz="0" w:space="0" w:color="auto"/>
        <w:bottom w:val="none" w:sz="0" w:space="0" w:color="auto"/>
        <w:right w:val="none" w:sz="0" w:space="0" w:color="auto"/>
      </w:divBdr>
      <w:divsChild>
        <w:div w:id="469786917">
          <w:marLeft w:val="0"/>
          <w:marRight w:val="0"/>
          <w:marTop w:val="0"/>
          <w:marBottom w:val="0"/>
          <w:divBdr>
            <w:top w:val="none" w:sz="0" w:space="0" w:color="auto"/>
            <w:left w:val="none" w:sz="0" w:space="0" w:color="auto"/>
            <w:bottom w:val="none" w:sz="0" w:space="0" w:color="auto"/>
            <w:right w:val="none" w:sz="0" w:space="0" w:color="auto"/>
          </w:divBdr>
          <w:divsChild>
            <w:div w:id="469786947">
              <w:marLeft w:val="0"/>
              <w:marRight w:val="0"/>
              <w:marTop w:val="0"/>
              <w:marBottom w:val="0"/>
              <w:divBdr>
                <w:top w:val="none" w:sz="0" w:space="0" w:color="auto"/>
                <w:left w:val="none" w:sz="0" w:space="0" w:color="auto"/>
                <w:bottom w:val="none" w:sz="0" w:space="0" w:color="auto"/>
                <w:right w:val="none" w:sz="0" w:space="0" w:color="auto"/>
              </w:divBdr>
              <w:divsChild>
                <w:div w:id="469786921">
                  <w:marLeft w:val="0"/>
                  <w:marRight w:val="0"/>
                  <w:marTop w:val="0"/>
                  <w:marBottom w:val="0"/>
                  <w:divBdr>
                    <w:top w:val="none" w:sz="0" w:space="0" w:color="auto"/>
                    <w:left w:val="none" w:sz="0" w:space="0" w:color="auto"/>
                    <w:bottom w:val="none" w:sz="0" w:space="0" w:color="auto"/>
                    <w:right w:val="none" w:sz="0" w:space="0" w:color="auto"/>
                  </w:divBdr>
                  <w:divsChild>
                    <w:div w:id="469786923">
                      <w:marLeft w:val="0"/>
                      <w:marRight w:val="0"/>
                      <w:marTop w:val="0"/>
                      <w:marBottom w:val="0"/>
                      <w:divBdr>
                        <w:top w:val="none" w:sz="0" w:space="0" w:color="auto"/>
                        <w:left w:val="none" w:sz="0" w:space="0" w:color="auto"/>
                        <w:bottom w:val="none" w:sz="0" w:space="0" w:color="auto"/>
                        <w:right w:val="none" w:sz="0" w:space="0" w:color="auto"/>
                      </w:divBdr>
                      <w:divsChild>
                        <w:div w:id="469786934">
                          <w:marLeft w:val="0"/>
                          <w:marRight w:val="0"/>
                          <w:marTop w:val="0"/>
                          <w:marBottom w:val="0"/>
                          <w:divBdr>
                            <w:top w:val="none" w:sz="0" w:space="0" w:color="auto"/>
                            <w:left w:val="none" w:sz="0" w:space="0" w:color="auto"/>
                            <w:bottom w:val="none" w:sz="0" w:space="0" w:color="auto"/>
                            <w:right w:val="none" w:sz="0" w:space="0" w:color="auto"/>
                          </w:divBdr>
                          <w:divsChild>
                            <w:div w:id="4697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86944">
      <w:marLeft w:val="0"/>
      <w:marRight w:val="0"/>
      <w:marTop w:val="0"/>
      <w:marBottom w:val="0"/>
      <w:divBdr>
        <w:top w:val="none" w:sz="0" w:space="0" w:color="auto"/>
        <w:left w:val="none" w:sz="0" w:space="0" w:color="auto"/>
        <w:bottom w:val="none" w:sz="0" w:space="0" w:color="auto"/>
        <w:right w:val="none" w:sz="0" w:space="0" w:color="auto"/>
      </w:divBdr>
    </w:div>
    <w:div w:id="469786949">
      <w:marLeft w:val="0"/>
      <w:marRight w:val="0"/>
      <w:marTop w:val="0"/>
      <w:marBottom w:val="0"/>
      <w:divBdr>
        <w:top w:val="none" w:sz="0" w:space="0" w:color="auto"/>
        <w:left w:val="none" w:sz="0" w:space="0" w:color="auto"/>
        <w:bottom w:val="none" w:sz="0" w:space="0" w:color="auto"/>
        <w:right w:val="none" w:sz="0" w:space="0" w:color="auto"/>
      </w:divBdr>
      <w:divsChild>
        <w:div w:id="469786943">
          <w:marLeft w:val="0"/>
          <w:marRight w:val="0"/>
          <w:marTop w:val="0"/>
          <w:marBottom w:val="0"/>
          <w:divBdr>
            <w:top w:val="none" w:sz="0" w:space="0" w:color="auto"/>
            <w:left w:val="none" w:sz="0" w:space="0" w:color="auto"/>
            <w:bottom w:val="none" w:sz="0" w:space="0" w:color="auto"/>
            <w:right w:val="none" w:sz="0" w:space="0" w:color="auto"/>
          </w:divBdr>
          <w:divsChild>
            <w:div w:id="469786916">
              <w:marLeft w:val="0"/>
              <w:marRight w:val="0"/>
              <w:marTop w:val="0"/>
              <w:marBottom w:val="0"/>
              <w:divBdr>
                <w:top w:val="none" w:sz="0" w:space="0" w:color="auto"/>
                <w:left w:val="none" w:sz="0" w:space="0" w:color="auto"/>
                <w:bottom w:val="none" w:sz="0" w:space="0" w:color="auto"/>
                <w:right w:val="none" w:sz="0" w:space="0" w:color="auto"/>
              </w:divBdr>
              <w:divsChild>
                <w:div w:id="469786926">
                  <w:marLeft w:val="0"/>
                  <w:marRight w:val="0"/>
                  <w:marTop w:val="0"/>
                  <w:marBottom w:val="0"/>
                  <w:divBdr>
                    <w:top w:val="none" w:sz="0" w:space="0" w:color="auto"/>
                    <w:left w:val="none" w:sz="0" w:space="0" w:color="auto"/>
                    <w:bottom w:val="none" w:sz="0" w:space="0" w:color="auto"/>
                    <w:right w:val="none" w:sz="0" w:space="0" w:color="auto"/>
                  </w:divBdr>
                  <w:divsChild>
                    <w:div w:id="469786945">
                      <w:marLeft w:val="0"/>
                      <w:marRight w:val="0"/>
                      <w:marTop w:val="0"/>
                      <w:marBottom w:val="0"/>
                      <w:divBdr>
                        <w:top w:val="none" w:sz="0" w:space="0" w:color="auto"/>
                        <w:left w:val="none" w:sz="0" w:space="0" w:color="auto"/>
                        <w:bottom w:val="none" w:sz="0" w:space="0" w:color="auto"/>
                        <w:right w:val="none" w:sz="0" w:space="0" w:color="auto"/>
                      </w:divBdr>
                      <w:divsChild>
                        <w:div w:id="469786931">
                          <w:marLeft w:val="0"/>
                          <w:marRight w:val="0"/>
                          <w:marTop w:val="0"/>
                          <w:marBottom w:val="0"/>
                          <w:divBdr>
                            <w:top w:val="none" w:sz="0" w:space="0" w:color="auto"/>
                            <w:left w:val="none" w:sz="0" w:space="0" w:color="auto"/>
                            <w:bottom w:val="none" w:sz="0" w:space="0" w:color="auto"/>
                            <w:right w:val="none" w:sz="0" w:space="0" w:color="auto"/>
                          </w:divBdr>
                          <w:divsChild>
                            <w:div w:id="4697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86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5068</Words>
  <Characters>30411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4</cp:revision>
  <dcterms:created xsi:type="dcterms:W3CDTF">2020-02-06T09:14:00Z</dcterms:created>
  <dcterms:modified xsi:type="dcterms:W3CDTF">2020-03-02T10:55:00Z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60934/13</vt:lpwstr>
  </property>
  <property fmtid="{D5CDD505-2E9C-101B-9397-08002B2CF9AE}" pid="4" name="CASEID">
    <vt:lpwstr>911661</vt:lpwstr>
  </property>
  <property fmtid="{D5CDD505-2E9C-101B-9397-08002B2CF9AE}" pid="5" name="ContentTypeId">
    <vt:lpwstr>0x010100558EB02BDB9E204AB350EDD385B68E10</vt:lpwstr>
  </property>
</Properties>
</file>