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2B" w:rsidRPr="006669FA" w:rsidRDefault="00AB752B" w:rsidP="00EA528C">
      <w:pPr>
        <w:jc w:val="center"/>
      </w:pPr>
      <w:r w:rsidRPr="006669FA">
        <w:rPr>
          <w:rStyle w:val="s4f807e54"/>
          <w:rFonts w:ascii="Arial" w:hAnsi="Arial" w:cs="Arial"/>
          <w:sz w:val="18"/>
          <w:szCs w:val="18"/>
        </w:rPr>
        <w:t xml:space="preserve">© Copyright for </w:t>
      </w:r>
      <w:proofErr w:type="spellStart"/>
      <w:r w:rsidRPr="006669FA">
        <w:rPr>
          <w:rStyle w:val="s4f807e54"/>
          <w:rFonts w:ascii="Arial" w:hAnsi="Arial" w:cs="Arial"/>
          <w:sz w:val="18"/>
          <w:szCs w:val="18"/>
        </w:rPr>
        <w:t>the</w:t>
      </w:r>
      <w:proofErr w:type="spellEnd"/>
      <w:r w:rsidRPr="006669FA">
        <w:rPr>
          <w:rStyle w:val="s4f807e54"/>
          <w:rFonts w:ascii="Arial" w:hAnsi="Arial" w:cs="Arial"/>
          <w:sz w:val="18"/>
          <w:szCs w:val="18"/>
        </w:rPr>
        <w:t xml:space="preserve"> </w:t>
      </w:r>
      <w:proofErr w:type="spellStart"/>
      <w:r w:rsidRPr="006669FA">
        <w:rPr>
          <w:rStyle w:val="s4f807e54"/>
          <w:rFonts w:ascii="Arial" w:hAnsi="Arial" w:cs="Arial"/>
          <w:sz w:val="18"/>
          <w:szCs w:val="18"/>
        </w:rPr>
        <w:t>Polish</w:t>
      </w:r>
      <w:proofErr w:type="spellEnd"/>
      <w:r w:rsidRPr="006669FA">
        <w:rPr>
          <w:rStyle w:val="s4f807e54"/>
          <w:rFonts w:ascii="Arial" w:hAnsi="Arial" w:cs="Arial"/>
          <w:sz w:val="18"/>
          <w:szCs w:val="18"/>
        </w:rPr>
        <w:t xml:space="preserve"> </w:t>
      </w:r>
      <w:proofErr w:type="spellStart"/>
      <w:r w:rsidRPr="006669FA">
        <w:rPr>
          <w:rStyle w:val="s4f807e54"/>
          <w:rFonts w:ascii="Arial" w:hAnsi="Arial" w:cs="Arial"/>
          <w:sz w:val="18"/>
          <w:szCs w:val="18"/>
        </w:rPr>
        <w:t>translation</w:t>
      </w:r>
      <w:proofErr w:type="spellEnd"/>
      <w:r w:rsidRPr="006669FA">
        <w:rPr>
          <w:rStyle w:val="s4f807e54"/>
          <w:rFonts w:ascii="Arial" w:hAnsi="Arial" w:cs="Arial"/>
          <w:sz w:val="18"/>
          <w:szCs w:val="18"/>
        </w:rPr>
        <w:t xml:space="preserve"> by Naczelny Sąd Administracyjny, Warszawa 2020</w:t>
      </w:r>
    </w:p>
    <w:p w:rsidR="00AB752B" w:rsidRDefault="00AB752B" w:rsidP="00EB3036">
      <w:pPr>
        <w:jc w:val="center"/>
      </w:pPr>
    </w:p>
    <w:p w:rsidR="00AB752B" w:rsidRPr="00EB3036" w:rsidRDefault="00AB752B" w:rsidP="00EB3036">
      <w:pPr>
        <w:jc w:val="center"/>
      </w:pPr>
      <w:r w:rsidRPr="00EB3036">
        <w:t>EUROPEJSKI TRYBUNAŁ PRAW CZŁOWIEKA</w:t>
      </w:r>
      <w:bookmarkStart w:id="0" w:name="_GoBack"/>
      <w:bookmarkEnd w:id="0"/>
    </w:p>
    <w:p w:rsidR="00AB752B" w:rsidRPr="00EB3036" w:rsidRDefault="00AB752B" w:rsidP="00235747">
      <w:pPr>
        <w:jc w:val="center"/>
      </w:pPr>
    </w:p>
    <w:p w:rsidR="00AB752B" w:rsidRPr="00EB3036" w:rsidRDefault="00AB752B" w:rsidP="00235747">
      <w:pPr>
        <w:jc w:val="center"/>
      </w:pPr>
    </w:p>
    <w:p w:rsidR="00AB752B" w:rsidRPr="00235747" w:rsidRDefault="00AB752B" w:rsidP="00235747">
      <w:pPr>
        <w:jc w:val="center"/>
      </w:pPr>
      <w:r>
        <w:t>SEKCJA TRZECIA</w:t>
      </w:r>
    </w:p>
    <w:p w:rsidR="00AB752B" w:rsidRPr="00EB3036" w:rsidRDefault="00AB752B" w:rsidP="00235747">
      <w:pPr>
        <w:jc w:val="center"/>
      </w:pPr>
    </w:p>
    <w:p w:rsidR="00AB752B" w:rsidRPr="00EB3036" w:rsidRDefault="00AB752B" w:rsidP="00235747">
      <w:pPr>
        <w:jc w:val="center"/>
      </w:pPr>
    </w:p>
    <w:p w:rsidR="00AB752B" w:rsidRPr="00EB3036" w:rsidRDefault="00AB752B" w:rsidP="00235747">
      <w:pPr>
        <w:jc w:val="center"/>
      </w:pPr>
    </w:p>
    <w:p w:rsidR="00AB752B" w:rsidRPr="00EB3036" w:rsidRDefault="00AB752B" w:rsidP="00235747">
      <w:pPr>
        <w:jc w:val="center"/>
      </w:pPr>
    </w:p>
    <w:p w:rsidR="00AB752B" w:rsidRPr="00EB3036" w:rsidRDefault="00AB752B" w:rsidP="00235747">
      <w:pPr>
        <w:jc w:val="center"/>
      </w:pPr>
    </w:p>
    <w:p w:rsidR="00AB752B" w:rsidRPr="00235747" w:rsidRDefault="00AB752B" w:rsidP="00235747">
      <w:pPr>
        <w:jc w:val="center"/>
      </w:pPr>
      <w:r>
        <w:rPr>
          <w:b/>
          <w:bCs/>
        </w:rPr>
        <w:t>SPRAWA ZHIDOV I INNI przeciwko ROSJI</w:t>
      </w:r>
    </w:p>
    <w:p w:rsidR="00AB752B" w:rsidRPr="00EB3036" w:rsidRDefault="00AB752B" w:rsidP="00235747">
      <w:pPr>
        <w:jc w:val="center"/>
      </w:pPr>
    </w:p>
    <w:p w:rsidR="00AB752B" w:rsidRPr="00235747" w:rsidRDefault="00AB752B" w:rsidP="00235747">
      <w:pPr>
        <w:jc w:val="center"/>
      </w:pPr>
      <w:r>
        <w:t>(</w:t>
      </w:r>
      <w:r>
        <w:rPr>
          <w:i/>
          <w:iCs/>
        </w:rPr>
        <w:t>Skargi nr 54490/10 i 3 inne – patrz lista w załączniku</w:t>
      </w:r>
      <w:r>
        <w:t>)</w:t>
      </w:r>
    </w:p>
    <w:p w:rsidR="00AB752B" w:rsidRPr="00EB3036" w:rsidRDefault="00AB752B" w:rsidP="00235747">
      <w:pPr>
        <w:jc w:val="center"/>
      </w:pPr>
    </w:p>
    <w:p w:rsidR="00AB752B" w:rsidRPr="00EB3036" w:rsidRDefault="00AB752B" w:rsidP="00235747">
      <w:pPr>
        <w:jc w:val="center"/>
      </w:pPr>
    </w:p>
    <w:p w:rsidR="00AB752B" w:rsidRPr="00EB3036" w:rsidRDefault="00AB752B" w:rsidP="00235747">
      <w:pPr>
        <w:jc w:val="center"/>
      </w:pPr>
    </w:p>
    <w:p w:rsidR="00AB752B" w:rsidRPr="00EB3036" w:rsidRDefault="00AB752B" w:rsidP="00EA528C"/>
    <w:p w:rsidR="00AB752B" w:rsidRPr="00EB3036" w:rsidRDefault="00AB752B" w:rsidP="00235747">
      <w:pPr>
        <w:jc w:val="center"/>
      </w:pPr>
    </w:p>
    <w:p w:rsidR="00AB752B" w:rsidRPr="00EB3036" w:rsidRDefault="00AB752B" w:rsidP="00235747">
      <w:pPr>
        <w:jc w:val="center"/>
      </w:pPr>
    </w:p>
    <w:p w:rsidR="00AB752B" w:rsidRPr="00235747" w:rsidRDefault="00AB752B" w:rsidP="00235747">
      <w:pPr>
        <w:jc w:val="center"/>
        <w:outlineLvl w:val="0"/>
      </w:pPr>
      <w:r>
        <w:t>WYROK</w:t>
      </w:r>
    </w:p>
    <w:p w:rsidR="00AB752B" w:rsidRPr="00235747" w:rsidRDefault="00AB752B" w:rsidP="00235747">
      <w:pPr>
        <w:jc w:val="center"/>
        <w:rPr>
          <w:i/>
          <w:iCs/>
        </w:rPr>
      </w:pPr>
      <w:r>
        <w:rPr>
          <w:i/>
          <w:iCs/>
        </w:rPr>
        <w:t>(</w:t>
      </w:r>
      <w:r w:rsidR="00B97EEE">
        <w:rPr>
          <w:i/>
          <w:iCs/>
        </w:rPr>
        <w:t>Przedmiot skargi</w:t>
      </w:r>
      <w:r>
        <w:rPr>
          <w:i/>
          <w:iCs/>
        </w:rPr>
        <w:t>)</w:t>
      </w:r>
    </w:p>
    <w:p w:rsidR="00AB752B" w:rsidRPr="00EB3036" w:rsidRDefault="00585D11" w:rsidP="00235747">
      <w:pPr>
        <w:jc w:val="center"/>
      </w:pPr>
      <w:r>
        <w:t>[wyciąg]</w:t>
      </w:r>
    </w:p>
    <w:p w:rsidR="00AB752B" w:rsidRPr="00EB3036" w:rsidRDefault="00AB752B" w:rsidP="00235747">
      <w:pPr>
        <w:jc w:val="center"/>
      </w:pPr>
    </w:p>
    <w:p w:rsidR="00AB752B" w:rsidRPr="00EB3036" w:rsidRDefault="00AB752B" w:rsidP="00235747">
      <w:pPr>
        <w:jc w:val="center"/>
      </w:pPr>
    </w:p>
    <w:p w:rsidR="00AB752B" w:rsidRPr="00EB3036" w:rsidRDefault="00AB752B" w:rsidP="00235747">
      <w:pPr>
        <w:jc w:val="center"/>
      </w:pPr>
    </w:p>
    <w:p w:rsidR="00AB752B" w:rsidRPr="00235747" w:rsidRDefault="00AB752B" w:rsidP="00235747">
      <w:pPr>
        <w:jc w:val="center"/>
        <w:outlineLvl w:val="0"/>
      </w:pPr>
      <w:r>
        <w:t>STRASBURG</w:t>
      </w:r>
    </w:p>
    <w:p w:rsidR="00AB752B" w:rsidRPr="00EB3036" w:rsidRDefault="00AB752B" w:rsidP="00235747">
      <w:pPr>
        <w:jc w:val="center"/>
      </w:pPr>
    </w:p>
    <w:p w:rsidR="00AB752B" w:rsidRPr="00235747" w:rsidRDefault="00AB752B" w:rsidP="00235747">
      <w:pPr>
        <w:jc w:val="center"/>
      </w:pPr>
      <w:r>
        <w:t>16 października 2018 r.</w:t>
      </w:r>
    </w:p>
    <w:p w:rsidR="00AB752B" w:rsidRPr="00EB3036" w:rsidRDefault="00AB752B" w:rsidP="00235747">
      <w:pPr>
        <w:jc w:val="center"/>
      </w:pPr>
    </w:p>
    <w:p w:rsidR="00AB752B" w:rsidRPr="00EB3036" w:rsidRDefault="00AB752B" w:rsidP="00235747">
      <w:pPr>
        <w:jc w:val="center"/>
      </w:pPr>
    </w:p>
    <w:p w:rsidR="00AB752B" w:rsidRDefault="00AB752B" w:rsidP="00E53B37">
      <w:pPr>
        <w:pStyle w:val="jucase0"/>
        <w:ind w:firstLine="0"/>
        <w:jc w:val="center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OSTATECZNY</w:t>
      </w:r>
    </w:p>
    <w:p w:rsidR="00AB752B" w:rsidRPr="00EB3036" w:rsidRDefault="00AB752B" w:rsidP="00E53B37">
      <w:pPr>
        <w:pStyle w:val="jupara"/>
        <w:tabs>
          <w:tab w:val="left" w:pos="3450"/>
        </w:tabs>
        <w:ind w:firstLine="0"/>
        <w:jc w:val="center"/>
        <w:rPr>
          <w:color w:val="FF0000"/>
          <w:sz w:val="28"/>
          <w:szCs w:val="28"/>
        </w:rPr>
      </w:pPr>
    </w:p>
    <w:p w:rsidR="00AB752B" w:rsidRDefault="00AB752B" w:rsidP="00E53B37">
      <w:pPr>
        <w:pStyle w:val="jupara"/>
        <w:ind w:firstLine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18/03/2019</w:t>
      </w:r>
    </w:p>
    <w:p w:rsidR="00AB752B" w:rsidRPr="00EB3036" w:rsidRDefault="00AB752B" w:rsidP="00E53B37">
      <w:pPr>
        <w:pStyle w:val="jupara"/>
        <w:ind w:firstLine="0"/>
        <w:jc w:val="center"/>
        <w:rPr>
          <w:u w:val="single"/>
        </w:rPr>
      </w:pPr>
    </w:p>
    <w:p w:rsidR="00AB752B" w:rsidRDefault="00AB752B" w:rsidP="00E53B37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Wyrok ten stał się ostateczny zgodnie z warunkami określonymi w art. 44 </w:t>
      </w:r>
      <w:r w:rsidR="00B22132">
        <w:rPr>
          <w:i/>
          <w:iCs/>
          <w:sz w:val="22"/>
          <w:szCs w:val="22"/>
        </w:rPr>
        <w:t>ust.</w:t>
      </w:r>
      <w:r>
        <w:rPr>
          <w:i/>
          <w:iCs/>
          <w:sz w:val="22"/>
          <w:szCs w:val="22"/>
        </w:rPr>
        <w:t xml:space="preserve"> 2 Konwencji. Może podlegać korekcie wydawniczej.</w:t>
      </w:r>
    </w:p>
    <w:p w:rsidR="00AB752B" w:rsidRPr="00EB3036" w:rsidRDefault="00AB752B" w:rsidP="00235747">
      <w:pPr>
        <w:jc w:val="left"/>
        <w:rPr>
          <w:i/>
          <w:iCs/>
        </w:rPr>
      </w:pPr>
    </w:p>
    <w:p w:rsidR="00AB752B" w:rsidRPr="00EB3036" w:rsidRDefault="00AB752B" w:rsidP="00235747">
      <w:pPr>
        <w:sectPr w:rsidR="00AB752B" w:rsidRPr="00EB3036" w:rsidSect="00F543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 w:code="9"/>
          <w:pgMar w:top="2274" w:right="2274" w:bottom="2274" w:left="2274" w:header="1701" w:footer="708" w:gutter="0"/>
          <w:pgNumType w:start="1"/>
          <w:cols w:space="708"/>
          <w:noEndnote/>
        </w:sectPr>
      </w:pPr>
    </w:p>
    <w:p w:rsidR="00AB752B" w:rsidRPr="00235747" w:rsidRDefault="00AB752B" w:rsidP="00235747">
      <w:pPr>
        <w:pStyle w:val="JuCase"/>
      </w:pPr>
      <w:r>
        <w:lastRenderedPageBreak/>
        <w:t xml:space="preserve">W sprawie </w:t>
      </w:r>
      <w:proofErr w:type="spellStart"/>
      <w:r>
        <w:t>Zhidov</w:t>
      </w:r>
      <w:proofErr w:type="spellEnd"/>
      <w:r>
        <w:t xml:space="preserve"> i Inni przeciwko Rosji,</w:t>
      </w:r>
    </w:p>
    <w:p w:rsidR="00AB752B" w:rsidRPr="00235747" w:rsidRDefault="00AB752B" w:rsidP="00235747">
      <w:pPr>
        <w:pStyle w:val="ECHRPara"/>
      </w:pPr>
      <w:r>
        <w:t>Europejski Trybunał Praw Człowieka (Sekcja Trzecia), zasiadając jako Izba składająca się z następujących sędziów:</w:t>
      </w:r>
    </w:p>
    <w:p w:rsidR="00AB752B" w:rsidRPr="00235747" w:rsidRDefault="00AB752B" w:rsidP="00235747">
      <w:pPr>
        <w:pStyle w:val="ECHRDecisionBody"/>
      </w:pPr>
      <w:r>
        <w:tab/>
        <w:t>Vincent A. De Gaetano,</w:t>
      </w:r>
      <w:r>
        <w:rPr>
          <w:i/>
          <w:iCs/>
        </w:rPr>
        <w:t xml:space="preserve"> Przewodniczący,</w:t>
      </w:r>
      <w:r>
        <w:rPr>
          <w:i/>
          <w:iCs/>
        </w:rPr>
        <w:br/>
      </w:r>
      <w:r>
        <w:tab/>
        <w:t xml:space="preserve">Branko </w:t>
      </w:r>
      <w:proofErr w:type="spellStart"/>
      <w:r>
        <w:t>Lubarda</w:t>
      </w:r>
      <w:proofErr w:type="spellEnd"/>
      <w:r>
        <w:t>,</w:t>
      </w:r>
      <w:r>
        <w:rPr>
          <w:i/>
          <w:iCs/>
        </w:rPr>
        <w:br/>
      </w:r>
      <w:r>
        <w:tab/>
      </w:r>
      <w:proofErr w:type="spellStart"/>
      <w:r>
        <w:t>Dmitry</w:t>
      </w:r>
      <w:proofErr w:type="spellEnd"/>
      <w:r>
        <w:t xml:space="preserve"> </w:t>
      </w:r>
      <w:proofErr w:type="spellStart"/>
      <w:r>
        <w:t>Dedov</w:t>
      </w:r>
      <w:proofErr w:type="spellEnd"/>
      <w:r>
        <w:t>,</w:t>
      </w:r>
      <w:r>
        <w:rPr>
          <w:i/>
          <w:iCs/>
        </w:rPr>
        <w:br/>
      </w:r>
      <w:r>
        <w:tab/>
      </w:r>
      <w:proofErr w:type="spellStart"/>
      <w:r>
        <w:t>Pere</w:t>
      </w:r>
      <w:proofErr w:type="spellEnd"/>
      <w:r>
        <w:t xml:space="preserve"> Pastor </w:t>
      </w:r>
      <w:proofErr w:type="spellStart"/>
      <w:r>
        <w:t>Vilanova</w:t>
      </w:r>
      <w:proofErr w:type="spellEnd"/>
      <w:r>
        <w:t>,</w:t>
      </w:r>
      <w:r>
        <w:rPr>
          <w:i/>
          <w:iCs/>
        </w:rPr>
        <w:br/>
      </w:r>
      <w:r>
        <w:tab/>
        <w:t xml:space="preserve">Alena </w:t>
      </w:r>
      <w:proofErr w:type="spellStart"/>
      <w:r>
        <w:t>Poláčková</w:t>
      </w:r>
      <w:proofErr w:type="spellEnd"/>
      <w:r>
        <w:t>,</w:t>
      </w:r>
      <w:r>
        <w:rPr>
          <w:i/>
          <w:iCs/>
        </w:rPr>
        <w:br/>
      </w:r>
      <w:r>
        <w:tab/>
        <w:t xml:space="preserve">Georgios A. </w:t>
      </w:r>
      <w:proofErr w:type="spellStart"/>
      <w:r>
        <w:t>Serghides</w:t>
      </w:r>
      <w:proofErr w:type="spellEnd"/>
      <w:r>
        <w:t>,</w:t>
      </w:r>
      <w:r>
        <w:rPr>
          <w:i/>
          <w:iCs/>
        </w:rPr>
        <w:br/>
      </w:r>
      <w:r>
        <w:tab/>
      </w:r>
      <w:proofErr w:type="spellStart"/>
      <w:r>
        <w:t>Jolien</w:t>
      </w:r>
      <w:proofErr w:type="spellEnd"/>
      <w:r>
        <w:t xml:space="preserve"> </w:t>
      </w:r>
      <w:proofErr w:type="spellStart"/>
      <w:r>
        <w:t>Schukking</w:t>
      </w:r>
      <w:proofErr w:type="spellEnd"/>
      <w:r>
        <w:t>,</w:t>
      </w:r>
      <w:r>
        <w:rPr>
          <w:i/>
          <w:iCs/>
        </w:rPr>
        <w:t xml:space="preserve"> sędziowie,</w:t>
      </w:r>
      <w:r>
        <w:br/>
        <w:t xml:space="preserve">oraz de </w:t>
      </w:r>
      <w:proofErr w:type="spellStart"/>
      <w:r>
        <w:t>Fatoş</w:t>
      </w:r>
      <w:proofErr w:type="spellEnd"/>
      <w:r>
        <w:t xml:space="preserve"> </w:t>
      </w:r>
      <w:proofErr w:type="spellStart"/>
      <w:r>
        <w:t>Aracı</w:t>
      </w:r>
      <w:proofErr w:type="spellEnd"/>
      <w:r>
        <w:t>,</w:t>
      </w:r>
      <w:r>
        <w:rPr>
          <w:i/>
          <w:iCs/>
        </w:rPr>
        <w:t xml:space="preserve"> Zastępca Kanclerza Sekcji,</w:t>
      </w:r>
    </w:p>
    <w:p w:rsidR="00AB752B" w:rsidRPr="00235747" w:rsidRDefault="00AB752B" w:rsidP="00235747">
      <w:pPr>
        <w:pStyle w:val="ECHRPara"/>
      </w:pPr>
      <w:r>
        <w:t xml:space="preserve">obradując na posiedzeniu </w:t>
      </w:r>
      <w:r w:rsidR="003769DE">
        <w:t xml:space="preserve">niejawnym </w:t>
      </w:r>
      <w:r>
        <w:t>w dniu 25 września 2018 r.,</w:t>
      </w:r>
    </w:p>
    <w:p w:rsidR="00AB752B" w:rsidRPr="00235747" w:rsidRDefault="00AB752B" w:rsidP="00235747">
      <w:pPr>
        <w:pStyle w:val="ECHRPara"/>
      </w:pPr>
      <w:r>
        <w:t>wydaje następujący wyrok, który został przyjęty w tym dniu:</w:t>
      </w:r>
    </w:p>
    <w:p w:rsidR="00AB752B" w:rsidRPr="00EA528C" w:rsidRDefault="00AB752B" w:rsidP="00235747">
      <w:pPr>
        <w:pStyle w:val="ECHRTitle1"/>
      </w:pPr>
      <w:r w:rsidRPr="00EA528C">
        <w:t>POSTĘPOWANIE</w:t>
      </w:r>
    </w:p>
    <w:p w:rsidR="00AB752B" w:rsidRPr="00EA528C" w:rsidRDefault="00AB752B" w:rsidP="00E7355B">
      <w:pPr>
        <w:pStyle w:val="ECHRTitle1"/>
        <w:rPr>
          <w:i/>
          <w:iCs/>
          <w:sz w:val="24"/>
          <w:szCs w:val="24"/>
        </w:rPr>
      </w:pPr>
      <w:r w:rsidRPr="00EA528C">
        <w:rPr>
          <w:i/>
          <w:iCs/>
          <w:sz w:val="24"/>
          <w:szCs w:val="24"/>
        </w:rPr>
        <w:t>[Paragrafy 1-4 wyroku pominięto]</w:t>
      </w:r>
    </w:p>
    <w:p w:rsidR="00AB752B" w:rsidRPr="00EA528C" w:rsidRDefault="00AB752B" w:rsidP="00235747">
      <w:pPr>
        <w:pStyle w:val="ECHRTitle1"/>
      </w:pPr>
      <w:r w:rsidRPr="00EA528C">
        <w:t>FAKTY</w:t>
      </w:r>
    </w:p>
    <w:p w:rsidR="00AB752B" w:rsidRPr="00EA528C" w:rsidRDefault="00AB752B" w:rsidP="001A7286">
      <w:pPr>
        <w:pStyle w:val="ECHRPara"/>
        <w:ind w:firstLine="0"/>
        <w:rPr>
          <w:i/>
          <w:iCs/>
        </w:rPr>
      </w:pPr>
      <w:r w:rsidRPr="00EA528C">
        <w:rPr>
          <w:i/>
          <w:iCs/>
        </w:rPr>
        <w:t>[Paragrafy 5–62 wyroku pominięte i zastąpione tłumaczeniem poniższego streszczenia przygotowanego przez Kancelarię Europejskiego Trybunału Praw Człowieka</w:t>
      </w:r>
    </w:p>
    <w:p w:rsidR="00AB752B" w:rsidRPr="00EA528C" w:rsidRDefault="00AB752B" w:rsidP="001A7286">
      <w:pPr>
        <w:pStyle w:val="ECHRPara"/>
        <w:rPr>
          <w:i/>
          <w:iCs/>
          <w:u w:val="single"/>
        </w:rPr>
      </w:pPr>
    </w:p>
    <w:p w:rsidR="00AB752B" w:rsidRDefault="00AB752B" w:rsidP="00F4465D">
      <w:pPr>
        <w:pStyle w:val="ECHRPara"/>
        <w:ind w:firstLine="0"/>
        <w:rPr>
          <w:u w:val="single"/>
        </w:rPr>
      </w:pPr>
      <w:r w:rsidRPr="00EA528C">
        <w:rPr>
          <w:i/>
          <w:iCs/>
          <w:u w:val="single"/>
        </w:rPr>
        <w:t>Streszczenie stanu faktycznego</w:t>
      </w:r>
      <w:r w:rsidRPr="00EA528C">
        <w:rPr>
          <w:rStyle w:val="Odwoanieprzypisudolnego"/>
        </w:rPr>
        <w:footnoteReference w:id="1"/>
      </w:r>
      <w:r w:rsidRPr="00EA528C">
        <w:rPr>
          <w:u w:val="single"/>
        </w:rPr>
        <w:t>:</w:t>
      </w:r>
    </w:p>
    <w:p w:rsidR="00AB752B" w:rsidRPr="00A27039" w:rsidRDefault="00AB752B" w:rsidP="001A7286">
      <w:pPr>
        <w:autoSpaceDE w:val="0"/>
        <w:autoSpaceDN w:val="0"/>
        <w:adjustRightInd w:val="0"/>
        <w:jc w:val="left"/>
        <w:rPr>
          <w:rFonts w:eastAsia="Times New Roman"/>
          <w:lang w:eastAsia="pl-PL"/>
        </w:rPr>
      </w:pPr>
    </w:p>
    <w:p w:rsidR="00AB752B" w:rsidRPr="001A7286" w:rsidRDefault="00AB752B" w:rsidP="001A7286">
      <w:pPr>
        <w:autoSpaceDE w:val="0"/>
        <w:autoSpaceDN w:val="0"/>
        <w:adjustRightInd w:val="0"/>
        <w:jc w:val="left"/>
        <w:rPr>
          <w:rFonts w:eastAsia="Times New Roman"/>
        </w:rPr>
      </w:pPr>
      <w:r>
        <w:t>Skarżącymi jest sześcioro obywateli rosyjskich, którzy urodzili się między 1944 r. a 1984 r. i mieszkają w Rosji.</w:t>
      </w:r>
    </w:p>
    <w:p w:rsidR="00AB752B" w:rsidRPr="00A27039" w:rsidRDefault="00AB752B" w:rsidP="001A7286">
      <w:pPr>
        <w:autoSpaceDE w:val="0"/>
        <w:autoSpaceDN w:val="0"/>
        <w:adjustRightInd w:val="0"/>
        <w:jc w:val="left"/>
        <w:rPr>
          <w:rFonts w:eastAsia="Times New Roman"/>
          <w:b/>
          <w:bCs/>
          <w:lang w:eastAsia="pl-PL"/>
        </w:rPr>
      </w:pPr>
    </w:p>
    <w:p w:rsidR="00AB752B" w:rsidRPr="001A7286" w:rsidRDefault="00AB752B" w:rsidP="00F67BCE">
      <w:pPr>
        <w:autoSpaceDE w:val="0"/>
        <w:autoSpaceDN w:val="0"/>
        <w:adjustRightInd w:val="0"/>
        <w:rPr>
          <w:rFonts w:eastAsia="Times New Roman"/>
          <w:i/>
          <w:iCs/>
        </w:rPr>
      </w:pPr>
      <w:r>
        <w:rPr>
          <w:i/>
          <w:iCs/>
        </w:rPr>
        <w:t xml:space="preserve">Skargi wniesione przez Walentinę </w:t>
      </w:r>
      <w:proofErr w:type="spellStart"/>
      <w:r>
        <w:rPr>
          <w:i/>
          <w:iCs/>
        </w:rPr>
        <w:t>Kastornową</w:t>
      </w:r>
      <w:proofErr w:type="spellEnd"/>
      <w:r>
        <w:rPr>
          <w:i/>
          <w:iCs/>
        </w:rPr>
        <w:t xml:space="preserve"> (nr 1153/14) i </w:t>
      </w:r>
      <w:proofErr w:type="spellStart"/>
      <w:r>
        <w:rPr>
          <w:i/>
          <w:iCs/>
        </w:rPr>
        <w:t>Jewdokija</w:t>
      </w:r>
      <w:proofErr w:type="spellEnd"/>
      <w:r>
        <w:rPr>
          <w:i/>
          <w:iCs/>
        </w:rPr>
        <w:t xml:space="preserve"> Wdowina oraz Władimira Wdowina (nr 2680/14)</w:t>
      </w:r>
    </w:p>
    <w:p w:rsidR="00AB752B" w:rsidRPr="000F489C" w:rsidRDefault="00AB752B" w:rsidP="001A7286">
      <w:pPr>
        <w:autoSpaceDE w:val="0"/>
        <w:autoSpaceDN w:val="0"/>
        <w:adjustRightInd w:val="0"/>
      </w:pPr>
      <w:r>
        <w:t xml:space="preserve">W 1999 r. władze miasta Czechow (obwód moskiewski) przyznały M.K., krewnemu pani </w:t>
      </w:r>
      <w:proofErr w:type="spellStart"/>
      <w:r>
        <w:t>Kastornowej</w:t>
      </w:r>
      <w:proofErr w:type="spellEnd"/>
      <w:r>
        <w:t xml:space="preserve">, działkę na potrzeby wybudowania domu </w:t>
      </w:r>
      <w:r>
        <w:lastRenderedPageBreak/>
        <w:t xml:space="preserve">jednorodzinnego. W 2008 r. M.K. podarował działkę aktem notarialnym pani </w:t>
      </w:r>
      <w:proofErr w:type="spellStart"/>
      <w:r>
        <w:t>Kastornowej</w:t>
      </w:r>
      <w:proofErr w:type="spellEnd"/>
      <w:r>
        <w:t>, która potwierdziła swoje prawo własności wpisem do</w:t>
      </w:r>
      <w:r w:rsidR="002F280A">
        <w:t> </w:t>
      </w:r>
      <w:r>
        <w:t>jednolitego rejestru gruntów, dokonanym w tym samym roku. W</w:t>
      </w:r>
      <w:r w:rsidR="002F280A">
        <w:t> </w:t>
      </w:r>
      <w:r>
        <w:t xml:space="preserve">kolejnym roku wybudowała na działce dom </w:t>
      </w:r>
      <w:r w:rsidRPr="00753C81">
        <w:t>wolno</w:t>
      </w:r>
      <w:r w:rsidR="00753C81" w:rsidRPr="00753C81">
        <w:t xml:space="preserve"> </w:t>
      </w:r>
      <w:r w:rsidRPr="00753C81">
        <w:t>stojący</w:t>
      </w:r>
      <w:r>
        <w:t xml:space="preserve"> i</w:t>
      </w:r>
      <w:r w:rsidR="002F280A">
        <w:t> </w:t>
      </w:r>
      <w:r>
        <w:t>zarejestrowała swoje prawo do budynku. W 1994 r. władze miasta Czechow wydały pani Z. działkę w</w:t>
      </w:r>
      <w:r w:rsidR="009150B4">
        <w:t xml:space="preserve"> </w:t>
      </w:r>
      <w:r>
        <w:t xml:space="preserve">celu budowy domu jednorodzinnego. Pani Z. uzyskała pozwolenie na budowę i wybudowała dom, który następnie sprzedała pani Wdowinie. Pani Wdowina potwierdziła swoje prawo własności wpisem do jednolitego rejestru gruntów. W 2013 r. sąd nakazał rozbiórkę obu domów, uznając je za samowolę budowlaną powstałą w pobliżu gazociągu działającego od 1963 r. Państwo </w:t>
      </w:r>
      <w:proofErr w:type="spellStart"/>
      <w:r>
        <w:t>Wdowinowie</w:t>
      </w:r>
      <w:proofErr w:type="spellEnd"/>
      <w:r>
        <w:t xml:space="preserve"> wszczęli postępowanie sądowe, żądając alternatywnego miejsca</w:t>
      </w:r>
      <w:r w:rsidR="00753C81">
        <w:t xml:space="preserve"> zamieszkania</w:t>
      </w:r>
      <w:r>
        <w:t xml:space="preserve"> i wypłaty odszkodowania, jednak ich żądania zostały oddalone.</w:t>
      </w:r>
    </w:p>
    <w:p w:rsidR="00AB752B" w:rsidRPr="00A27039" w:rsidRDefault="00AB752B" w:rsidP="001A7286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sz w:val="22"/>
          <w:szCs w:val="22"/>
          <w:lang w:eastAsia="pl-PL"/>
        </w:rPr>
      </w:pPr>
    </w:p>
    <w:p w:rsidR="00AB752B" w:rsidRPr="001A7286" w:rsidRDefault="00AB752B" w:rsidP="001A7286">
      <w:pPr>
        <w:autoSpaceDE w:val="0"/>
        <w:autoSpaceDN w:val="0"/>
        <w:adjustRightInd w:val="0"/>
        <w:jc w:val="left"/>
        <w:rPr>
          <w:rFonts w:eastAsia="Times New Roman"/>
          <w:i/>
          <w:iCs/>
        </w:rPr>
      </w:pPr>
      <w:r>
        <w:rPr>
          <w:i/>
          <w:iCs/>
        </w:rPr>
        <w:t xml:space="preserve">Skarga wniesiona przez Wiktora </w:t>
      </w:r>
      <w:proofErr w:type="spellStart"/>
      <w:r>
        <w:rPr>
          <w:i/>
          <w:iCs/>
        </w:rPr>
        <w:t>Zidowa</w:t>
      </w:r>
      <w:proofErr w:type="spellEnd"/>
      <w:r>
        <w:rPr>
          <w:i/>
          <w:iCs/>
        </w:rPr>
        <w:t xml:space="preserve"> (nr 54490/10)</w:t>
      </w:r>
    </w:p>
    <w:p w:rsidR="00AB752B" w:rsidRDefault="00AB752B" w:rsidP="001A7286">
      <w:pPr>
        <w:autoSpaceDE w:val="0"/>
        <w:autoSpaceDN w:val="0"/>
        <w:adjustRightInd w:val="0"/>
        <w:rPr>
          <w:rFonts w:eastAsia="Times New Roman"/>
        </w:rPr>
      </w:pPr>
      <w:r>
        <w:t xml:space="preserve">W czerwcu 1990 r. władze lokalne </w:t>
      </w:r>
      <w:proofErr w:type="spellStart"/>
      <w:r>
        <w:t>Penzy</w:t>
      </w:r>
      <w:proofErr w:type="spellEnd"/>
      <w:r>
        <w:t xml:space="preserve"> przyznały panu Zidow</w:t>
      </w:r>
      <w:r w:rsidR="000F412E">
        <w:t>ow</w:t>
      </w:r>
      <w:r>
        <w:t xml:space="preserve">i działkę budowlaną. Pan </w:t>
      </w:r>
      <w:proofErr w:type="spellStart"/>
      <w:r>
        <w:t>Zidow</w:t>
      </w:r>
      <w:proofErr w:type="spellEnd"/>
      <w:r>
        <w:t xml:space="preserve"> rozpoczął budowę domu jednorodzinnego, nie</w:t>
      </w:r>
      <w:r w:rsidR="002F280A">
        <w:t> </w:t>
      </w:r>
      <w:r>
        <w:t>występując wcześniej o wydanie wymaganych zezwoleń. Później jednak okazało się, że działka, na której rozpoczęto już prace budowlane, nie jest działką przyznaną panu Zidow</w:t>
      </w:r>
      <w:r w:rsidR="00753C81">
        <w:t>ow</w:t>
      </w:r>
      <w:r>
        <w:t>i. Była to inna działka, zlokalizowana w</w:t>
      </w:r>
      <w:r w:rsidR="002F280A">
        <w:t> </w:t>
      </w:r>
      <w:r>
        <w:t xml:space="preserve">bezpośrednim sąsiedztwie gazociągu. Pan </w:t>
      </w:r>
      <w:proofErr w:type="spellStart"/>
      <w:r>
        <w:t>Zidow</w:t>
      </w:r>
      <w:proofErr w:type="spellEnd"/>
      <w:r>
        <w:t xml:space="preserve"> został poinformowany, że będzie musiał przenieść swój budynek na działkę, która została mu</w:t>
      </w:r>
      <w:r w:rsidR="002F280A">
        <w:t> </w:t>
      </w:r>
      <w:r>
        <w:t xml:space="preserve">przydzielona, oraz że jego dom znajduje się w strefie chronionej, zlokalizowanej wokół gazociągu. Skarżący kontynuował jednak prace budowlane i przeprowadził się do swojego domu w 1994 r. Dnia 17 czerwca 2017 r. pan </w:t>
      </w:r>
      <w:proofErr w:type="spellStart"/>
      <w:r>
        <w:t>Zidow</w:t>
      </w:r>
      <w:proofErr w:type="spellEnd"/>
      <w:r>
        <w:t xml:space="preserve"> wciąż mieszkał we wspomnianym domu, pomimo decyzji sądu nakazującej jego rozbiórkę i uchylającej tytuł własności.</w:t>
      </w:r>
    </w:p>
    <w:p w:rsidR="00AB752B" w:rsidRPr="00A27039" w:rsidRDefault="00AB752B" w:rsidP="001A7286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sz w:val="22"/>
          <w:szCs w:val="22"/>
          <w:lang w:eastAsia="pl-PL"/>
        </w:rPr>
      </w:pPr>
    </w:p>
    <w:p w:rsidR="00AB752B" w:rsidRPr="001A7286" w:rsidRDefault="00AB752B" w:rsidP="001A7286">
      <w:pPr>
        <w:autoSpaceDE w:val="0"/>
        <w:autoSpaceDN w:val="0"/>
        <w:adjustRightInd w:val="0"/>
        <w:rPr>
          <w:rFonts w:eastAsia="Times New Roman"/>
          <w:i/>
          <w:iCs/>
        </w:rPr>
      </w:pPr>
      <w:r>
        <w:rPr>
          <w:i/>
          <w:iCs/>
        </w:rPr>
        <w:t xml:space="preserve">Skarga wniesiona przez Ludmiłę </w:t>
      </w:r>
      <w:proofErr w:type="spellStart"/>
      <w:r>
        <w:rPr>
          <w:i/>
          <w:iCs/>
        </w:rPr>
        <w:t>Kosenko</w:t>
      </w:r>
      <w:proofErr w:type="spellEnd"/>
      <w:r>
        <w:rPr>
          <w:i/>
          <w:iCs/>
        </w:rPr>
        <w:t xml:space="preserve"> i Julię </w:t>
      </w:r>
      <w:proofErr w:type="spellStart"/>
      <w:r>
        <w:rPr>
          <w:i/>
          <w:iCs/>
        </w:rPr>
        <w:t>Tikonową</w:t>
      </w:r>
      <w:proofErr w:type="spellEnd"/>
      <w:r>
        <w:rPr>
          <w:i/>
          <w:iCs/>
        </w:rPr>
        <w:t xml:space="preserve"> (nr 31636/14)</w:t>
      </w:r>
    </w:p>
    <w:p w:rsidR="00AB752B" w:rsidRPr="001A7286" w:rsidRDefault="00AB752B" w:rsidP="001A7286">
      <w:pPr>
        <w:autoSpaceDE w:val="0"/>
        <w:autoSpaceDN w:val="0"/>
        <w:adjustRightInd w:val="0"/>
        <w:rPr>
          <w:rFonts w:eastAsia="Times New Roman"/>
        </w:rPr>
      </w:pPr>
      <w:r>
        <w:t xml:space="preserve">Od 1950 r. w mieście Czelabińsk działały dwa rurociągi naftowe. W 1993 r. władze miasta przyznały pewien obszar gruntu spółdzielni ogrodniczej. Odpowiednio w 2006 i 2010 r. pani </w:t>
      </w:r>
      <w:proofErr w:type="spellStart"/>
      <w:r>
        <w:t>Kosenko</w:t>
      </w:r>
      <w:proofErr w:type="spellEnd"/>
      <w:r>
        <w:t xml:space="preserve"> i pani </w:t>
      </w:r>
      <w:proofErr w:type="spellStart"/>
      <w:r>
        <w:t>Tikonowa</w:t>
      </w:r>
      <w:proofErr w:type="spellEnd"/>
      <w:r>
        <w:t xml:space="preserve"> kupiły od</w:t>
      </w:r>
      <w:r w:rsidR="002F280A">
        <w:t> </w:t>
      </w:r>
      <w:r>
        <w:t>członków spółdzielni dwie działki oraz dwa baraki z</w:t>
      </w:r>
      <w:r w:rsidR="009150B4">
        <w:t xml:space="preserve"> </w:t>
      </w:r>
      <w:r>
        <w:t>dodatkowymi pomieszczeniami. Skarżące potwierdziły swoje prawa wpisem do</w:t>
      </w:r>
      <w:r w:rsidR="002F280A">
        <w:t> </w:t>
      </w:r>
      <w:r>
        <w:t>jednolitego rejestru gruntów. Później jednak okazało się, że działki położone były poza granicami terenu przyznanego spółdzielni ogrodniczej. W 2013 r. sąd nakazał rozbiórkę baraków, dodatkowych pomieszczeń i</w:t>
      </w:r>
      <w:r w:rsidR="002F280A">
        <w:t> </w:t>
      </w:r>
      <w:r>
        <w:t>ogrodzenia na koszt skarżących, uznając je za samowolę budowlaną, która</w:t>
      </w:r>
      <w:r w:rsidR="002F280A">
        <w:t> </w:t>
      </w:r>
      <w:r>
        <w:t>nie zachowuje wymaganego minimalnego odstępu od gazociągów, oraz stwierdzając, że działki te nigdy nie zostały przyznane wspomnianej spółdzielni.]</w:t>
      </w:r>
    </w:p>
    <w:p w:rsidR="00AB752B" w:rsidRPr="001A7286" w:rsidRDefault="00AB752B" w:rsidP="00235747">
      <w:pPr>
        <w:pStyle w:val="ECHRTitle1"/>
        <w:rPr>
          <w:rFonts w:eastAsia="MS Gothic"/>
          <w:sz w:val="24"/>
          <w:szCs w:val="24"/>
        </w:rPr>
      </w:pPr>
      <w:r>
        <w:rPr>
          <w:sz w:val="24"/>
          <w:szCs w:val="24"/>
        </w:rPr>
        <w:lastRenderedPageBreak/>
        <w:t>PRAWO</w:t>
      </w:r>
    </w:p>
    <w:p w:rsidR="00AB752B" w:rsidRPr="00235747" w:rsidRDefault="00AB752B" w:rsidP="00235747">
      <w:pPr>
        <w:pStyle w:val="ECHRHeading1"/>
      </w:pPr>
      <w:r>
        <w:t>I.</w:t>
      </w:r>
      <w:r w:rsidR="009150B4">
        <w:t xml:space="preserve"> </w:t>
      </w:r>
      <w:r>
        <w:t>ZAGADNIENIA WSTĘPNE</w:t>
      </w:r>
    </w:p>
    <w:p w:rsidR="00AB752B" w:rsidRPr="00235747" w:rsidRDefault="00AB752B" w:rsidP="00235747">
      <w:pPr>
        <w:pStyle w:val="ECHRHeading2"/>
      </w:pPr>
      <w:r>
        <w:t>A. Połączenie skarg</w:t>
      </w:r>
    </w:p>
    <w:p w:rsidR="00AB752B" w:rsidRPr="00235747" w:rsidRDefault="00AB752B" w:rsidP="00235747">
      <w:pPr>
        <w:pStyle w:val="ECHRPara"/>
      </w:pPr>
      <w:r w:rsidRPr="00235747">
        <w:t>63</w:t>
      </w:r>
      <w:r>
        <w:t>. Ze względu na fakt, że niniejsze skargi są do siebie podobne pod względem faktycznym i prawnym, Trybunał pod</w:t>
      </w:r>
      <w:r w:rsidR="00360593">
        <w:t>ejmuje</w:t>
      </w:r>
      <w:r>
        <w:t xml:space="preserve"> decyzję o ich połączeniu, zgodnie z </w:t>
      </w:r>
      <w:r w:rsidR="00B22132">
        <w:t>Regułą</w:t>
      </w:r>
      <w:r>
        <w:t xml:space="preserve"> 42 § 1 swojego </w:t>
      </w:r>
      <w:r w:rsidR="00B22132">
        <w:t>Regulaminu</w:t>
      </w:r>
      <w:r>
        <w:t>.</w:t>
      </w:r>
    </w:p>
    <w:p w:rsidR="00AB752B" w:rsidRPr="00235747" w:rsidRDefault="00AB752B" w:rsidP="00235747">
      <w:pPr>
        <w:pStyle w:val="ECHRHeading2"/>
      </w:pPr>
      <w:r>
        <w:t>B. Skreślenie z listy skargi nr</w:t>
      </w:r>
      <w:r w:rsidR="009150B4">
        <w:t xml:space="preserve"> </w:t>
      </w:r>
      <w:r>
        <w:t xml:space="preserve">31636/14 w części dotyczącej pani </w:t>
      </w:r>
      <w:proofErr w:type="spellStart"/>
      <w:r>
        <w:t>Tikonowej</w:t>
      </w:r>
      <w:proofErr w:type="spellEnd"/>
    </w:p>
    <w:p w:rsidR="00AB752B" w:rsidRPr="00235747" w:rsidRDefault="00AB752B" w:rsidP="00235747">
      <w:pPr>
        <w:pStyle w:val="ECHRPara"/>
      </w:pPr>
      <w:r w:rsidRPr="00235747">
        <w:t>64</w:t>
      </w:r>
      <w:r>
        <w:t xml:space="preserve">. Trybunał stwierdza, że pani </w:t>
      </w:r>
      <w:proofErr w:type="spellStart"/>
      <w:r>
        <w:t>Tikonowa</w:t>
      </w:r>
      <w:proofErr w:type="spellEnd"/>
      <w:r>
        <w:t xml:space="preserve"> nie odebrała listu poleconego z</w:t>
      </w:r>
      <w:r w:rsidR="009150B4">
        <w:t xml:space="preserve"> </w:t>
      </w:r>
      <w:r w:rsidR="00360593">
        <w:t>Kancelarii</w:t>
      </w:r>
      <w:r>
        <w:t>, przypominającego jej, że upłynął przyznany jej termin na</w:t>
      </w:r>
      <w:r w:rsidR="002F280A">
        <w:t> </w:t>
      </w:r>
      <w:r>
        <w:t>przedstawienie uwag w odpowiedzi oraz że nie wystąpiła z wnioskiem o</w:t>
      </w:r>
      <w:r w:rsidR="002F280A">
        <w:t> </w:t>
      </w:r>
      <w:r>
        <w:t>przedłużenie tego terminu (</w:t>
      </w:r>
      <w:r w:rsidR="00B22132">
        <w:t>paragraf</w:t>
      </w:r>
      <w:r>
        <w:t xml:space="preserve"> </w:t>
      </w:r>
      <w:r w:rsidRPr="00EB3036">
        <w:rPr>
          <w:noProof/>
        </w:rPr>
        <w:t>48</w:t>
      </w:r>
      <w:r>
        <w:t xml:space="preserve"> powyżej).</w:t>
      </w:r>
    </w:p>
    <w:p w:rsidR="00AB752B" w:rsidRPr="00235747" w:rsidRDefault="00AB752B" w:rsidP="00235747">
      <w:pPr>
        <w:pStyle w:val="ECHRPara"/>
      </w:pPr>
      <w:r w:rsidRPr="00235747">
        <w:t>65</w:t>
      </w:r>
      <w:r>
        <w:t>. Trybunał wy</w:t>
      </w:r>
      <w:r w:rsidR="002F280A">
        <w:t xml:space="preserve">ciąga stąd wniosek, że pani </w:t>
      </w:r>
      <w:proofErr w:type="spellStart"/>
      <w:r w:rsidR="002F280A">
        <w:t>Tik</w:t>
      </w:r>
      <w:r>
        <w:t>onova</w:t>
      </w:r>
      <w:proofErr w:type="spellEnd"/>
      <w:r>
        <w:t xml:space="preserve"> nie podtrzymuje już swej skargi (art. 37 ust. 1 lit. a Konwencji</w:t>
      </w:r>
      <w:r w:rsidR="00881931">
        <w:t xml:space="preserve"> [o ochronie praw człowieka i</w:t>
      </w:r>
      <w:r w:rsidR="002F280A">
        <w:t> </w:t>
      </w:r>
      <w:r w:rsidR="00881931">
        <w:t>podstawowych wolności]</w:t>
      </w:r>
      <w:r>
        <w:t xml:space="preserve">). Wobec braku szczególnych okoliczności dotyczących poszanowania praw, jakie gwarantuje Konwencja lub jej Protokoły, Trybunał stwierdza, że dalsze </w:t>
      </w:r>
      <w:r w:rsidR="00360593">
        <w:t xml:space="preserve">rozpatrywanie </w:t>
      </w:r>
      <w:r>
        <w:t>tej części skargi nie</w:t>
      </w:r>
      <w:r w:rsidR="002F280A">
        <w:t> </w:t>
      </w:r>
      <w:r w:rsidR="00360593">
        <w:t xml:space="preserve">jest </w:t>
      </w:r>
      <w:r>
        <w:t>już uzasadni</w:t>
      </w:r>
      <w:r w:rsidR="00360593">
        <w:t>one</w:t>
      </w:r>
      <w:r>
        <w:t xml:space="preserve"> w rozumieniu art. 37 ust. 1 </w:t>
      </w:r>
      <w:proofErr w:type="spellStart"/>
      <w:r>
        <w:rPr>
          <w:i/>
          <w:iCs/>
        </w:rPr>
        <w:t>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fine</w:t>
      </w:r>
      <w:proofErr w:type="spellEnd"/>
      <w:r>
        <w:t xml:space="preserve"> Konwencji. Należy zatem skreślić ją z listy.</w:t>
      </w:r>
    </w:p>
    <w:p w:rsidR="00AB752B" w:rsidRPr="00235747" w:rsidRDefault="00AB752B" w:rsidP="00235747">
      <w:pPr>
        <w:pStyle w:val="ECHRHeading1"/>
      </w:pPr>
      <w:r>
        <w:t xml:space="preserve">II. </w:t>
      </w:r>
      <w:r w:rsidR="00750695">
        <w:t>ZARZUC</w:t>
      </w:r>
      <w:r>
        <w:t xml:space="preserve">ANE NARUSZENIE ART. 1 PROTOKOŁU NR 1 </w:t>
      </w:r>
      <w:r w:rsidR="006669FA">
        <w:t>DO</w:t>
      </w:r>
      <w:r w:rsidR="00284368">
        <w:t> </w:t>
      </w:r>
      <w:r>
        <w:t>KONWENCJI</w:t>
      </w:r>
    </w:p>
    <w:p w:rsidR="00AB752B" w:rsidRPr="00235747" w:rsidRDefault="00AB752B" w:rsidP="00235747">
      <w:pPr>
        <w:pStyle w:val="ECHRPara"/>
      </w:pPr>
      <w:r w:rsidRPr="00235747">
        <w:t>66</w:t>
      </w:r>
      <w:r>
        <w:t xml:space="preserve">. Skarżący przedstawiają się jako ofiary pozbawienia własności. Twierdzą, że uznanie przez sąd ich </w:t>
      </w:r>
      <w:r w:rsidR="00360593">
        <w:t>budynków</w:t>
      </w:r>
      <w:r>
        <w:t xml:space="preserve"> za samowolę budowlaną i</w:t>
      </w:r>
      <w:r w:rsidR="002F280A">
        <w:t> </w:t>
      </w:r>
      <w:r>
        <w:t xml:space="preserve">nakazanie ich rozbiórki stanowi naruszenie art. 1 Protokołu nr 1 </w:t>
      </w:r>
      <w:r w:rsidR="006669FA">
        <w:t>do</w:t>
      </w:r>
      <w:r w:rsidR="002F280A">
        <w:t> </w:t>
      </w:r>
      <w:r>
        <w:t>Konwencji, w brzmieniu następującym:</w:t>
      </w:r>
    </w:p>
    <w:p w:rsidR="00AB752B" w:rsidRPr="00235747" w:rsidRDefault="00AB752B" w:rsidP="00235747">
      <w:pPr>
        <w:pStyle w:val="ECHRParaQuote"/>
      </w:pPr>
      <w:r>
        <w:t>„Każda osoba fizyczna i prawna ma prawo do poszanowania swego mienia. Nikt nie może być pozbawiony swojej własności, chyba że w interesie publicznym i na warunkach przewidzianych przez ustawę oraz zgodnie z ogólnymi zasadami prawa międzynarodowego.</w:t>
      </w:r>
    </w:p>
    <w:p w:rsidR="00AB752B" w:rsidRPr="00235747" w:rsidRDefault="00AB752B" w:rsidP="00235747">
      <w:pPr>
        <w:pStyle w:val="ECHRParaQuote"/>
      </w:pPr>
      <w:r>
        <w:t>Powyższe postanowienia nie będą jednak w żaden sposób naruszać prawa państwa do stosowania takich ustaw, jakie uzna za konieczne do uregulowania sposobu korzystania z własności zgodnie z interesem powszechnym lub w celu zabezpieczenia uiszczania podatków bądź innych należności lub kar pieniężnych”.</w:t>
      </w:r>
    </w:p>
    <w:p w:rsidR="00AB752B" w:rsidRPr="00235747" w:rsidRDefault="00AB752B" w:rsidP="00235747">
      <w:pPr>
        <w:pStyle w:val="ECHRHeading2"/>
      </w:pPr>
      <w:r>
        <w:lastRenderedPageBreak/>
        <w:t>A. Dopuszczalność skargi</w:t>
      </w:r>
    </w:p>
    <w:p w:rsidR="00AB752B" w:rsidRPr="00235747" w:rsidRDefault="00AB752B" w:rsidP="00235747">
      <w:pPr>
        <w:pStyle w:val="ECHRHeading3"/>
      </w:pPr>
      <w:r>
        <w:t xml:space="preserve">1. Zastosowanie ratione </w:t>
      </w:r>
      <w:proofErr w:type="spellStart"/>
      <w:r>
        <w:t>personae</w:t>
      </w:r>
      <w:proofErr w:type="spellEnd"/>
      <w:r>
        <w:t xml:space="preserve"> art. 1 Protokołu nr</w:t>
      </w:r>
      <w:r w:rsidR="009150B4">
        <w:t xml:space="preserve"> </w:t>
      </w:r>
      <w:r>
        <w:t xml:space="preserve">1 </w:t>
      </w:r>
      <w:r w:rsidR="006669FA">
        <w:t xml:space="preserve">do </w:t>
      </w:r>
      <w:r>
        <w:t>Konwencji</w:t>
      </w:r>
    </w:p>
    <w:p w:rsidR="00AB752B" w:rsidRPr="00235747" w:rsidRDefault="00AB752B" w:rsidP="00235747">
      <w:pPr>
        <w:pStyle w:val="ECHRHeading4"/>
      </w:pPr>
      <w:r>
        <w:t>a) Argumenty stron</w:t>
      </w:r>
    </w:p>
    <w:p w:rsidR="00AB752B" w:rsidRPr="00235747" w:rsidRDefault="00AB752B" w:rsidP="00235747">
      <w:pPr>
        <w:pStyle w:val="ECHRPara"/>
      </w:pPr>
      <w:r w:rsidRPr="00EB3036">
        <w:rPr>
          <w:noProof/>
        </w:rPr>
        <w:t>67</w:t>
      </w:r>
      <w:r w:rsidRPr="00EB3036">
        <w:t>.</w:t>
      </w:r>
      <w:r w:rsidR="009150B4">
        <w:t xml:space="preserve"> </w:t>
      </w:r>
      <w:r>
        <w:t>W odniesieniu do skargi nr</w:t>
      </w:r>
      <w:r w:rsidR="009150B4">
        <w:t xml:space="preserve"> </w:t>
      </w:r>
      <w:r>
        <w:t xml:space="preserve">54490/10, złożonej przez pana </w:t>
      </w:r>
      <w:proofErr w:type="spellStart"/>
      <w:r>
        <w:t>Zidowa</w:t>
      </w:r>
      <w:proofErr w:type="spellEnd"/>
      <w:r>
        <w:t xml:space="preserve">, Rząd uważa, że art. 1 Protokołu nr 1 nie ma zastosowania </w:t>
      </w:r>
      <w:r>
        <w:rPr>
          <w:i/>
          <w:iCs/>
        </w:rPr>
        <w:t xml:space="preserve">ratione </w:t>
      </w:r>
      <w:proofErr w:type="spellStart"/>
      <w:r>
        <w:rPr>
          <w:i/>
          <w:iCs/>
        </w:rPr>
        <w:t>personae</w:t>
      </w:r>
      <w:proofErr w:type="spellEnd"/>
      <w:r>
        <w:t>, ponieważ chodziłoby o spór pomiędzy osobami prywatnymi: skarżącym a</w:t>
      </w:r>
      <w:r w:rsidR="002F280A">
        <w:t> </w:t>
      </w:r>
      <w:r>
        <w:t xml:space="preserve">spółką handlową z ograniczoną odpowiedzialnością, Gazprom </w:t>
      </w:r>
      <w:proofErr w:type="spellStart"/>
      <w:r>
        <w:t>Transgaz</w:t>
      </w:r>
      <w:proofErr w:type="spellEnd"/>
      <w:r>
        <w:t xml:space="preserve"> </w:t>
      </w:r>
      <w:proofErr w:type="spellStart"/>
      <w:r>
        <w:t>Nijni</w:t>
      </w:r>
      <w:proofErr w:type="spellEnd"/>
      <w:r>
        <w:t xml:space="preserve"> </w:t>
      </w:r>
      <w:proofErr w:type="spellStart"/>
      <w:r>
        <w:t>Novgorod</w:t>
      </w:r>
      <w:proofErr w:type="spellEnd"/>
      <w:r>
        <w:t>. Na poparcie swoich twierdzeń Rząd przedstawia wyciąg z</w:t>
      </w:r>
      <w:r w:rsidR="002F280A">
        <w:t> </w:t>
      </w:r>
      <w:r>
        <w:t xml:space="preserve">jednolitego rejestru spółek, który stanowi, że jedynym udziałowcem Gazprom </w:t>
      </w:r>
      <w:proofErr w:type="spellStart"/>
      <w:r>
        <w:t>Transgaz</w:t>
      </w:r>
      <w:proofErr w:type="spellEnd"/>
      <w:r>
        <w:t xml:space="preserve"> </w:t>
      </w:r>
      <w:proofErr w:type="spellStart"/>
      <w:r>
        <w:t>Nijni</w:t>
      </w:r>
      <w:proofErr w:type="spellEnd"/>
      <w:r>
        <w:t xml:space="preserve"> </w:t>
      </w:r>
      <w:proofErr w:type="spellStart"/>
      <w:r>
        <w:t>Novgorod</w:t>
      </w:r>
      <w:proofErr w:type="spellEnd"/>
      <w:r>
        <w:t xml:space="preserve"> jest spółka akcyjna Gazprom, a</w:t>
      </w:r>
      <w:r w:rsidR="002F280A">
        <w:t> </w:t>
      </w:r>
      <w:r>
        <w:t>nie</w:t>
      </w:r>
      <w:r w:rsidR="002F280A">
        <w:t> </w:t>
      </w:r>
      <w:r>
        <w:t xml:space="preserve">państwo, oraz że strategiczny cel spółki Gazprom </w:t>
      </w:r>
      <w:proofErr w:type="spellStart"/>
      <w:r>
        <w:t>Transgaz</w:t>
      </w:r>
      <w:proofErr w:type="spellEnd"/>
      <w:r>
        <w:t xml:space="preserve"> </w:t>
      </w:r>
      <w:proofErr w:type="spellStart"/>
      <w:r>
        <w:t>Nijni</w:t>
      </w:r>
      <w:proofErr w:type="spellEnd"/>
      <w:r>
        <w:t xml:space="preserve"> </w:t>
      </w:r>
      <w:proofErr w:type="spellStart"/>
      <w:r>
        <w:t>Novgorod</w:t>
      </w:r>
      <w:proofErr w:type="spellEnd"/>
      <w:r>
        <w:t xml:space="preserve"> nie ogranicza się do użytkowania gazociągu i dostarczania gazu, ale daje jej także prawo prowadzenia innych działań handlowych niezwiązanych z</w:t>
      </w:r>
      <w:r w:rsidR="009150B4">
        <w:t xml:space="preserve"> </w:t>
      </w:r>
      <w:r>
        <w:t>zadaniami publicznymi.</w:t>
      </w:r>
    </w:p>
    <w:p w:rsidR="00AB752B" w:rsidRPr="00235747" w:rsidRDefault="00AB752B" w:rsidP="00235747">
      <w:pPr>
        <w:pStyle w:val="ECHRPara"/>
      </w:pPr>
      <w:r w:rsidRPr="00EB3036">
        <w:rPr>
          <w:noProof/>
        </w:rPr>
        <w:t>68</w:t>
      </w:r>
      <w:r w:rsidRPr="00EB3036">
        <w:t>.</w:t>
      </w:r>
      <w:r w:rsidR="009150B4">
        <w:t xml:space="preserve"> </w:t>
      </w:r>
      <w:r>
        <w:t>Skarżący sprzeciwia się tej tezie. Argumentuje, że art. 1 Protokołu nr</w:t>
      </w:r>
      <w:r w:rsidR="002F280A">
        <w:t> </w:t>
      </w:r>
      <w:r>
        <w:t xml:space="preserve">1 </w:t>
      </w:r>
      <w:r w:rsidR="006669FA">
        <w:t xml:space="preserve">do </w:t>
      </w:r>
      <w:r>
        <w:t>Konwencji ma zastosowanie w omawian</w:t>
      </w:r>
      <w:r w:rsidR="00A21E17">
        <w:t>ej sprawie</w:t>
      </w:r>
      <w:r>
        <w:t>, ponieważ, jak</w:t>
      </w:r>
      <w:r w:rsidR="002F280A">
        <w:t> </w:t>
      </w:r>
      <w:r>
        <w:t xml:space="preserve">twierdzi, działkę otrzymał od władz i to władze wskazały mu błędnie jej lokalizację. Według niego winę za fakt, że zabudował inną działkę niż ta, która mu została przyznana, ponoszą władze. Skarżący wskazuje ponadto, że w omawianej sprawie element publiczny jest decydujący, ponieważ nakaz rozbiórki miał zostać wydany w celu ochrony życia i zdrowia ludzi. Skarżący wskazuje również, że państwo rosyjskie posiada ponad 50% akcji w spółce Gazprom i w związku z tym jej spółka zależna, Gazprom </w:t>
      </w:r>
      <w:proofErr w:type="spellStart"/>
      <w:r>
        <w:t>Transgaz</w:t>
      </w:r>
      <w:proofErr w:type="spellEnd"/>
      <w:r>
        <w:t xml:space="preserve"> </w:t>
      </w:r>
      <w:proofErr w:type="spellStart"/>
      <w:r>
        <w:t>Nijni</w:t>
      </w:r>
      <w:proofErr w:type="spellEnd"/>
      <w:r>
        <w:t xml:space="preserve"> </w:t>
      </w:r>
      <w:proofErr w:type="spellStart"/>
      <w:r>
        <w:t>Novgorod</w:t>
      </w:r>
      <w:proofErr w:type="spellEnd"/>
      <w:r>
        <w:t>, nie jest tak naprawdę spółką prywatną.</w:t>
      </w:r>
    </w:p>
    <w:p w:rsidR="00AB752B" w:rsidRPr="00235747" w:rsidRDefault="00AB752B" w:rsidP="00235747">
      <w:pPr>
        <w:pStyle w:val="ECHRPara"/>
      </w:pPr>
      <w:r w:rsidRPr="00235747">
        <w:t>69</w:t>
      </w:r>
      <w:r>
        <w:t>.</w:t>
      </w:r>
      <w:r w:rsidR="009150B4">
        <w:t xml:space="preserve"> </w:t>
      </w:r>
      <w:r>
        <w:t>Odnośnie do trzech pozostałych skarg Rząd nie podnosi takiego za</w:t>
      </w:r>
      <w:r w:rsidR="008A5D2A">
        <w:t>strzeżenia</w:t>
      </w:r>
      <w:r>
        <w:t xml:space="preserve">, ale przyznaje, że nastąpiła ingerencja państwa w prawo skarżących do poszanowania ich </w:t>
      </w:r>
      <w:r w:rsidR="00360593" w:rsidRPr="00360593">
        <w:t>mienia</w:t>
      </w:r>
      <w:r w:rsidRPr="00360593">
        <w:t>.</w:t>
      </w:r>
      <w:r>
        <w:t xml:space="preserve"> W szczególności, w uwagach dotyczących skarg nr</w:t>
      </w:r>
      <w:r w:rsidR="009150B4">
        <w:t xml:space="preserve"> </w:t>
      </w:r>
      <w:r>
        <w:t xml:space="preserve">1153/14 i 2680/14, złożonych odpowiednio przez panią </w:t>
      </w:r>
      <w:proofErr w:type="spellStart"/>
      <w:r>
        <w:t>Kastornową</w:t>
      </w:r>
      <w:proofErr w:type="spellEnd"/>
      <w:r>
        <w:t xml:space="preserve"> i państwa Wdowinów, podkreśla społeczne znaczenie zaopatrzenia w gaz dużej liczby osób fizycznych i prawnych oraz przypomina wywód sądów krajowych, zgodnie z którym przemieszczenie gazociągu wpłynęłoby na interes mieszkańców (</w:t>
      </w:r>
      <w:r w:rsidR="00B22132">
        <w:t>paragraf</w:t>
      </w:r>
      <w:r>
        <w:t xml:space="preserve"> </w:t>
      </w:r>
      <w:r w:rsidRPr="00EB3036">
        <w:rPr>
          <w:rFonts w:eastAsia="MS Gothic"/>
          <w:noProof/>
        </w:rPr>
        <w:t>33</w:t>
      </w:r>
      <w:r>
        <w:t xml:space="preserve"> powyżej).</w:t>
      </w:r>
    </w:p>
    <w:p w:rsidR="00AB752B" w:rsidRPr="00235747" w:rsidRDefault="00AB752B" w:rsidP="00235747">
      <w:pPr>
        <w:pStyle w:val="ECHRHeading4"/>
      </w:pPr>
      <w:r>
        <w:t>b)</w:t>
      </w:r>
      <w:r w:rsidR="009150B4">
        <w:t xml:space="preserve"> </w:t>
      </w:r>
      <w:r>
        <w:t>Ocena przez Trybunał</w:t>
      </w:r>
    </w:p>
    <w:p w:rsidR="00AB752B" w:rsidRPr="00235747" w:rsidRDefault="00AB752B" w:rsidP="00235747">
      <w:pPr>
        <w:pStyle w:val="ECHRPara"/>
      </w:pPr>
      <w:r w:rsidRPr="00235747">
        <w:t>70</w:t>
      </w:r>
      <w:r>
        <w:t>.</w:t>
      </w:r>
      <w:r w:rsidR="009150B4">
        <w:t xml:space="preserve"> </w:t>
      </w:r>
      <w:r>
        <w:t>Przypominając, że za</w:t>
      </w:r>
      <w:r w:rsidR="00F4349D">
        <w:t xml:space="preserve">strzeżenie w sprawie </w:t>
      </w:r>
      <w:r>
        <w:rPr>
          <w:i/>
          <w:iCs/>
        </w:rPr>
        <w:t xml:space="preserve">ratione </w:t>
      </w:r>
      <w:proofErr w:type="spellStart"/>
      <w:r>
        <w:rPr>
          <w:i/>
          <w:iCs/>
        </w:rPr>
        <w:t>personae</w:t>
      </w:r>
      <w:proofErr w:type="spellEnd"/>
      <w:r>
        <w:t xml:space="preserve"> dotyczy jego kompetencji, Trybunał przeanalizuje tę kwestię</w:t>
      </w:r>
      <w:r w:rsidR="00A31C03">
        <w:t xml:space="preserve"> w odniesieniu do</w:t>
      </w:r>
      <w:r w:rsidR="002F280A">
        <w:t> </w:t>
      </w:r>
      <w:r>
        <w:t>wszystkich czterech skarg.</w:t>
      </w:r>
    </w:p>
    <w:p w:rsidR="00AB752B" w:rsidRPr="00235747" w:rsidRDefault="00AB752B" w:rsidP="00235747">
      <w:pPr>
        <w:pStyle w:val="ECHRPara"/>
        <w:rPr>
          <w:i/>
          <w:iCs/>
        </w:rPr>
      </w:pPr>
      <w:r w:rsidRPr="00235747">
        <w:t>71</w:t>
      </w:r>
      <w:r>
        <w:t>.</w:t>
      </w:r>
      <w:r w:rsidR="009150B4">
        <w:t xml:space="preserve"> </w:t>
      </w:r>
      <w:r>
        <w:t>Trybunał przypomina, że co do zasady nie jest powołany do</w:t>
      </w:r>
      <w:r w:rsidR="002F280A">
        <w:t> </w:t>
      </w:r>
      <w:r>
        <w:t>rozstrzygania sporów o charakterze czysto prywatnym i że fakt, iż</w:t>
      </w:r>
      <w:r w:rsidR="002F280A">
        <w:t> </w:t>
      </w:r>
      <w:r>
        <w:t xml:space="preserve">państwo za pośrednictwem swojego systemu sądowego dostarcza ramy prawne niezbędne do oceny praw i obowiązków skarżącego, nie powoduje, że automatycznie staje się ono odpowiedzialne w świetle art. 1 Protokołu </w:t>
      </w:r>
      <w:r>
        <w:lastRenderedPageBreak/>
        <w:t>nr</w:t>
      </w:r>
      <w:r w:rsidR="002F280A">
        <w:t> </w:t>
      </w:r>
      <w:r>
        <w:t xml:space="preserve">1 </w:t>
      </w:r>
      <w:r w:rsidR="006669FA">
        <w:t xml:space="preserve">do </w:t>
      </w:r>
      <w:r>
        <w:t xml:space="preserve">Konwencji (patrz między innymi </w:t>
      </w:r>
      <w:proofErr w:type="spellStart"/>
      <w:r>
        <w:rPr>
          <w:i/>
          <w:iCs/>
        </w:rPr>
        <w:t>Vulakh</w:t>
      </w:r>
      <w:proofErr w:type="spellEnd"/>
      <w:r>
        <w:rPr>
          <w:i/>
          <w:iCs/>
        </w:rPr>
        <w:t xml:space="preserve"> i Inni przeciwko Rosji</w:t>
      </w:r>
      <w:r>
        <w:t>, nr</w:t>
      </w:r>
      <w:r w:rsidR="002F280A">
        <w:t> </w:t>
      </w:r>
      <w:r>
        <w:t xml:space="preserve">33468/03, § 44, 10 stycznia 2012 r., </w:t>
      </w:r>
      <w:proofErr w:type="spellStart"/>
      <w:r>
        <w:rPr>
          <w:i/>
          <w:iCs/>
        </w:rPr>
        <w:t>Anheuser</w:t>
      </w:r>
      <w:proofErr w:type="spellEnd"/>
      <w:r w:rsidR="009150B4">
        <w:rPr>
          <w:i/>
          <w:iCs/>
        </w:rPr>
        <w:t xml:space="preserve"> </w:t>
      </w:r>
      <w:proofErr w:type="spellStart"/>
      <w:r>
        <w:rPr>
          <w:i/>
          <w:iCs/>
        </w:rPr>
        <w:t>Busch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Inc</w:t>
      </w:r>
      <w:proofErr w:type="spellEnd"/>
      <w:r>
        <w:rPr>
          <w:i/>
          <w:iCs/>
        </w:rPr>
        <w:t>.</w:t>
      </w:r>
      <w:r>
        <w:t xml:space="preserve"> </w:t>
      </w:r>
      <w:r>
        <w:rPr>
          <w:i/>
          <w:iCs/>
        </w:rPr>
        <w:t>przeciwko</w:t>
      </w:r>
      <w:r>
        <w:t xml:space="preserve"> </w:t>
      </w:r>
      <w:r>
        <w:rPr>
          <w:i/>
          <w:iCs/>
        </w:rPr>
        <w:t>Portugalii</w:t>
      </w:r>
      <w:r>
        <w:t xml:space="preserve"> [WI], skarga nr 73049/01, §§ 83-87, </w:t>
      </w:r>
      <w:r w:rsidR="003769DE">
        <w:t>ETPC</w:t>
      </w:r>
      <w:r w:rsidR="009150B4">
        <w:t xml:space="preserve"> </w:t>
      </w:r>
      <w:r>
        <w:t>2007</w:t>
      </w:r>
      <w:r>
        <w:noBreakHyphen/>
        <w:t xml:space="preserve">I, i </w:t>
      </w:r>
      <w:proofErr w:type="spellStart"/>
      <w:r>
        <w:rPr>
          <w:i/>
          <w:iCs/>
        </w:rPr>
        <w:t>Kotov</w:t>
      </w:r>
      <w:proofErr w:type="spellEnd"/>
      <w:r>
        <w:rPr>
          <w:i/>
          <w:iCs/>
        </w:rPr>
        <w:t xml:space="preserve"> przeciwko Rosji</w:t>
      </w:r>
      <w:r>
        <w:t xml:space="preserve"> [WI], skarga nr 54522/00, § 92, 3 kwietnia 2012 r.). Niemniej jednak Trybunał miał już okazję uznać w</w:t>
      </w:r>
      <w:r w:rsidR="009150B4">
        <w:t xml:space="preserve"> </w:t>
      </w:r>
      <w:r>
        <w:t>sposób dorozumiany, że</w:t>
      </w:r>
      <w:r w:rsidR="002F280A">
        <w:t> </w:t>
      </w:r>
      <w:r>
        <w:t>art.</w:t>
      </w:r>
      <w:r w:rsidR="009150B4">
        <w:t xml:space="preserve"> </w:t>
      </w:r>
      <w:r>
        <w:t xml:space="preserve">1 Protokołu nr 1 </w:t>
      </w:r>
      <w:r w:rsidR="006669FA">
        <w:t xml:space="preserve">do </w:t>
      </w:r>
      <w:r>
        <w:t>Konwencji ma zastosowanie do sporu cywilnego dotyczącego samowoli budowlanej, wszczętego przez spółkę kolejową (</w:t>
      </w:r>
      <w:proofErr w:type="spellStart"/>
      <w:r>
        <w:rPr>
          <w:i/>
          <w:iCs/>
        </w:rPr>
        <w:t>Mkhchyan</w:t>
      </w:r>
      <w:proofErr w:type="spellEnd"/>
      <w:r>
        <w:rPr>
          <w:i/>
          <w:iCs/>
        </w:rPr>
        <w:t xml:space="preserve"> przeciwko Rosji</w:t>
      </w:r>
      <w:r>
        <w:t>, skarga nr</w:t>
      </w:r>
      <w:r w:rsidR="009150B4">
        <w:t xml:space="preserve"> </w:t>
      </w:r>
      <w:r>
        <w:t>54700/12, §§</w:t>
      </w:r>
      <w:r w:rsidR="009150B4">
        <w:t xml:space="preserve"> </w:t>
      </w:r>
      <w:r>
        <w:t>69-70, 7</w:t>
      </w:r>
      <w:r w:rsidR="009150B4">
        <w:t xml:space="preserve"> </w:t>
      </w:r>
      <w:r>
        <w:t>lutego 2017 r.) lub zainicjowanego w interesie osób trzecich (</w:t>
      </w:r>
      <w:proofErr w:type="spellStart"/>
      <w:r>
        <w:rPr>
          <w:i/>
          <w:iCs/>
        </w:rPr>
        <w:t>Allard</w:t>
      </w:r>
      <w:proofErr w:type="spellEnd"/>
      <w:r>
        <w:rPr>
          <w:i/>
          <w:iCs/>
        </w:rPr>
        <w:t xml:space="preserve"> przeciwko</w:t>
      </w:r>
      <w:r w:rsidR="009150B4">
        <w:rPr>
          <w:i/>
          <w:iCs/>
        </w:rPr>
        <w:t xml:space="preserve"> </w:t>
      </w:r>
      <w:r>
        <w:rPr>
          <w:i/>
          <w:iCs/>
        </w:rPr>
        <w:t>Szwecji</w:t>
      </w:r>
      <w:r>
        <w:t>, skarga nr</w:t>
      </w:r>
      <w:r w:rsidR="009150B4">
        <w:t xml:space="preserve"> </w:t>
      </w:r>
      <w:r>
        <w:t>35179/97, §§</w:t>
      </w:r>
      <w:r w:rsidR="009150B4">
        <w:t xml:space="preserve"> </w:t>
      </w:r>
      <w:r>
        <w:t xml:space="preserve">50 i 52, </w:t>
      </w:r>
      <w:r w:rsidR="003769DE">
        <w:t>ETPC</w:t>
      </w:r>
      <w:r>
        <w:t xml:space="preserve"> 2003</w:t>
      </w:r>
      <w:r>
        <w:noBreakHyphen/>
        <w:t>VII).</w:t>
      </w:r>
    </w:p>
    <w:p w:rsidR="00AB752B" w:rsidRPr="00235747" w:rsidRDefault="00AB752B" w:rsidP="00235747">
      <w:pPr>
        <w:pStyle w:val="ECHRPara"/>
      </w:pPr>
      <w:r w:rsidRPr="00235747">
        <w:t>72</w:t>
      </w:r>
      <w:r>
        <w:t>.</w:t>
      </w:r>
      <w:r w:rsidR="009150B4">
        <w:t xml:space="preserve"> </w:t>
      </w:r>
      <w:r>
        <w:t>Trybunał uważa, że w omawian</w:t>
      </w:r>
      <w:r w:rsidR="00016C17">
        <w:t>ej sprawie</w:t>
      </w:r>
      <w:r>
        <w:t xml:space="preserve"> możliwość stosowania wspomnianego przepisu jest nieodłącznie związana z </w:t>
      </w:r>
      <w:r w:rsidR="00F4349D">
        <w:t>istnieniem</w:t>
      </w:r>
      <w:r>
        <w:t xml:space="preserve"> ingerencji w</w:t>
      </w:r>
      <w:r w:rsidR="009150B4">
        <w:t xml:space="preserve"> </w:t>
      </w:r>
      <w:r>
        <w:t xml:space="preserve">prawo skarżących do poszanowania ich </w:t>
      </w:r>
      <w:r w:rsidR="00016C17">
        <w:t>mienia</w:t>
      </w:r>
      <w:r>
        <w:t xml:space="preserve"> oraz z istnieniem celu użyteczności publicznej realizowanego poprzez nakazy rozbiórki, czyli z</w:t>
      </w:r>
      <w:r w:rsidR="002F280A">
        <w:t> </w:t>
      </w:r>
      <w:r w:rsidR="00516099">
        <w:t>przedmiotem</w:t>
      </w:r>
      <w:r>
        <w:t xml:space="preserve"> skargi. Tym samym </w:t>
      </w:r>
      <w:r w:rsidR="00F4349D" w:rsidRPr="00F4349D">
        <w:t>Trybunał</w:t>
      </w:r>
      <w:r w:rsidRPr="00F4349D">
        <w:t xml:space="preserve"> postanawia </w:t>
      </w:r>
      <w:r w:rsidR="00F4349D" w:rsidRPr="00F4349D">
        <w:t>dołączyć powyższe</w:t>
      </w:r>
      <w:r w:rsidRPr="00F4349D">
        <w:t xml:space="preserve"> </w:t>
      </w:r>
      <w:r w:rsidR="00F4349D" w:rsidRPr="00F4349D">
        <w:t>zastrzeżenie do przedmiotu skargi</w:t>
      </w:r>
      <w:r w:rsidRPr="00F4349D">
        <w:t>.</w:t>
      </w:r>
    </w:p>
    <w:p w:rsidR="00AB752B" w:rsidRPr="00235747" w:rsidRDefault="00AB752B" w:rsidP="00235747">
      <w:pPr>
        <w:pStyle w:val="ECHRHeading3"/>
      </w:pPr>
      <w:r>
        <w:t>2.</w:t>
      </w:r>
      <w:r w:rsidR="009150B4">
        <w:t xml:space="preserve"> </w:t>
      </w:r>
      <w:r>
        <w:t>Możliwość zastosowania ratione materiae art. 1 Protokołu nr</w:t>
      </w:r>
      <w:r w:rsidR="009150B4">
        <w:t xml:space="preserve"> </w:t>
      </w:r>
      <w:r>
        <w:t xml:space="preserve">1 </w:t>
      </w:r>
      <w:r w:rsidR="006669FA">
        <w:t>do</w:t>
      </w:r>
      <w:r w:rsidR="00284368">
        <w:t> </w:t>
      </w:r>
      <w:r>
        <w:t>Konwencji</w:t>
      </w:r>
    </w:p>
    <w:p w:rsidR="00AB752B" w:rsidRPr="00235747" w:rsidRDefault="00AB752B" w:rsidP="00235747">
      <w:pPr>
        <w:pStyle w:val="ECHRHeading4"/>
      </w:pPr>
      <w:r>
        <w:t>a)</w:t>
      </w:r>
      <w:r w:rsidR="009150B4">
        <w:t xml:space="preserve"> </w:t>
      </w:r>
      <w:r>
        <w:t>Argumenty stron</w:t>
      </w:r>
    </w:p>
    <w:p w:rsidR="00AB752B" w:rsidRPr="00235747" w:rsidRDefault="00AB752B" w:rsidP="00235747">
      <w:pPr>
        <w:pStyle w:val="ECHRPara"/>
      </w:pPr>
      <w:r w:rsidRPr="00235747">
        <w:t>73</w:t>
      </w:r>
      <w:r>
        <w:t>.</w:t>
      </w:r>
      <w:r w:rsidR="009150B4">
        <w:t xml:space="preserve"> </w:t>
      </w:r>
      <w:r>
        <w:t xml:space="preserve">Odnośnie do skargi nr 54490/10, złożonej przez pana </w:t>
      </w:r>
      <w:proofErr w:type="spellStart"/>
      <w:r>
        <w:t>Zidowa</w:t>
      </w:r>
      <w:proofErr w:type="spellEnd"/>
      <w:r>
        <w:t>, Rząd utrzymuje, że dom skarżącego nie był jego „własnością” w rozumieniu art.</w:t>
      </w:r>
      <w:r w:rsidR="002F280A">
        <w:t> </w:t>
      </w:r>
      <w:r>
        <w:t xml:space="preserve">1 Protokołu nr 1 </w:t>
      </w:r>
      <w:r w:rsidR="006669FA">
        <w:t xml:space="preserve">do </w:t>
      </w:r>
      <w:r>
        <w:t>Konwencji. Zdaniem Rządu wpisanie do jednolitego rejestru prawa zainteresowanego do posiadanej własności było nielegalne i</w:t>
      </w:r>
      <w:r w:rsidR="002F280A">
        <w:t> </w:t>
      </w:r>
      <w:r>
        <w:t>zostało poczynione przez skarżącego w złej wierze i z zamiarem wprowadzenia władz w błąd.</w:t>
      </w:r>
    </w:p>
    <w:p w:rsidR="00AB752B" w:rsidRPr="00235747" w:rsidRDefault="00AB752B" w:rsidP="00235747">
      <w:pPr>
        <w:pStyle w:val="ECHRPara"/>
      </w:pPr>
      <w:r w:rsidRPr="00235747">
        <w:t>74</w:t>
      </w:r>
      <w:r>
        <w:t>.</w:t>
      </w:r>
      <w:r w:rsidR="009150B4">
        <w:t xml:space="preserve"> </w:t>
      </w:r>
      <w:r>
        <w:t xml:space="preserve">Skarżący sprzeciwia się tej tezie i twierdzi, że władze przez wiele lat tolerowały istnienie jego domu, co nadawało mu </w:t>
      </w:r>
      <w:r w:rsidR="005E7C60" w:rsidRPr="00016C17">
        <w:t xml:space="preserve">istotny </w:t>
      </w:r>
      <w:r w:rsidR="00F4349D" w:rsidRPr="00016C17">
        <w:t>interes chroniony</w:t>
      </w:r>
      <w:r>
        <w:t xml:space="preserve"> przez art. 1 Protokołu nr 1 </w:t>
      </w:r>
      <w:r w:rsidR="006669FA">
        <w:t xml:space="preserve">do </w:t>
      </w:r>
      <w:r>
        <w:t>Konwencji. Ponadto utrzymuje, że</w:t>
      </w:r>
      <w:r w:rsidR="002F280A">
        <w:t> </w:t>
      </w:r>
      <w:r>
        <w:t>zarejestrował swoje prawo własności w dobrej wierze, a właściwy wydział ds. rejestracji, który sprawdzał okazane dokumenty, nie wykrył żadnych nieprawidłowości.</w:t>
      </w:r>
    </w:p>
    <w:p w:rsidR="00AB752B" w:rsidRPr="00235747" w:rsidRDefault="00AB752B" w:rsidP="00235747">
      <w:pPr>
        <w:pStyle w:val="ECHRPara"/>
      </w:pPr>
      <w:r w:rsidRPr="00235747">
        <w:t>75</w:t>
      </w:r>
      <w:r>
        <w:t>.</w:t>
      </w:r>
      <w:r w:rsidR="009150B4">
        <w:t xml:space="preserve"> </w:t>
      </w:r>
      <w:r>
        <w:t>Odnośnie do trzech pozostałych skarg Rząd nie podnosi takiego za</w:t>
      </w:r>
      <w:r w:rsidR="008A5D2A">
        <w:t>strzeżenia</w:t>
      </w:r>
      <w:r>
        <w:t>, przyznając nie wprost, że nieruchomości skarżących stanowiły ich „</w:t>
      </w:r>
      <w:r w:rsidR="00881931">
        <w:t>mienie</w:t>
      </w:r>
      <w:r>
        <w:t>”.</w:t>
      </w:r>
    </w:p>
    <w:p w:rsidR="00AB752B" w:rsidRPr="00235747" w:rsidRDefault="00AB752B" w:rsidP="00235747">
      <w:pPr>
        <w:pStyle w:val="ECHRHeading4"/>
      </w:pPr>
      <w:r>
        <w:t>b)</w:t>
      </w:r>
      <w:r w:rsidR="009150B4">
        <w:t xml:space="preserve"> </w:t>
      </w:r>
      <w:r>
        <w:t>Ocena przez Trybunał</w:t>
      </w:r>
    </w:p>
    <w:p w:rsidR="00AB752B" w:rsidRPr="00235747" w:rsidRDefault="00AB752B" w:rsidP="00235747">
      <w:pPr>
        <w:pStyle w:val="ECHRPara"/>
      </w:pPr>
      <w:r w:rsidRPr="00235747">
        <w:t>76</w:t>
      </w:r>
      <w:r>
        <w:t>.</w:t>
      </w:r>
      <w:r w:rsidR="009150B4">
        <w:t xml:space="preserve"> </w:t>
      </w:r>
      <w:r>
        <w:t>Przypominając, że z</w:t>
      </w:r>
      <w:r w:rsidR="00881931">
        <w:t>godność skargi</w:t>
      </w:r>
      <w:r>
        <w:t xml:space="preserve"> </w:t>
      </w:r>
      <w:r>
        <w:rPr>
          <w:i/>
          <w:iCs/>
        </w:rPr>
        <w:t xml:space="preserve">ratione materiae </w:t>
      </w:r>
      <w:r w:rsidR="00881931">
        <w:rPr>
          <w:iCs/>
        </w:rPr>
        <w:t xml:space="preserve">[z Konwencją] </w:t>
      </w:r>
      <w:r>
        <w:t xml:space="preserve">dotyczy także jego kompetencji, Trybunał przeanalizuje tę kwestię </w:t>
      </w:r>
      <w:r w:rsidR="00016C17">
        <w:t>w</w:t>
      </w:r>
      <w:r w:rsidR="002F280A">
        <w:t> </w:t>
      </w:r>
      <w:r w:rsidR="00016C17">
        <w:t>odniesieniu do</w:t>
      </w:r>
      <w:r>
        <w:t xml:space="preserve"> wszystkich czterech skarg.</w:t>
      </w:r>
    </w:p>
    <w:p w:rsidR="00AB752B" w:rsidRPr="00235747" w:rsidRDefault="00AB752B" w:rsidP="00235747">
      <w:pPr>
        <w:pStyle w:val="ECHRPara"/>
      </w:pPr>
      <w:r w:rsidRPr="00235747">
        <w:t>77</w:t>
      </w:r>
      <w:r>
        <w:t>.</w:t>
      </w:r>
      <w:r w:rsidR="009150B4">
        <w:t xml:space="preserve"> </w:t>
      </w:r>
      <w:r>
        <w:t>Trybunał przypomina, że pojęcie „</w:t>
      </w:r>
      <w:r w:rsidR="00881931">
        <w:t>mienia</w:t>
      </w:r>
      <w:r>
        <w:t>” ma</w:t>
      </w:r>
      <w:r w:rsidR="00016C17">
        <w:t xml:space="preserve"> autonomiczny zakres, który jest niezależny</w:t>
      </w:r>
      <w:r>
        <w:t xml:space="preserve"> od formalnej kwalifikacji w prawie wewnętrznym. Ważne jest, by przeanalizować, czy można uznać, że okoliczności danej </w:t>
      </w:r>
      <w:r>
        <w:lastRenderedPageBreak/>
        <w:t xml:space="preserve">sprawy, rozważane w całości, </w:t>
      </w:r>
      <w:r w:rsidRPr="000A381F">
        <w:t>mogły sprawić, że skarżący</w:t>
      </w:r>
      <w:r w:rsidR="00881931" w:rsidRPr="000A381F">
        <w:t xml:space="preserve"> </w:t>
      </w:r>
      <w:r w:rsidR="00F32087">
        <w:t xml:space="preserve"> ma</w:t>
      </w:r>
      <w:r w:rsidR="00881931" w:rsidRPr="000A381F">
        <w:t xml:space="preserve"> </w:t>
      </w:r>
      <w:r w:rsidR="005E7C60" w:rsidRPr="000A381F">
        <w:t>istotny interes</w:t>
      </w:r>
      <w:r w:rsidR="00881931" w:rsidRPr="000A381F">
        <w:t xml:space="preserve"> </w:t>
      </w:r>
      <w:r w:rsidR="005E7C60" w:rsidRPr="000A381F">
        <w:t>chroniony</w:t>
      </w:r>
      <w:r w:rsidRPr="000A381F">
        <w:t xml:space="preserve"> przez art. 1 Proto</w:t>
      </w:r>
      <w:r>
        <w:t>kołu nr</w:t>
      </w:r>
      <w:r w:rsidR="009150B4">
        <w:t xml:space="preserve"> </w:t>
      </w:r>
      <w:r>
        <w:t xml:space="preserve">1 </w:t>
      </w:r>
      <w:r w:rsidR="006669FA">
        <w:t xml:space="preserve">do </w:t>
      </w:r>
      <w:r>
        <w:t>Konwencji (patrz</w:t>
      </w:r>
      <w:r w:rsidR="00210BC0">
        <w:t> </w:t>
      </w:r>
      <w:r>
        <w:t>na</w:t>
      </w:r>
      <w:r w:rsidR="002F280A">
        <w:t> </w:t>
      </w:r>
      <w:r>
        <w:t xml:space="preserve">przykład </w:t>
      </w:r>
      <w:proofErr w:type="spellStart"/>
      <w:r>
        <w:rPr>
          <w:i/>
          <w:iCs/>
        </w:rPr>
        <w:t>Öneryıldız</w:t>
      </w:r>
      <w:proofErr w:type="spellEnd"/>
      <w:r>
        <w:rPr>
          <w:i/>
          <w:iCs/>
        </w:rPr>
        <w:t xml:space="preserve"> przeciwko Turcji</w:t>
      </w:r>
      <w:r w:rsidR="002F280A">
        <w:t xml:space="preserve"> [WI], skar</w:t>
      </w:r>
      <w:r>
        <w:t>ga nr</w:t>
      </w:r>
      <w:r w:rsidR="009150B4">
        <w:t xml:space="preserve"> </w:t>
      </w:r>
      <w:r>
        <w:t>48939/99, §</w:t>
      </w:r>
      <w:r w:rsidR="00EC2109">
        <w:t> </w:t>
      </w:r>
      <w:r>
        <w:t xml:space="preserve">124, </w:t>
      </w:r>
      <w:r w:rsidR="003769DE">
        <w:t>ETPC</w:t>
      </w:r>
      <w:r>
        <w:t xml:space="preserve"> 2004</w:t>
      </w:r>
      <w:r>
        <w:noBreakHyphen/>
        <w:t>XII).</w:t>
      </w:r>
    </w:p>
    <w:p w:rsidR="00AB752B" w:rsidRPr="00235747" w:rsidRDefault="00AB752B" w:rsidP="00235747">
      <w:pPr>
        <w:pStyle w:val="ECHRPara"/>
      </w:pPr>
      <w:r w:rsidRPr="00235747">
        <w:t>78</w:t>
      </w:r>
      <w:r>
        <w:t>.</w:t>
      </w:r>
      <w:r w:rsidR="009150B4">
        <w:t xml:space="preserve"> </w:t>
      </w:r>
      <w:r>
        <w:t>W omawian</w:t>
      </w:r>
      <w:r w:rsidR="00881931">
        <w:t>ej sprawie</w:t>
      </w:r>
      <w:r>
        <w:t xml:space="preserve"> Trybunał stwierdza, że niezależnie od tego, czy czas, jaki upłynął, spowodował powstanie </w:t>
      </w:r>
      <w:r w:rsidR="00881931">
        <w:t xml:space="preserve">istotnego i uznanego </w:t>
      </w:r>
      <w:r>
        <w:t xml:space="preserve">interesu majątkowego </w:t>
      </w:r>
      <w:r w:rsidR="00881931">
        <w:t>po stronie skarżących</w:t>
      </w:r>
      <w:r>
        <w:t xml:space="preserve">, w rozumieniu orzecznictwa </w:t>
      </w:r>
      <w:r>
        <w:rPr>
          <w:i/>
          <w:iCs/>
        </w:rPr>
        <w:t>Hamer przeciwko Belgii</w:t>
      </w:r>
      <w:r>
        <w:t xml:space="preserve"> (skarga nr 21861/03, § 76, </w:t>
      </w:r>
      <w:r w:rsidR="003769DE">
        <w:t>ETPC</w:t>
      </w:r>
      <w:r>
        <w:t xml:space="preserve"> 2007</w:t>
      </w:r>
      <w:r>
        <w:noBreakHyphen/>
        <w:t>V (fragmenty)) i</w:t>
      </w:r>
      <w:r w:rsidR="002F280A">
        <w:t> </w:t>
      </w:r>
      <w:proofErr w:type="spellStart"/>
      <w:r>
        <w:rPr>
          <w:i/>
          <w:iCs/>
        </w:rPr>
        <w:t>Brosset</w:t>
      </w:r>
      <w:r>
        <w:rPr>
          <w:i/>
          <w:iCs/>
        </w:rPr>
        <w:noBreakHyphen/>
        <w:t>Triboulet</w:t>
      </w:r>
      <w:proofErr w:type="spellEnd"/>
      <w:r>
        <w:rPr>
          <w:i/>
          <w:iCs/>
        </w:rPr>
        <w:t xml:space="preserve"> i Inni przeciwko Francji</w:t>
      </w:r>
      <w:r>
        <w:t xml:space="preserve"> [WI] (skarga nr 34078/02</w:t>
      </w:r>
      <w:r>
        <w:rPr>
          <w:snapToGrid w:val="0"/>
        </w:rPr>
        <w:t>, § 71, 29 marca 2010 r.</w:t>
      </w:r>
      <w:r>
        <w:t xml:space="preserve">), władze wpisały do jednolitego rejestru praw własności nieruchomości prawa zainteresowanych do własności </w:t>
      </w:r>
      <w:r w:rsidR="00881931">
        <w:t xml:space="preserve">budynków </w:t>
      </w:r>
      <w:r>
        <w:t>będących przedmiotem sporu i tym samym formalnie uznały ich status jako właścicieli. Mają on</w:t>
      </w:r>
      <w:r w:rsidR="00881931">
        <w:t>i</w:t>
      </w:r>
      <w:r>
        <w:t xml:space="preserve"> zatem tytuł </w:t>
      </w:r>
      <w:r w:rsidR="00881931">
        <w:t xml:space="preserve">do </w:t>
      </w:r>
      <w:r>
        <w:t>„</w:t>
      </w:r>
      <w:r w:rsidR="00881931">
        <w:t>mienia</w:t>
      </w:r>
      <w:r>
        <w:t xml:space="preserve">” w rozumieniu art. 1 Protokołu nr 1 </w:t>
      </w:r>
      <w:r w:rsidR="006669FA">
        <w:t xml:space="preserve">do </w:t>
      </w:r>
      <w:r>
        <w:t>Konwencji (</w:t>
      </w:r>
      <w:proofErr w:type="spellStart"/>
      <w:r>
        <w:rPr>
          <w:i/>
          <w:iCs/>
        </w:rPr>
        <w:t>Sociedad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Anónima</w:t>
      </w:r>
      <w:proofErr w:type="spellEnd"/>
      <w:r>
        <w:rPr>
          <w:i/>
          <w:iCs/>
        </w:rPr>
        <w:t xml:space="preserve"> del </w:t>
      </w:r>
      <w:proofErr w:type="spellStart"/>
      <w:r>
        <w:rPr>
          <w:i/>
          <w:iCs/>
        </w:rPr>
        <w:t>Ucieza</w:t>
      </w:r>
      <w:proofErr w:type="spellEnd"/>
      <w:r>
        <w:rPr>
          <w:i/>
          <w:iCs/>
        </w:rPr>
        <w:t xml:space="preserve"> przeciwko Hiszpanii</w:t>
      </w:r>
      <w:r>
        <w:t>, skarga nr 38963/08, §§</w:t>
      </w:r>
      <w:r w:rsidR="009150B4">
        <w:t xml:space="preserve"> </w:t>
      </w:r>
      <w:r>
        <w:t>78</w:t>
      </w:r>
      <w:r>
        <w:noBreakHyphen/>
        <w:t>79, 4</w:t>
      </w:r>
      <w:r w:rsidR="009150B4">
        <w:t xml:space="preserve"> </w:t>
      </w:r>
      <w:r>
        <w:t xml:space="preserve">listopada 2014 r., i </w:t>
      </w:r>
      <w:proofErr w:type="spellStart"/>
      <w:r>
        <w:rPr>
          <w:i/>
          <w:iCs/>
        </w:rPr>
        <w:t>Bidzhiyeva</w:t>
      </w:r>
      <w:proofErr w:type="spellEnd"/>
      <w:r>
        <w:rPr>
          <w:i/>
          <w:iCs/>
        </w:rPr>
        <w:t xml:space="preserve"> przeciwko Rosji</w:t>
      </w:r>
      <w:r>
        <w:t>, skarga nr</w:t>
      </w:r>
      <w:r w:rsidR="009150B4">
        <w:t xml:space="preserve"> </w:t>
      </w:r>
      <w:r>
        <w:t>30106/10, § 60, 5</w:t>
      </w:r>
      <w:r w:rsidR="009150B4">
        <w:t xml:space="preserve"> </w:t>
      </w:r>
      <w:r>
        <w:t>grudnia 2017 r.). W związku z</w:t>
      </w:r>
      <w:r w:rsidR="002F280A">
        <w:t> </w:t>
      </w:r>
      <w:r>
        <w:t>tym</w:t>
      </w:r>
      <w:r w:rsidR="002F280A">
        <w:t> </w:t>
      </w:r>
      <w:r>
        <w:t>Trybunał od</w:t>
      </w:r>
      <w:r w:rsidR="00016C17">
        <w:t>dala</w:t>
      </w:r>
      <w:r>
        <w:t xml:space="preserve"> t</w:t>
      </w:r>
      <w:r w:rsidR="00881931">
        <w:t>o zastrzeżenie</w:t>
      </w:r>
      <w:r>
        <w:t xml:space="preserve"> Rządu.</w:t>
      </w:r>
    </w:p>
    <w:p w:rsidR="00AB752B" w:rsidRPr="00235747" w:rsidRDefault="00AB752B" w:rsidP="00235747">
      <w:pPr>
        <w:pStyle w:val="ECHRHeading3"/>
      </w:pPr>
      <w:r>
        <w:t>3.</w:t>
      </w:r>
      <w:r w:rsidR="009150B4">
        <w:t xml:space="preserve"> </w:t>
      </w:r>
      <w:r>
        <w:t>Wnioski</w:t>
      </w:r>
    </w:p>
    <w:p w:rsidR="00AB752B" w:rsidRPr="00235747" w:rsidRDefault="00AB752B" w:rsidP="00235747">
      <w:pPr>
        <w:pStyle w:val="ECHRPara"/>
      </w:pPr>
      <w:r w:rsidRPr="00235747">
        <w:t>79</w:t>
      </w:r>
      <w:r>
        <w:t>.</w:t>
      </w:r>
      <w:r w:rsidR="009150B4">
        <w:t xml:space="preserve"> </w:t>
      </w:r>
      <w:r>
        <w:t>Stwierdzając, że zarzut</w:t>
      </w:r>
      <w:r w:rsidR="00881931">
        <w:t xml:space="preserve"> skargi</w:t>
      </w:r>
      <w:r>
        <w:t xml:space="preserve"> nie jest </w:t>
      </w:r>
      <w:r w:rsidR="00516099">
        <w:t xml:space="preserve">w sposób oczywisty nieuzasadniony </w:t>
      </w:r>
      <w:r>
        <w:t>w</w:t>
      </w:r>
      <w:r w:rsidR="009150B4">
        <w:t xml:space="preserve"> </w:t>
      </w:r>
      <w:r>
        <w:t xml:space="preserve">rozumieniu art. 35 ust. 3 lit. a Konwencji i że nie </w:t>
      </w:r>
      <w:r w:rsidR="00881931">
        <w:t>zachodzi</w:t>
      </w:r>
      <w:r>
        <w:t xml:space="preserve"> ponadto żaden inny powód niedopuszczalności, Trybunał uznaje go za dopuszczalny.</w:t>
      </w:r>
    </w:p>
    <w:p w:rsidR="00AB752B" w:rsidRPr="00235747" w:rsidRDefault="00AB752B" w:rsidP="00235747">
      <w:pPr>
        <w:pStyle w:val="ECHRHeading2"/>
      </w:pPr>
      <w:r w:rsidRPr="006669FA">
        <w:t>B.</w:t>
      </w:r>
      <w:r w:rsidR="009150B4" w:rsidRPr="006669FA">
        <w:t xml:space="preserve"> </w:t>
      </w:r>
      <w:r w:rsidR="00516099" w:rsidRPr="006669FA">
        <w:t>Przedmiot skargi</w:t>
      </w:r>
    </w:p>
    <w:p w:rsidR="00AB752B" w:rsidRPr="00235747" w:rsidRDefault="00AB752B" w:rsidP="00235747">
      <w:pPr>
        <w:pStyle w:val="ECHRHeading3"/>
      </w:pPr>
      <w:r>
        <w:t>1.</w:t>
      </w:r>
      <w:r w:rsidR="009150B4">
        <w:t xml:space="preserve"> </w:t>
      </w:r>
      <w:r>
        <w:t>Argumenty stron</w:t>
      </w:r>
    </w:p>
    <w:p w:rsidR="00AB752B" w:rsidRPr="00235747" w:rsidRDefault="00AB752B" w:rsidP="00235747">
      <w:pPr>
        <w:pStyle w:val="ECHRHeading4"/>
      </w:pPr>
      <w:r>
        <w:t>a)</w:t>
      </w:r>
      <w:r w:rsidR="009150B4">
        <w:t xml:space="preserve"> </w:t>
      </w:r>
      <w:r>
        <w:t xml:space="preserve">Odnośnie do pana </w:t>
      </w:r>
      <w:proofErr w:type="spellStart"/>
      <w:r>
        <w:t>Zidowa</w:t>
      </w:r>
      <w:proofErr w:type="spellEnd"/>
      <w:r>
        <w:t xml:space="preserve"> (skarga nr 54490/10)</w:t>
      </w:r>
    </w:p>
    <w:p w:rsidR="00AB752B" w:rsidRPr="00235747" w:rsidRDefault="00AB752B" w:rsidP="00235747">
      <w:pPr>
        <w:pStyle w:val="ECHRPara"/>
      </w:pPr>
      <w:r w:rsidRPr="00235747">
        <w:t>80</w:t>
      </w:r>
      <w:r>
        <w:t>.</w:t>
      </w:r>
      <w:r w:rsidR="009150B4">
        <w:t xml:space="preserve"> </w:t>
      </w:r>
      <w:r>
        <w:t>Rząd podkreśla, że skarżący zbudował dom na innej działce niż ta, którą otrzymał od władz, oraz że od 1993 r. zainteresowany był poinformowany o bezpośrednim sąsiedztwie gazociągu, co wiąże się z</w:t>
      </w:r>
      <w:r w:rsidR="002F280A">
        <w:t> </w:t>
      </w:r>
      <w:r>
        <w:t>zakazem realizacji jakiejkolwiek budowy.</w:t>
      </w:r>
    </w:p>
    <w:p w:rsidR="00AB752B" w:rsidRPr="00235747" w:rsidRDefault="00AB752B" w:rsidP="00235747">
      <w:pPr>
        <w:pStyle w:val="ECHRPara"/>
      </w:pPr>
      <w:r w:rsidRPr="00235747">
        <w:t>81</w:t>
      </w:r>
      <w:r>
        <w:t>.</w:t>
      </w:r>
      <w:r w:rsidR="009150B4">
        <w:t xml:space="preserve"> </w:t>
      </w:r>
      <w:r>
        <w:t xml:space="preserve">Ponadto Rząd przyrównuje niniejszą sprawę do sprawy </w:t>
      </w:r>
      <w:proofErr w:type="spellStart"/>
      <w:r>
        <w:rPr>
          <w:i/>
          <w:iCs/>
        </w:rPr>
        <w:t>Saliba</w:t>
      </w:r>
      <w:proofErr w:type="spellEnd"/>
      <w:r>
        <w:rPr>
          <w:i/>
          <w:iCs/>
        </w:rPr>
        <w:t xml:space="preserve"> przeciwko</w:t>
      </w:r>
      <w:r w:rsidR="009150B4">
        <w:rPr>
          <w:i/>
          <w:iCs/>
        </w:rPr>
        <w:t xml:space="preserve"> </w:t>
      </w:r>
      <w:r>
        <w:rPr>
          <w:i/>
          <w:iCs/>
        </w:rPr>
        <w:t>Malcie</w:t>
      </w:r>
      <w:r>
        <w:t xml:space="preserve"> (skarga nr 4251/02, 8 listopada 2005 r.), w której Trybunał nie stwierdził naruszenia art. 1 Protokołu nr 1 </w:t>
      </w:r>
      <w:r w:rsidR="006669FA">
        <w:t xml:space="preserve">do </w:t>
      </w:r>
      <w:r>
        <w:t>Konwencji dotyczącego nakazu rozbiórki nielegalnie wybudowanego hangaru.</w:t>
      </w:r>
    </w:p>
    <w:p w:rsidR="00AB752B" w:rsidRPr="00235747" w:rsidRDefault="00AB752B" w:rsidP="00235747">
      <w:pPr>
        <w:pStyle w:val="ECHRPara"/>
      </w:pPr>
      <w:r w:rsidRPr="00235747">
        <w:t>82</w:t>
      </w:r>
      <w:r>
        <w:t>.</w:t>
      </w:r>
      <w:r w:rsidR="009150B4">
        <w:t xml:space="preserve"> </w:t>
      </w:r>
      <w:r>
        <w:t>I wreszcie Rząd podnosi, że skarżący nigdy nie zwrócił się do sądu w</w:t>
      </w:r>
      <w:r w:rsidR="009150B4">
        <w:t xml:space="preserve"> </w:t>
      </w:r>
      <w:r>
        <w:t xml:space="preserve">sprawie zalegalizowania budowy, na co – według niego – pozwala art. 222 </w:t>
      </w:r>
      <w:r w:rsidR="00BA75CE">
        <w:t xml:space="preserve">Kodeksu </w:t>
      </w:r>
      <w:r>
        <w:t>cywilnego (</w:t>
      </w:r>
      <w:r w:rsidR="00B22132">
        <w:t>paragraf</w:t>
      </w:r>
      <w:r>
        <w:t xml:space="preserve"> </w:t>
      </w:r>
      <w:r w:rsidRPr="00EB3036">
        <w:rPr>
          <w:noProof/>
        </w:rPr>
        <w:t>54</w:t>
      </w:r>
      <w:r>
        <w:t xml:space="preserve"> powyżej).</w:t>
      </w:r>
    </w:p>
    <w:p w:rsidR="00AB752B" w:rsidRPr="00235747" w:rsidRDefault="00AB752B" w:rsidP="00235747">
      <w:pPr>
        <w:pStyle w:val="ECHRPara"/>
      </w:pPr>
      <w:r w:rsidRPr="00235747">
        <w:t>83</w:t>
      </w:r>
      <w:r>
        <w:t>.</w:t>
      </w:r>
      <w:r w:rsidR="009150B4">
        <w:t xml:space="preserve"> </w:t>
      </w:r>
      <w:r>
        <w:t xml:space="preserve">Skarżący kwestionuje te argumenty. Nie przecząc, iż był poinformowany o bliskości gazociągu i zakazie budowy w strefie otaczającej gazociąg, zarzuca jednak władzom, że nie „przekazały </w:t>
      </w:r>
      <w:r>
        <w:lastRenderedPageBreak/>
        <w:t>mu</w:t>
      </w:r>
      <w:r w:rsidR="002F280A">
        <w:t> </w:t>
      </w:r>
      <w:r>
        <w:t>oficjalnie” zakazu budowy, że tolerowały jego dom przez wiele lat bez</w:t>
      </w:r>
      <w:r w:rsidR="002F280A">
        <w:t> </w:t>
      </w:r>
      <w:r>
        <w:t>jakiejkolwiek reakcji, że pobierały odpowiednie podatki oraz że nie wykryły żadnego błędu podczas procedury wpisu prawa własności skarżącego do jednolitego rejestru – procedury, która według niego została przeprowadzona w dobrej wierze.</w:t>
      </w:r>
    </w:p>
    <w:p w:rsidR="00AB752B" w:rsidRPr="00235747" w:rsidRDefault="00AB752B" w:rsidP="00235747">
      <w:pPr>
        <w:pStyle w:val="ECHRPara"/>
      </w:pPr>
      <w:r w:rsidRPr="00235747">
        <w:t>84</w:t>
      </w:r>
      <w:r>
        <w:t>.</w:t>
      </w:r>
      <w:r w:rsidR="009150B4">
        <w:t xml:space="preserve"> </w:t>
      </w:r>
      <w:r>
        <w:t xml:space="preserve">Uważa także, że jego sprawa różni się od sprawy </w:t>
      </w:r>
      <w:proofErr w:type="spellStart"/>
      <w:r>
        <w:rPr>
          <w:i/>
          <w:iCs/>
        </w:rPr>
        <w:t>Saliba</w:t>
      </w:r>
      <w:proofErr w:type="spellEnd"/>
      <w:r w:rsidR="00F32087">
        <w:rPr>
          <w:i/>
          <w:iCs/>
        </w:rPr>
        <w:t>, op. cit.,</w:t>
      </w:r>
      <w:r>
        <w:rPr>
          <w:i/>
          <w:iCs/>
        </w:rPr>
        <w:t xml:space="preserve"> </w:t>
      </w:r>
      <w:r>
        <w:t>tym, że prawo rosyjskie nie przewiduje odpowiedzialności karnej za</w:t>
      </w:r>
      <w:r w:rsidR="002F280A">
        <w:t> </w:t>
      </w:r>
      <w:r>
        <w:t xml:space="preserve">samowole budowlane, lecz przeciwnie – </w:t>
      </w:r>
      <w:r w:rsidR="00BA75CE">
        <w:t xml:space="preserve">Kodeks </w:t>
      </w:r>
      <w:r>
        <w:t>cywilny umożliwia w</w:t>
      </w:r>
      <w:r w:rsidR="002F280A">
        <w:t> </w:t>
      </w:r>
      <w:r>
        <w:t>pewnych okolicznościach ich zalegalizowanie.</w:t>
      </w:r>
    </w:p>
    <w:p w:rsidR="00AB752B" w:rsidRPr="00235747" w:rsidRDefault="00AB752B" w:rsidP="00235747">
      <w:pPr>
        <w:pStyle w:val="ECHRHeading4"/>
      </w:pPr>
      <w:r>
        <w:t>b)</w:t>
      </w:r>
      <w:r w:rsidR="009150B4">
        <w:t xml:space="preserve"> </w:t>
      </w:r>
      <w:r>
        <w:t xml:space="preserve">Odnośnie do pani </w:t>
      </w:r>
      <w:proofErr w:type="spellStart"/>
      <w:r>
        <w:t>Kastornowej</w:t>
      </w:r>
      <w:proofErr w:type="spellEnd"/>
      <w:r>
        <w:t xml:space="preserve">, państwa Wdowinów i pani </w:t>
      </w:r>
      <w:proofErr w:type="spellStart"/>
      <w:r>
        <w:t>Kosenko</w:t>
      </w:r>
      <w:proofErr w:type="spellEnd"/>
      <w:r>
        <w:t xml:space="preserve"> (skarg</w:t>
      </w:r>
      <w:r w:rsidR="002F280A">
        <w:t>i </w:t>
      </w:r>
      <w:r>
        <w:t>nr 1153/14, 2680/14 i 31636/14)</w:t>
      </w:r>
    </w:p>
    <w:p w:rsidR="00AB752B" w:rsidRPr="00235747" w:rsidRDefault="00AB752B" w:rsidP="00235747">
      <w:pPr>
        <w:pStyle w:val="ECHRPara"/>
      </w:pPr>
      <w:r w:rsidRPr="00235747">
        <w:t>85</w:t>
      </w:r>
      <w:r>
        <w:t>.</w:t>
      </w:r>
      <w:r w:rsidR="009150B4">
        <w:t xml:space="preserve"> </w:t>
      </w:r>
      <w:r>
        <w:t xml:space="preserve">Rząd uważa, że ingerencja w prawo skarżących do poszanowania ich własności jest przewidziana prawem, że </w:t>
      </w:r>
      <w:r w:rsidR="00B22132">
        <w:t>realizowała ona</w:t>
      </w:r>
      <w:r>
        <w:t xml:space="preserve"> </w:t>
      </w:r>
      <w:r w:rsidR="00B22132">
        <w:t>uprawniony cel</w:t>
      </w:r>
      <w:r>
        <w:t xml:space="preserve"> i</w:t>
      </w:r>
      <w:r w:rsidR="002F280A">
        <w:t> </w:t>
      </w:r>
      <w:r>
        <w:t>że była do tego celu proporcjonalna.</w:t>
      </w:r>
    </w:p>
    <w:p w:rsidR="00AB752B" w:rsidRPr="00235747" w:rsidRDefault="00AB752B" w:rsidP="00235747">
      <w:pPr>
        <w:pStyle w:val="ECHRPara"/>
      </w:pPr>
      <w:r w:rsidRPr="00235747">
        <w:t>86</w:t>
      </w:r>
      <w:r>
        <w:t>.</w:t>
      </w:r>
      <w:r w:rsidR="009150B4">
        <w:t xml:space="preserve"> </w:t>
      </w:r>
      <w:r>
        <w:t xml:space="preserve">Rząd popiera wnioski sądów krajowych dotyczące potrzeby rozbiórki </w:t>
      </w:r>
      <w:r w:rsidR="00276440">
        <w:t xml:space="preserve">budynków </w:t>
      </w:r>
      <w:r>
        <w:t>należących do skarżących jako samowoli budowlanych. W</w:t>
      </w:r>
      <w:r w:rsidR="002F280A">
        <w:t> </w:t>
      </w:r>
      <w:r>
        <w:t>szczególności uważa, że odnośnie do skarg nr</w:t>
      </w:r>
      <w:r w:rsidR="009150B4">
        <w:t xml:space="preserve"> </w:t>
      </w:r>
      <w:r>
        <w:t xml:space="preserve">1153/14 i 2680/14, złożonych odpowiednio przez panią </w:t>
      </w:r>
      <w:proofErr w:type="spellStart"/>
      <w:r>
        <w:t>Kastornową</w:t>
      </w:r>
      <w:proofErr w:type="spellEnd"/>
      <w:r>
        <w:t xml:space="preserve"> oraz przez państwa Wdowinów, przeniesienie gazociągu byłoby zbyt kosztowne i stanowiłoby środek nieproporcjonalny, wymagający dłuższego wstrzymania dostaw gazu w rejonie Moskwy i na obszarach sąsiednich. Odnośnie do skargi nr</w:t>
      </w:r>
      <w:r w:rsidR="009150B4">
        <w:t xml:space="preserve"> </w:t>
      </w:r>
      <w:r>
        <w:t xml:space="preserve">31636/14, złożonej przez panią </w:t>
      </w:r>
      <w:proofErr w:type="spellStart"/>
      <w:r>
        <w:t>Kosenko</w:t>
      </w:r>
      <w:proofErr w:type="spellEnd"/>
      <w:r>
        <w:t>, Rząd podtrzymuje, że spółdzielnia ogrodnicza była poinformowana o bliskości ropociągów i stref chronionych i że miała obowiązek poinformowania o tym każdego ze swych członków.</w:t>
      </w:r>
    </w:p>
    <w:p w:rsidR="00AB752B" w:rsidRPr="00235747" w:rsidRDefault="00AB752B" w:rsidP="00235747">
      <w:pPr>
        <w:pStyle w:val="ECHRPara"/>
      </w:pPr>
      <w:bookmarkStart w:id="1" w:name="p86"/>
      <w:r w:rsidRPr="00235747">
        <w:t>87</w:t>
      </w:r>
      <w:bookmarkEnd w:id="1"/>
      <w:r>
        <w:t>.</w:t>
      </w:r>
      <w:r w:rsidR="009150B4">
        <w:t xml:space="preserve"> </w:t>
      </w:r>
      <w:r>
        <w:t>Analizując różne przepisy wewnętrzne, Rząd stwierdza, że</w:t>
      </w:r>
      <w:r w:rsidR="002F280A">
        <w:t> </w:t>
      </w:r>
      <w:r>
        <w:t>właściciele i operatorzy gazociągów i ropociągów nie mają prawnego obowiązku odnotowywania ograniczeń praw w zakresie nieruchomości na</w:t>
      </w:r>
      <w:r w:rsidR="002F280A">
        <w:t> </w:t>
      </w:r>
      <w:r>
        <w:t>terenach, przez które te instalacje przechodzą.</w:t>
      </w:r>
    </w:p>
    <w:p w:rsidR="00AB752B" w:rsidRPr="00235747" w:rsidRDefault="00AB752B" w:rsidP="00235747">
      <w:pPr>
        <w:pStyle w:val="ECHRPara"/>
      </w:pPr>
      <w:r w:rsidRPr="00235747">
        <w:t>88</w:t>
      </w:r>
      <w:r>
        <w:t>.</w:t>
      </w:r>
      <w:r w:rsidR="009150B4">
        <w:t xml:space="preserve"> </w:t>
      </w:r>
      <w:r>
        <w:t xml:space="preserve">Rząd przyrównuje niniejsze sprawy do wspomnianych spraw </w:t>
      </w:r>
      <w:proofErr w:type="spellStart"/>
      <w:r>
        <w:rPr>
          <w:i/>
          <w:iCs/>
        </w:rPr>
        <w:t>Saliba</w:t>
      </w:r>
      <w:proofErr w:type="spellEnd"/>
      <w:r>
        <w:t>,</w:t>
      </w:r>
      <w:r>
        <w:rPr>
          <w:i/>
          <w:iCs/>
        </w:rPr>
        <w:t xml:space="preserve"> Hamer</w:t>
      </w:r>
      <w:r>
        <w:t xml:space="preserve"> i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Brosset-Triboulet</w:t>
      </w:r>
      <w:proofErr w:type="spellEnd"/>
      <w:r>
        <w:rPr>
          <w:i/>
          <w:iCs/>
        </w:rPr>
        <w:t xml:space="preserve"> i Inni</w:t>
      </w:r>
      <w:r>
        <w:t>,</w:t>
      </w:r>
      <w:r>
        <w:rPr>
          <w:i/>
          <w:iCs/>
        </w:rPr>
        <w:t xml:space="preserve"> </w:t>
      </w:r>
      <w:r>
        <w:t xml:space="preserve">w których Trybunał nie stwierdził naruszenia art. 1 Protokołu nr 1 </w:t>
      </w:r>
      <w:r w:rsidR="006669FA">
        <w:t xml:space="preserve">do </w:t>
      </w:r>
      <w:r>
        <w:t>Konwencji ze względu na obowiązek rozbiórki, na koszt właścicieli i bez odszkodowania, nieruchomości wybudowanych bez wymaganych pozwoleń w strefach objętych zakazem budowy w dwóch pierwszych przypadkach i znajdujących się w publicznym obszarze morskim w ostatnim przypadku.</w:t>
      </w:r>
    </w:p>
    <w:p w:rsidR="00AB752B" w:rsidRPr="00235747" w:rsidRDefault="00AB752B" w:rsidP="00235747">
      <w:pPr>
        <w:pStyle w:val="ECHRPara"/>
      </w:pPr>
      <w:r w:rsidRPr="00235747">
        <w:t>89</w:t>
      </w:r>
      <w:r>
        <w:t>.</w:t>
      </w:r>
      <w:r w:rsidR="009150B4">
        <w:t xml:space="preserve"> </w:t>
      </w:r>
      <w:r>
        <w:t>Rząd oświadcza, że dnia 17 marca 2017 r. orzeczenia nakazujące rozbiórkę wciąż nie były wykonane oraz że skarżący nie wystąpili do sądu o</w:t>
      </w:r>
      <w:r w:rsidR="002F280A">
        <w:t> </w:t>
      </w:r>
      <w:r>
        <w:t>odszkodowanie za unieważnienie ich prawa własności.</w:t>
      </w:r>
    </w:p>
    <w:p w:rsidR="00AB752B" w:rsidRPr="00235747" w:rsidRDefault="00AB752B" w:rsidP="00235747">
      <w:pPr>
        <w:pStyle w:val="ECHRPara"/>
      </w:pPr>
      <w:r w:rsidRPr="00235747">
        <w:t>90</w:t>
      </w:r>
      <w:r>
        <w:t>.</w:t>
      </w:r>
      <w:r w:rsidR="009150B4">
        <w:t xml:space="preserve"> </w:t>
      </w:r>
      <w:r>
        <w:t>Skarżący kwestionują te argumenty. Argumentują, że władze wpisały ich prawo własności działek i budynków do rejestru, nie zgłaszając najmniejszych zastrzeżeń związanych z bliskością gazociągów i ropociągów i nie wskazały żadnych stref chronionych wzdłuż tych instalacji lub</w:t>
      </w:r>
      <w:r w:rsidR="002F280A">
        <w:t> </w:t>
      </w:r>
      <w:r>
        <w:t>w</w:t>
      </w:r>
      <w:r w:rsidR="002F280A">
        <w:t> </w:t>
      </w:r>
      <w:r>
        <w:t>strefach wymagających zachowania minimalnej odległości.</w:t>
      </w:r>
    </w:p>
    <w:p w:rsidR="00AB752B" w:rsidRPr="00235747" w:rsidRDefault="00AB752B" w:rsidP="00235747">
      <w:pPr>
        <w:pStyle w:val="ECHRPara"/>
      </w:pPr>
      <w:r w:rsidRPr="00235747">
        <w:lastRenderedPageBreak/>
        <w:t>91</w:t>
      </w:r>
      <w:r>
        <w:t>.</w:t>
      </w:r>
      <w:r w:rsidR="009150B4">
        <w:t xml:space="preserve"> </w:t>
      </w:r>
      <w:r>
        <w:t xml:space="preserve">W szczególności, pani </w:t>
      </w:r>
      <w:proofErr w:type="spellStart"/>
      <w:r>
        <w:t>Kastornowa</w:t>
      </w:r>
      <w:proofErr w:type="spellEnd"/>
      <w:r>
        <w:t xml:space="preserve"> i państwo </w:t>
      </w:r>
      <w:proofErr w:type="spellStart"/>
      <w:r>
        <w:t>Wdowinowie</w:t>
      </w:r>
      <w:proofErr w:type="spellEnd"/>
      <w:r>
        <w:t xml:space="preserve"> (skargi nr</w:t>
      </w:r>
      <w:r w:rsidR="002F280A">
        <w:t> </w:t>
      </w:r>
      <w:r>
        <w:t>1153/14 i 2680/14) utrzymują, że podczas rozdawania działek budowlanych władze powinny były współpracować ze spółką będącą operatorem gazociągu. Argumentują, że kiedy poprzedni właściciele otrzymali wspomniane działki, a następnie pozwolenia na budowę, oraz</w:t>
      </w:r>
      <w:r w:rsidR="002F280A">
        <w:t> </w:t>
      </w:r>
      <w:r w:rsidR="00E1786C">
        <w:t>kiedy</w:t>
      </w:r>
      <w:r>
        <w:t xml:space="preserve"> wpisali swoje prawa do jednolitego rejestru, nie wiedzieli, że</w:t>
      </w:r>
      <w:r w:rsidR="002F280A">
        <w:t> </w:t>
      </w:r>
      <w:r>
        <w:t>w</w:t>
      </w:r>
      <w:r w:rsidR="002F280A">
        <w:t> </w:t>
      </w:r>
      <w:r>
        <w:t>pobliżu znajduje się gazociąg i w żaden sposób nie mogli przewidzieć, że ich budynki zostaną uznane za samowolę budowlaną. Skarżący dodają, że strefy chronione znajdujące się wzdłuż gazociągu nigdy nie były oznaczone i że w związku z</w:t>
      </w:r>
      <w:r w:rsidR="009150B4">
        <w:t xml:space="preserve"> </w:t>
      </w:r>
      <w:r>
        <w:t>tym spółka będąca operatorem gazociągu nie</w:t>
      </w:r>
      <w:r w:rsidR="002F280A">
        <w:t> </w:t>
      </w:r>
      <w:r>
        <w:t>dopełniła swych obowiązków wynikających z ustawy federalnej o</w:t>
      </w:r>
      <w:r w:rsidR="002F280A">
        <w:t> </w:t>
      </w:r>
      <w:r>
        <w:t>bezpieczeństwie przemysłowym.</w:t>
      </w:r>
    </w:p>
    <w:p w:rsidR="00AB752B" w:rsidRPr="00235747" w:rsidRDefault="00AB752B" w:rsidP="00235747">
      <w:pPr>
        <w:pStyle w:val="ECHRPara"/>
      </w:pPr>
      <w:r w:rsidRPr="00235747">
        <w:t>92</w:t>
      </w:r>
      <w:r>
        <w:t>.</w:t>
      </w:r>
      <w:r w:rsidR="009150B4">
        <w:t xml:space="preserve"> </w:t>
      </w:r>
      <w:r>
        <w:t xml:space="preserve">Skarżący uważają też, że sądy krajowe w sposób arbitralny zinterpretowały i zastosowały art. 222 </w:t>
      </w:r>
      <w:r w:rsidR="00BA75CE">
        <w:t xml:space="preserve">Kodeksu </w:t>
      </w:r>
      <w:r>
        <w:t xml:space="preserve">cywilnego, oraz utrzymują, że ingerencja w prawo do poszanowania ich </w:t>
      </w:r>
      <w:r w:rsidR="00E1786C">
        <w:t xml:space="preserve">mienia </w:t>
      </w:r>
      <w:r>
        <w:t>nie odbyła się zgodnie z</w:t>
      </w:r>
      <w:r w:rsidR="002F280A">
        <w:t> </w:t>
      </w:r>
      <w:r>
        <w:t>procedurą przewidzianą przez prawo. Ponadto uważają, że skoro – jak</w:t>
      </w:r>
      <w:r w:rsidR="002F280A">
        <w:t> </w:t>
      </w:r>
      <w:r>
        <w:t xml:space="preserve">twierdzą – całkowicie stracili </w:t>
      </w:r>
      <w:r w:rsidRPr="008A5D2A">
        <w:t xml:space="preserve">swoje </w:t>
      </w:r>
      <w:r w:rsidR="00E1786C" w:rsidRPr="008A5D2A">
        <w:t>budynki</w:t>
      </w:r>
      <w:r>
        <w:t xml:space="preserve"> i nie otrzymali jakiegokolwiek odszkodowania, przeprowadzona ingerencja była nieproporcjonalna.</w:t>
      </w:r>
    </w:p>
    <w:p w:rsidR="00AB752B" w:rsidRPr="00235747" w:rsidRDefault="00AB752B" w:rsidP="00235747">
      <w:pPr>
        <w:pStyle w:val="ECHRPara"/>
      </w:pPr>
      <w:r w:rsidRPr="00235747">
        <w:t>93</w:t>
      </w:r>
      <w:r>
        <w:t>.</w:t>
      </w:r>
      <w:r w:rsidR="009150B4">
        <w:t xml:space="preserve"> </w:t>
      </w:r>
      <w:r>
        <w:t xml:space="preserve">Pani </w:t>
      </w:r>
      <w:proofErr w:type="spellStart"/>
      <w:r>
        <w:t>Kosenko</w:t>
      </w:r>
      <w:proofErr w:type="spellEnd"/>
      <w:r>
        <w:t xml:space="preserve"> (skarga nr 31636/14) utrzymuje, że przez wiele lat, władze tolerowały obecność baraku na działce w pobliżu ropociągów i</w:t>
      </w:r>
      <w:r w:rsidR="002F280A">
        <w:t> </w:t>
      </w:r>
      <w:r>
        <w:t>że</w:t>
      </w:r>
      <w:r w:rsidR="002F280A">
        <w:t> </w:t>
      </w:r>
      <w:r>
        <w:t>płaciła ona wszystkie należne podatki i opłaty. Argumentuje, że jej działka położona jest w środku terenu spółdzielni ogrodniczej i że została wydana poprzedniej właścicielce zgodnie z prawem.</w:t>
      </w:r>
    </w:p>
    <w:p w:rsidR="00AB752B" w:rsidRPr="00235747" w:rsidRDefault="00AB752B" w:rsidP="00235747">
      <w:pPr>
        <w:pStyle w:val="ECHRHeading3"/>
      </w:pPr>
      <w:r>
        <w:t>2.</w:t>
      </w:r>
      <w:r w:rsidR="009150B4">
        <w:t xml:space="preserve"> </w:t>
      </w:r>
      <w:r>
        <w:t>Ocena przez Trybunał</w:t>
      </w:r>
    </w:p>
    <w:p w:rsidR="00AB752B" w:rsidRPr="00235747" w:rsidRDefault="00AB752B" w:rsidP="00235747">
      <w:pPr>
        <w:pStyle w:val="ECHRHeading4"/>
      </w:pPr>
      <w:r>
        <w:t>a)</w:t>
      </w:r>
      <w:r w:rsidR="009150B4">
        <w:t xml:space="preserve"> </w:t>
      </w:r>
      <w:r>
        <w:t>W sprawie ingerencji, jej celu i legalności</w:t>
      </w:r>
    </w:p>
    <w:p w:rsidR="00AB752B" w:rsidRPr="00235747" w:rsidRDefault="00AB752B" w:rsidP="00235747">
      <w:pPr>
        <w:pStyle w:val="ECHRPara"/>
      </w:pPr>
      <w:r w:rsidRPr="00235747">
        <w:t>94</w:t>
      </w:r>
      <w:r>
        <w:t>.</w:t>
      </w:r>
      <w:r w:rsidR="009150B4">
        <w:t xml:space="preserve"> </w:t>
      </w:r>
      <w:r>
        <w:t xml:space="preserve">Trybunał stwierdza, że sądy krajowe nakazały rozbiórkę </w:t>
      </w:r>
      <w:r w:rsidR="00E1786C" w:rsidRPr="00DB4CDE">
        <w:t>budynków</w:t>
      </w:r>
      <w:r>
        <w:t xml:space="preserve"> skarżących</w:t>
      </w:r>
      <w:r w:rsidR="00E1786C">
        <w:t>,</w:t>
      </w:r>
      <w:r>
        <w:t xml:space="preserve"> uzasadniając swą decyzję</w:t>
      </w:r>
      <w:r w:rsidR="009150B4">
        <w:t xml:space="preserve"> </w:t>
      </w:r>
      <w:r>
        <w:t>samowolą budowlaną. W</w:t>
      </w:r>
      <w:r w:rsidR="002F280A">
        <w:t> </w:t>
      </w:r>
      <w:r>
        <w:t>tym</w:t>
      </w:r>
      <w:r w:rsidR="002F280A">
        <w:t> </w:t>
      </w:r>
      <w:r>
        <w:t>względzie odniosły się do przepisów regulujących bezpieczeństwo niebezpiecznych instalacji, do norm urbanistycznych i</w:t>
      </w:r>
      <w:r w:rsidR="009150B4">
        <w:t xml:space="preserve"> </w:t>
      </w:r>
      <w:r>
        <w:t>budowlanych (</w:t>
      </w:r>
      <w:r w:rsidR="00B22132">
        <w:t>paragrafy</w:t>
      </w:r>
      <w:r>
        <w:t xml:space="preserve"> </w:t>
      </w:r>
      <w:r w:rsidRPr="00EB3036">
        <w:rPr>
          <w:noProof/>
        </w:rPr>
        <w:t>15</w:t>
      </w:r>
      <w:r>
        <w:t xml:space="preserve">, </w:t>
      </w:r>
      <w:r w:rsidRPr="00EB3036">
        <w:rPr>
          <w:rFonts w:eastAsia="MS Gothic"/>
          <w:noProof/>
        </w:rPr>
        <w:t>32</w:t>
      </w:r>
      <w:r>
        <w:t xml:space="preserve"> i </w:t>
      </w:r>
      <w:r w:rsidRPr="00EB3036">
        <w:rPr>
          <w:noProof/>
        </w:rPr>
        <w:t>46</w:t>
      </w:r>
      <w:r>
        <w:t xml:space="preserve"> powyżej), a</w:t>
      </w:r>
      <w:r w:rsidR="009150B4">
        <w:t xml:space="preserve"> </w:t>
      </w:r>
      <w:r>
        <w:t>w</w:t>
      </w:r>
      <w:r w:rsidR="009150B4">
        <w:t xml:space="preserve"> </w:t>
      </w:r>
      <w:r>
        <w:t>przypadku skarg nr 1153/14 i 2680/14 uwzględniły również interesy odbiorców gazu (</w:t>
      </w:r>
      <w:r w:rsidR="00B22132">
        <w:t>paragraf</w:t>
      </w:r>
      <w:r>
        <w:t xml:space="preserve"> </w:t>
      </w:r>
      <w:r w:rsidRPr="00EB3036">
        <w:rPr>
          <w:rFonts w:eastAsia="MS Gothic"/>
          <w:noProof/>
        </w:rPr>
        <w:t>33</w:t>
      </w:r>
      <w:r>
        <w:t xml:space="preserve"> powyżej).</w:t>
      </w:r>
    </w:p>
    <w:p w:rsidR="00AB752B" w:rsidRPr="00235747" w:rsidRDefault="00AB752B" w:rsidP="00235747">
      <w:pPr>
        <w:pStyle w:val="ECHRPara"/>
      </w:pPr>
      <w:r w:rsidRPr="00235747">
        <w:t>95</w:t>
      </w:r>
      <w:r>
        <w:t>.</w:t>
      </w:r>
      <w:r w:rsidR="009150B4">
        <w:t xml:space="preserve"> </w:t>
      </w:r>
      <w:r>
        <w:t>Trybunał uważa zatem, że niezależnie od kwestii kontrolowania przez państwo rosyjskie spółek będących operatorami gazociągów i</w:t>
      </w:r>
      <w:r w:rsidR="002F280A">
        <w:t> </w:t>
      </w:r>
      <w:r>
        <w:t xml:space="preserve">ropociągów, sądowe nakazy rozbiórki służyły celowi </w:t>
      </w:r>
      <w:r w:rsidR="00E1786C">
        <w:t>w interesie ogólnym</w:t>
      </w:r>
      <w:r>
        <w:t>, w</w:t>
      </w:r>
      <w:r w:rsidR="009150B4">
        <w:t xml:space="preserve"> </w:t>
      </w:r>
      <w:r>
        <w:t xml:space="preserve">szczególności ochronie życia ludzi oraz zdrowia publicznego, bezpieczeństwu użytkowania instalacji niebezpiecznych oraz nieprzerwanemu zaopatrzeniu mieszkańców w gaz. Te elementy Trybunał uznaje za wystarczające, aby stwierdzić, że nakazy rozbiórki </w:t>
      </w:r>
      <w:r w:rsidR="00E1786C">
        <w:t>stanowią</w:t>
      </w:r>
      <w:r>
        <w:t xml:space="preserve"> ingerencję władz w prawo skarżących do poszanowania ich </w:t>
      </w:r>
      <w:r w:rsidR="00E1786C">
        <w:t>mienia</w:t>
      </w:r>
      <w:r>
        <w:t xml:space="preserve"> – ingerencję służącą wielu </w:t>
      </w:r>
      <w:r w:rsidR="00B22132">
        <w:t xml:space="preserve">uprawnionym </w:t>
      </w:r>
      <w:r>
        <w:t xml:space="preserve">celom (patrz też </w:t>
      </w:r>
      <w:r w:rsidR="00B22132">
        <w:t>paragrafy</w:t>
      </w:r>
      <w:r w:rsidR="009150B4">
        <w:t xml:space="preserve"> </w:t>
      </w:r>
      <w:r w:rsidRPr="00EB3036">
        <w:rPr>
          <w:noProof/>
        </w:rPr>
        <w:t>57</w:t>
      </w:r>
      <w:r>
        <w:noBreakHyphen/>
      </w:r>
      <w:r w:rsidRPr="00EB3036">
        <w:rPr>
          <w:noProof/>
        </w:rPr>
        <w:t>61</w:t>
      </w:r>
      <w:r>
        <w:t xml:space="preserve"> powyżej dotyczące bezpieczeństwa eksploatacji niebezpiecznych instalacji) </w:t>
      </w:r>
      <w:r>
        <w:lastRenderedPageBreak/>
        <w:t>(por</w:t>
      </w:r>
      <w:r w:rsidR="00E1786C">
        <w:t>. odmiennie sprawa</w:t>
      </w:r>
      <w:r>
        <w:t xml:space="preserve"> </w:t>
      </w:r>
      <w:proofErr w:type="spellStart"/>
      <w:r>
        <w:rPr>
          <w:i/>
          <w:iCs/>
        </w:rPr>
        <w:t>Anheuser-Buch</w:t>
      </w:r>
      <w:proofErr w:type="spellEnd"/>
      <w:r>
        <w:t>,</w:t>
      </w:r>
      <w:r w:rsidR="00E1786C">
        <w:t xml:space="preserve"> </w:t>
      </w:r>
      <w:r w:rsidR="00E1786C">
        <w:rPr>
          <w:i/>
        </w:rPr>
        <w:t>op. cit.,</w:t>
      </w:r>
      <w:r>
        <w:t xml:space="preserve"> w której Trybunał uznał, że</w:t>
      </w:r>
      <w:r w:rsidR="002F280A">
        <w:t> </w:t>
      </w:r>
      <w:r>
        <w:t xml:space="preserve">nie doszło do ingerencji władz publicznych, gdyż chodziło o czysto prywatny spór pozbawiony jakichkolwiek elementów publicznych, a także </w:t>
      </w:r>
      <w:r w:rsidR="00E1786C">
        <w:t>sprawa</w:t>
      </w:r>
      <w:r>
        <w:t xml:space="preserve"> </w:t>
      </w:r>
      <w:proofErr w:type="spellStart"/>
      <w:r>
        <w:rPr>
          <w:i/>
          <w:iCs/>
        </w:rPr>
        <w:t>Kotov</w:t>
      </w:r>
      <w:proofErr w:type="spellEnd"/>
      <w:r>
        <w:t xml:space="preserve">, </w:t>
      </w:r>
      <w:r w:rsidR="00A852C7">
        <w:rPr>
          <w:i/>
        </w:rPr>
        <w:t xml:space="preserve">op. cit., </w:t>
      </w:r>
      <w:r>
        <w:t>w której Trybunał uznał, że państwo nie może ponosić wprost odpowiedzialności za nieprawidłowości popełnione przez prywatnego likwidatora banku).</w:t>
      </w:r>
    </w:p>
    <w:p w:rsidR="00AB752B" w:rsidRPr="00235747" w:rsidRDefault="00AB752B" w:rsidP="00235747">
      <w:pPr>
        <w:pStyle w:val="ECHRPara"/>
      </w:pPr>
      <w:r>
        <w:t>Trybunał od</w:t>
      </w:r>
      <w:r w:rsidR="00016C17">
        <w:t>dala</w:t>
      </w:r>
      <w:r>
        <w:t xml:space="preserve"> tym samym za</w:t>
      </w:r>
      <w:r w:rsidR="00016C17">
        <w:t>strzeżenie</w:t>
      </w:r>
      <w:r>
        <w:t xml:space="preserve"> Rządu </w:t>
      </w:r>
      <w:r w:rsidR="00A852C7">
        <w:t>dotycząc</w:t>
      </w:r>
      <w:r w:rsidR="00016C17">
        <w:t>e</w:t>
      </w:r>
      <w:r w:rsidR="00A852C7">
        <w:t xml:space="preserve"> </w:t>
      </w:r>
      <w:r>
        <w:t xml:space="preserve">niedopuszczalności </w:t>
      </w:r>
      <w:r w:rsidR="00A852C7">
        <w:t xml:space="preserve">zarzutu skargi </w:t>
      </w:r>
      <w:r>
        <w:rPr>
          <w:i/>
          <w:iCs/>
        </w:rPr>
        <w:t xml:space="preserve">ratione </w:t>
      </w:r>
      <w:proofErr w:type="spellStart"/>
      <w:r>
        <w:rPr>
          <w:i/>
          <w:iCs/>
        </w:rPr>
        <w:t>personae</w:t>
      </w:r>
      <w:proofErr w:type="spellEnd"/>
      <w:r w:rsidR="002F280A">
        <w:rPr>
          <w:i/>
          <w:iCs/>
        </w:rPr>
        <w:t>,</w:t>
      </w:r>
      <w:r>
        <w:t xml:space="preserve"> </w:t>
      </w:r>
      <w:r w:rsidR="00016C17">
        <w:t xml:space="preserve">powołujące się </w:t>
      </w:r>
      <w:r>
        <w:t>na</w:t>
      </w:r>
      <w:r w:rsidR="002F280A">
        <w:t> </w:t>
      </w:r>
      <w:r>
        <w:t>prywatny charakter sporu wniesionego przez skarżących.</w:t>
      </w:r>
    </w:p>
    <w:p w:rsidR="00AB752B" w:rsidRPr="00235747" w:rsidRDefault="00AB752B" w:rsidP="00235747">
      <w:pPr>
        <w:pStyle w:val="ECHRPara"/>
      </w:pPr>
      <w:r w:rsidRPr="00235747">
        <w:t>96</w:t>
      </w:r>
      <w:r>
        <w:t>.</w:t>
      </w:r>
      <w:r w:rsidR="009150B4">
        <w:t xml:space="preserve"> </w:t>
      </w:r>
      <w:r>
        <w:t>Odnośnie do rodzaju ingerencji i stosowanej normy, Trybunał stwierdza, że chodziło o uregulowanie sposobu korzystania z własności w</w:t>
      </w:r>
      <w:r w:rsidR="002F280A">
        <w:t> </w:t>
      </w:r>
      <w:r>
        <w:t>rozumieniu drugiego akapitu art. 1 Protokołu nr</w:t>
      </w:r>
      <w:r w:rsidR="009150B4">
        <w:t xml:space="preserve"> </w:t>
      </w:r>
      <w:r>
        <w:t>1 (</w:t>
      </w:r>
      <w:proofErr w:type="spellStart"/>
      <w:r>
        <w:rPr>
          <w:i/>
          <w:iCs/>
        </w:rPr>
        <w:t>Saliba</w:t>
      </w:r>
      <w:proofErr w:type="spellEnd"/>
      <w:r>
        <w:t xml:space="preserve">, </w:t>
      </w:r>
      <w:r w:rsidRPr="00E149F5">
        <w:rPr>
          <w:i/>
          <w:iCs/>
        </w:rPr>
        <w:t>op.</w:t>
      </w:r>
      <w:r>
        <w:rPr>
          <w:i/>
          <w:iCs/>
        </w:rPr>
        <w:t xml:space="preserve"> </w:t>
      </w:r>
      <w:r w:rsidRPr="00E149F5">
        <w:rPr>
          <w:i/>
          <w:iCs/>
        </w:rPr>
        <w:t>cit</w:t>
      </w:r>
      <w:r>
        <w:t>., §§</w:t>
      </w:r>
      <w:r w:rsidR="009150B4">
        <w:t xml:space="preserve"> </w:t>
      </w:r>
      <w:r>
        <w:t xml:space="preserve">27-28, 8 listopada 2005 r., </w:t>
      </w:r>
      <w:r>
        <w:rPr>
          <w:i/>
          <w:iCs/>
        </w:rPr>
        <w:t>Hamer</w:t>
      </w:r>
      <w:r>
        <w:t xml:space="preserve">, </w:t>
      </w:r>
      <w:r w:rsidRPr="00A87855">
        <w:rPr>
          <w:i/>
          <w:iCs/>
        </w:rPr>
        <w:t>op.</w:t>
      </w:r>
      <w:r>
        <w:rPr>
          <w:i/>
          <w:iCs/>
        </w:rPr>
        <w:t xml:space="preserve"> </w:t>
      </w:r>
      <w:proofErr w:type="spellStart"/>
      <w:r w:rsidRPr="00A87855">
        <w:rPr>
          <w:i/>
          <w:iCs/>
        </w:rPr>
        <w:t>cit</w:t>
      </w:r>
      <w:proofErr w:type="spellEnd"/>
      <w:r>
        <w:t>, §</w:t>
      </w:r>
      <w:r w:rsidR="009150B4">
        <w:t xml:space="preserve"> </w:t>
      </w:r>
      <w:r>
        <w:t xml:space="preserve">60, </w:t>
      </w:r>
      <w:proofErr w:type="spellStart"/>
      <w:r>
        <w:rPr>
          <w:i/>
          <w:iCs/>
        </w:rPr>
        <w:t>Ivanova</w:t>
      </w:r>
      <w:proofErr w:type="spellEnd"/>
      <w:r>
        <w:rPr>
          <w:i/>
          <w:iCs/>
        </w:rPr>
        <w:t xml:space="preserve"> i </w:t>
      </w:r>
      <w:proofErr w:type="spellStart"/>
      <w:r>
        <w:rPr>
          <w:i/>
          <w:iCs/>
        </w:rPr>
        <w:t>Cherkezov</w:t>
      </w:r>
      <w:proofErr w:type="spellEnd"/>
      <w:r>
        <w:t xml:space="preserve"> </w:t>
      </w:r>
      <w:r>
        <w:rPr>
          <w:i/>
          <w:iCs/>
        </w:rPr>
        <w:t>przeciwko Bułgarii</w:t>
      </w:r>
      <w:r>
        <w:t>, skarga nr 46577/15, §</w:t>
      </w:r>
      <w:r w:rsidR="009150B4">
        <w:t xml:space="preserve"> </w:t>
      </w:r>
      <w:r>
        <w:t>69, 21</w:t>
      </w:r>
      <w:r w:rsidR="009150B4">
        <w:t xml:space="preserve"> </w:t>
      </w:r>
      <w:r>
        <w:t xml:space="preserve">kwietnia 2016 r., i </w:t>
      </w:r>
      <w:proofErr w:type="spellStart"/>
      <w:r>
        <w:rPr>
          <w:i/>
          <w:iCs/>
        </w:rPr>
        <w:t>Mkhchyan</w:t>
      </w:r>
      <w:proofErr w:type="spellEnd"/>
      <w:r>
        <w:t xml:space="preserve">, </w:t>
      </w:r>
      <w:r w:rsidRPr="00E149F5">
        <w:rPr>
          <w:i/>
          <w:iCs/>
        </w:rPr>
        <w:t>op.</w:t>
      </w:r>
      <w:r w:rsidR="002F280A">
        <w:rPr>
          <w:i/>
          <w:iCs/>
        </w:rPr>
        <w:t> </w:t>
      </w:r>
      <w:r w:rsidRPr="00E149F5">
        <w:rPr>
          <w:i/>
          <w:iCs/>
        </w:rPr>
        <w:t>cit</w:t>
      </w:r>
      <w:r>
        <w:t>., §</w:t>
      </w:r>
      <w:r w:rsidR="009150B4">
        <w:t xml:space="preserve"> </w:t>
      </w:r>
      <w:r>
        <w:t>70).</w:t>
      </w:r>
    </w:p>
    <w:p w:rsidR="00AB752B" w:rsidRPr="00235747" w:rsidRDefault="00AB752B" w:rsidP="00235747">
      <w:pPr>
        <w:pStyle w:val="ECHRPara"/>
      </w:pPr>
      <w:r w:rsidRPr="00235747">
        <w:t>97</w:t>
      </w:r>
      <w:r>
        <w:t>.</w:t>
      </w:r>
      <w:r w:rsidR="009150B4">
        <w:t xml:space="preserve"> </w:t>
      </w:r>
      <w:r>
        <w:t>I wreszcie, odnośnie do legalności ingerencji, Trybunał przypomina, że poza przypadkami ewidentnie arbitralnego działania, nie ma on</w:t>
      </w:r>
      <w:r w:rsidR="002F280A">
        <w:t> </w:t>
      </w:r>
      <w:r>
        <w:t>kompetencji, by kwestionować interpretację ustawodawstwa krajowego przez sądy krajowe. W omawian</w:t>
      </w:r>
      <w:r w:rsidR="00A852C7">
        <w:t>ej sprawie</w:t>
      </w:r>
      <w:r>
        <w:t xml:space="preserve"> Trybunał nie </w:t>
      </w:r>
      <w:r w:rsidR="00A852C7">
        <w:t>znalazł</w:t>
      </w:r>
      <w:r>
        <w:t xml:space="preserve"> żadnego elementu, który pozwoliłby mu stwierdzić, że uznając domy skarżących za</w:t>
      </w:r>
      <w:r w:rsidR="002F280A">
        <w:t> </w:t>
      </w:r>
      <w:r>
        <w:t xml:space="preserve">samowolę budowlaną w rozumieniu art. 222 </w:t>
      </w:r>
      <w:r w:rsidR="00BA75CE">
        <w:t xml:space="preserve">Kodeksu </w:t>
      </w:r>
      <w:r>
        <w:t>cywilnego, sądy krajowe dokonały arbitralnej interpretacji lub arbitralnego zastosowania t</w:t>
      </w:r>
      <w:r w:rsidR="00A852C7">
        <w:t>ego przepisu</w:t>
      </w:r>
      <w:r>
        <w:t xml:space="preserve">. Trybunał uważa, że ingerencja odbyła się „na warunkach przewidzianych przez ustawę” w rozumieniu art. 1 Protokołu nr 1 </w:t>
      </w:r>
      <w:r w:rsidR="006669FA">
        <w:t>do</w:t>
      </w:r>
      <w:r w:rsidR="002F280A">
        <w:t> </w:t>
      </w:r>
      <w:r>
        <w:t>Konwencji.</w:t>
      </w:r>
    </w:p>
    <w:p w:rsidR="00AB752B" w:rsidRPr="00235747" w:rsidRDefault="00AB752B" w:rsidP="00235747">
      <w:pPr>
        <w:pStyle w:val="ECHRPara"/>
      </w:pPr>
      <w:r>
        <w:t xml:space="preserve">Pozostaje ocenić, czy ingerencja była proporcjonalna do realizowanych </w:t>
      </w:r>
      <w:r w:rsidR="00B22132">
        <w:t>uprawnio</w:t>
      </w:r>
      <w:r>
        <w:t>nych celów.</w:t>
      </w:r>
    </w:p>
    <w:p w:rsidR="00AB752B" w:rsidRPr="00235747" w:rsidRDefault="00AB752B" w:rsidP="00235747">
      <w:pPr>
        <w:pStyle w:val="ECHRHeading4"/>
      </w:pPr>
      <w:r>
        <w:t>b)</w:t>
      </w:r>
      <w:r w:rsidR="009150B4">
        <w:t xml:space="preserve"> </w:t>
      </w:r>
      <w:r>
        <w:t>Proporcjonalność ingerencji</w:t>
      </w:r>
    </w:p>
    <w:p w:rsidR="00AB752B" w:rsidRPr="00235747" w:rsidRDefault="00AB752B" w:rsidP="00235747">
      <w:pPr>
        <w:pStyle w:val="ECHRHeading5"/>
      </w:pPr>
      <w:r>
        <w:t>i.</w:t>
      </w:r>
      <w:r w:rsidR="009150B4">
        <w:t xml:space="preserve"> </w:t>
      </w:r>
      <w:r>
        <w:t>Odnośnie do wszystkich złożonych skarg</w:t>
      </w:r>
    </w:p>
    <w:p w:rsidR="00AB752B" w:rsidRPr="00235747" w:rsidRDefault="00AB752B" w:rsidP="00235747">
      <w:pPr>
        <w:pStyle w:val="ECHRPara"/>
      </w:pPr>
      <w:r w:rsidRPr="00235747">
        <w:t>98</w:t>
      </w:r>
      <w:r>
        <w:t>.</w:t>
      </w:r>
      <w:r w:rsidR="009150B4">
        <w:t xml:space="preserve"> </w:t>
      </w:r>
      <w:r>
        <w:t xml:space="preserve">Trybunał przypomina, że proporcjonalność ingerencji zakłada właściwą równowagę pomiędzy wymaganiami interesu ogólnego społeczności a wymaganiem przestrzegania fundamentalnych praw osób </w:t>
      </w:r>
      <w:r w:rsidRPr="000A381F">
        <w:t xml:space="preserve">indywidualnych. Równowaga ta zostaje naruszona, jeżeli </w:t>
      </w:r>
      <w:r w:rsidR="00A852C7" w:rsidRPr="000A381F">
        <w:t>na daną osobę nałożono „s</w:t>
      </w:r>
      <w:r w:rsidR="000A381F">
        <w:t>zczególne</w:t>
      </w:r>
      <w:r w:rsidRPr="000A381F">
        <w:t xml:space="preserve"> i</w:t>
      </w:r>
      <w:r>
        <w:t xml:space="preserve"> </w:t>
      </w:r>
      <w:r w:rsidR="00A852C7">
        <w:t>nadmierne obciążenia</w:t>
      </w:r>
      <w:r>
        <w:t>”. Trybunał przypomina też, że sprawdzenie, czy istnieje właściwa równowaga, wymaga całościowej analizy poszczególnych, wchodzących w grę interesów i może wymagać przeprowadzenia analizy zachowań stron, środków użytych przez państwo i</w:t>
      </w:r>
      <w:r w:rsidR="002F280A">
        <w:t> </w:t>
      </w:r>
      <w:r>
        <w:t>ich zastosowania, a w szczególności obowiązku władz do podejmowania działań w odpowiednim czasie, w sposób prawidłowy i</w:t>
      </w:r>
      <w:r w:rsidR="009150B4">
        <w:t xml:space="preserve"> </w:t>
      </w:r>
      <w:r>
        <w:t>spójny (</w:t>
      </w:r>
      <w:proofErr w:type="spellStart"/>
      <w:r>
        <w:rPr>
          <w:i/>
          <w:iCs/>
        </w:rPr>
        <w:t>Bidzhiyeva</w:t>
      </w:r>
      <w:proofErr w:type="spellEnd"/>
      <w:r>
        <w:t xml:space="preserve">, </w:t>
      </w:r>
      <w:r w:rsidRPr="00E149F5">
        <w:rPr>
          <w:i/>
          <w:iCs/>
        </w:rPr>
        <w:t xml:space="preserve">op. </w:t>
      </w:r>
      <w:r w:rsidRPr="001B4128">
        <w:rPr>
          <w:i/>
          <w:iCs/>
        </w:rPr>
        <w:t>c</w:t>
      </w:r>
      <w:r w:rsidRPr="00E149F5">
        <w:rPr>
          <w:i/>
          <w:iCs/>
        </w:rPr>
        <w:t>it</w:t>
      </w:r>
      <w:r>
        <w:t xml:space="preserve">., § 64, </w:t>
      </w:r>
      <w:r w:rsidR="00B8380F">
        <w:t xml:space="preserve">oraz </w:t>
      </w:r>
      <w:r w:rsidR="00465E31">
        <w:t>wymienione</w:t>
      </w:r>
      <w:r w:rsidR="00B8380F">
        <w:t xml:space="preserve"> tam od</w:t>
      </w:r>
      <w:r w:rsidR="00016C17">
        <w:t>esłania</w:t>
      </w:r>
      <w:r>
        <w:t>). W</w:t>
      </w:r>
      <w:r w:rsidR="009150B4">
        <w:t xml:space="preserve"> </w:t>
      </w:r>
      <w:r>
        <w:t>zakresie prawa w</w:t>
      </w:r>
      <w:r w:rsidR="00B8380F">
        <w:t>łasności</w:t>
      </w:r>
      <w:r>
        <w:t xml:space="preserve"> Trybunał przywiązuje szczególne znaczenie do zasady dobrego </w:t>
      </w:r>
      <w:r w:rsidR="00B8380F">
        <w:t>rządze</w:t>
      </w:r>
      <w:r>
        <w:t>nia i</w:t>
      </w:r>
      <w:r w:rsidR="002F280A">
        <w:t> </w:t>
      </w:r>
      <w:r>
        <w:t>pragnie, aby władze publiczne działały z</w:t>
      </w:r>
      <w:r w:rsidR="009150B4">
        <w:t xml:space="preserve"> </w:t>
      </w:r>
      <w:r>
        <w:t xml:space="preserve">zachowaniem najwyższej </w:t>
      </w:r>
      <w:r>
        <w:lastRenderedPageBreak/>
        <w:t>ostrożności (</w:t>
      </w:r>
      <w:r>
        <w:rPr>
          <w:i/>
          <w:iCs/>
        </w:rPr>
        <w:t>Moskal przeciwko</w:t>
      </w:r>
      <w:r w:rsidR="009150B4">
        <w:rPr>
          <w:i/>
          <w:iCs/>
        </w:rPr>
        <w:t xml:space="preserve"> </w:t>
      </w:r>
      <w:r>
        <w:rPr>
          <w:i/>
          <w:iCs/>
        </w:rPr>
        <w:t>Polsce</w:t>
      </w:r>
      <w:r>
        <w:t>, skarga nr</w:t>
      </w:r>
      <w:r w:rsidR="009150B4">
        <w:t xml:space="preserve"> </w:t>
      </w:r>
      <w:r>
        <w:t>10373/05, §</w:t>
      </w:r>
      <w:r w:rsidR="009150B4">
        <w:t xml:space="preserve"> </w:t>
      </w:r>
      <w:r>
        <w:t>72, 15</w:t>
      </w:r>
      <w:r w:rsidR="002F280A">
        <w:t> </w:t>
      </w:r>
      <w:r>
        <w:t>września 2009 r.).</w:t>
      </w:r>
    </w:p>
    <w:p w:rsidR="00AB752B" w:rsidRPr="00235747" w:rsidRDefault="00AB752B" w:rsidP="00235747">
      <w:pPr>
        <w:pStyle w:val="ECHRPara"/>
      </w:pPr>
      <w:r w:rsidRPr="00235747">
        <w:t>99</w:t>
      </w:r>
      <w:r>
        <w:t>.</w:t>
      </w:r>
      <w:r w:rsidR="009150B4">
        <w:t xml:space="preserve"> </w:t>
      </w:r>
      <w:r>
        <w:t>W omawian</w:t>
      </w:r>
      <w:r w:rsidR="00B8380F">
        <w:t>ej sprawie</w:t>
      </w:r>
      <w:r>
        <w:t xml:space="preserve">, analizując proporcjonalność ingerencji, Trybunał odnotowuje argument skarżących, wedle którego władze wpisały do jednolitego rejestru praw do nieruchomości </w:t>
      </w:r>
      <w:r w:rsidR="00B8380F">
        <w:t xml:space="preserve">ich </w:t>
      </w:r>
      <w:r>
        <w:t xml:space="preserve">prawa własności </w:t>
      </w:r>
      <w:r w:rsidR="00465E31">
        <w:t xml:space="preserve">do </w:t>
      </w:r>
      <w:r w:rsidR="00B8380F" w:rsidRPr="000A381F">
        <w:t>budynków</w:t>
      </w:r>
      <w:r w:rsidR="00B8380F">
        <w:t xml:space="preserve"> znajdujących </w:t>
      </w:r>
      <w:r>
        <w:t>się w pobliżu niebezpiecznych instalacji, nie</w:t>
      </w:r>
      <w:r w:rsidR="002F280A">
        <w:t> </w:t>
      </w:r>
      <w:r>
        <w:t>dopełniając tym samym obowiązku działania z należytą starannością. Skarżący dodają, że to uchybienie nie powinno przynosić szkody skarżącym, działającym w dobrej wierze. Trybunał przeanalizuje zatem, czy</w:t>
      </w:r>
      <w:r w:rsidR="002F280A">
        <w:t> </w:t>
      </w:r>
      <w:r>
        <w:t xml:space="preserve">władze odpowiedzialne za wpisy do rejestru powinny były odmówić skarżącym wpisania praw do nieruchomości ze względu na niebezpieczne instalacje zlokalizowane w pobliżu ich </w:t>
      </w:r>
      <w:r w:rsidR="00B8380F" w:rsidRPr="000A381F">
        <w:t>budynków</w:t>
      </w:r>
      <w:r w:rsidRPr="000A381F">
        <w:t xml:space="preserve"> lub</w:t>
      </w:r>
      <w:r>
        <w:t xml:space="preserve"> z innych powodów.</w:t>
      </w:r>
    </w:p>
    <w:p w:rsidR="00AB752B" w:rsidRPr="00235747" w:rsidRDefault="00AB752B" w:rsidP="00235747">
      <w:pPr>
        <w:pStyle w:val="ECHRPara"/>
      </w:pPr>
      <w:r w:rsidRPr="00235747">
        <w:t>100</w:t>
      </w:r>
      <w:r>
        <w:t>.</w:t>
      </w:r>
      <w:r w:rsidR="009150B4">
        <w:t xml:space="preserve"> </w:t>
      </w:r>
      <w:r>
        <w:t>Trybunał podnosi, że władze odpowiedzialne za wpisy do rejestru były właściwe do sprawdzenia autentyczności i ważności dokumentów oraz istnienia praw do nieruchomości już wpisanych do rejestru w zakresie tej</w:t>
      </w:r>
      <w:r w:rsidR="002F280A">
        <w:t> </w:t>
      </w:r>
      <w:r>
        <w:t>samej nieruchomości (</w:t>
      </w:r>
      <w:r w:rsidR="00B22132">
        <w:t>paragraf</w:t>
      </w:r>
      <w:r>
        <w:t xml:space="preserve"> </w:t>
      </w:r>
      <w:r w:rsidRPr="00EB3036">
        <w:t>50</w:t>
      </w:r>
      <w:r>
        <w:t xml:space="preserve"> powyżej), ale nie mogły dokonać takiej kontroli na miejscu.</w:t>
      </w:r>
    </w:p>
    <w:p w:rsidR="00AB752B" w:rsidRPr="00235747" w:rsidRDefault="00AB752B" w:rsidP="00235747">
      <w:pPr>
        <w:pStyle w:val="ECHRPara"/>
      </w:pPr>
      <w:r w:rsidRPr="00235747">
        <w:t>101</w:t>
      </w:r>
      <w:r>
        <w:t>.</w:t>
      </w:r>
      <w:r w:rsidR="009150B4">
        <w:t xml:space="preserve"> </w:t>
      </w:r>
      <w:r>
        <w:t>W omawian</w:t>
      </w:r>
      <w:r w:rsidR="00E31662">
        <w:t>ej sprawie</w:t>
      </w:r>
      <w:r>
        <w:t xml:space="preserve"> skarżący wpisali swoje prawa zgodnie z</w:t>
      </w:r>
      <w:r w:rsidR="002F280A">
        <w:t> </w:t>
      </w:r>
      <w:r>
        <w:t xml:space="preserve">procedurą uproszczoną: po okazaniu paszportów katastralnych danych nieruchomości (pan </w:t>
      </w:r>
      <w:proofErr w:type="spellStart"/>
      <w:r>
        <w:t>Zidow</w:t>
      </w:r>
      <w:proofErr w:type="spellEnd"/>
      <w:r>
        <w:t xml:space="preserve"> i pani </w:t>
      </w:r>
      <w:proofErr w:type="spellStart"/>
      <w:r>
        <w:t>Kastornowa</w:t>
      </w:r>
      <w:proofErr w:type="spellEnd"/>
      <w:r>
        <w:t xml:space="preserve">, państwo </w:t>
      </w:r>
      <w:proofErr w:type="spellStart"/>
      <w:r>
        <w:t>Wdowinowie</w:t>
      </w:r>
      <w:proofErr w:type="spellEnd"/>
      <w:r>
        <w:t xml:space="preserve"> dla</w:t>
      </w:r>
      <w:r w:rsidR="002F280A">
        <w:t> </w:t>
      </w:r>
      <w:r>
        <w:t xml:space="preserve">domu, który wybudowali), po okazaniu oświadczenia dotyczącego </w:t>
      </w:r>
      <w:r w:rsidR="00E31662">
        <w:t>budynku</w:t>
      </w:r>
      <w:r>
        <w:t xml:space="preserve"> (pani</w:t>
      </w:r>
      <w:r w:rsidR="009150B4">
        <w:t xml:space="preserve"> </w:t>
      </w:r>
      <w:proofErr w:type="spellStart"/>
      <w:r>
        <w:t>Kosenko</w:t>
      </w:r>
      <w:proofErr w:type="spellEnd"/>
      <w:r>
        <w:t xml:space="preserve">) i aktu sprzedaży nieruchomości (państwo </w:t>
      </w:r>
      <w:proofErr w:type="spellStart"/>
      <w:r>
        <w:t>Wdowinowie</w:t>
      </w:r>
      <w:proofErr w:type="spellEnd"/>
      <w:r>
        <w:t>). W</w:t>
      </w:r>
      <w:r w:rsidR="009150B4">
        <w:t xml:space="preserve"> </w:t>
      </w:r>
      <w:r>
        <w:t>ramach uproszczonej procedury władze odpowiedzialne za wpisy do rejestru nie mogły sprawdzić, czy budowa budynków wymagała otrzymania pozwolenia na budowę lub innych zezwoleń ani</w:t>
      </w:r>
      <w:r w:rsidR="002F280A">
        <w:t> </w:t>
      </w:r>
      <w:r>
        <w:t>czy</w:t>
      </w:r>
      <w:r w:rsidR="002F280A">
        <w:t> </w:t>
      </w:r>
      <w:r>
        <w:t>zainteresowani rzeczywiście takie zezwolenia otrzymali (por.</w:t>
      </w:r>
      <w:r w:rsidR="002F280A">
        <w:t> </w:t>
      </w:r>
      <w:r>
        <w:t>ze</w:t>
      </w:r>
      <w:r w:rsidR="002F280A">
        <w:t> </w:t>
      </w:r>
      <w:r>
        <w:t xml:space="preserve">sprawą </w:t>
      </w:r>
      <w:proofErr w:type="spellStart"/>
      <w:r>
        <w:rPr>
          <w:i/>
          <w:iCs/>
        </w:rPr>
        <w:t>Gladysheva</w:t>
      </w:r>
      <w:proofErr w:type="spellEnd"/>
      <w:r>
        <w:rPr>
          <w:i/>
          <w:iCs/>
        </w:rPr>
        <w:t xml:space="preserve"> przeciwko</w:t>
      </w:r>
      <w:r w:rsidR="009150B4">
        <w:rPr>
          <w:i/>
          <w:iCs/>
        </w:rPr>
        <w:t xml:space="preserve"> </w:t>
      </w:r>
      <w:r>
        <w:rPr>
          <w:i/>
          <w:iCs/>
        </w:rPr>
        <w:t>Rosji</w:t>
      </w:r>
      <w:r>
        <w:t xml:space="preserve"> (skarga nr</w:t>
      </w:r>
      <w:r w:rsidR="009150B4">
        <w:t xml:space="preserve"> </w:t>
      </w:r>
      <w:r>
        <w:t>7097/10, §§ 78-79, 16 grudnia 2011 r.), w</w:t>
      </w:r>
      <w:r w:rsidR="009150B4">
        <w:t xml:space="preserve"> </w:t>
      </w:r>
      <w:r>
        <w:t>której władze nie podjęły podstawowych działań w</w:t>
      </w:r>
      <w:r w:rsidR="002F280A">
        <w:t> </w:t>
      </w:r>
      <w:r>
        <w:t xml:space="preserve">celu ujawnienia sfałszowania dokumentów, a także ze sprawą </w:t>
      </w:r>
      <w:r>
        <w:rPr>
          <w:i/>
          <w:iCs/>
        </w:rPr>
        <w:t xml:space="preserve">Anna </w:t>
      </w:r>
      <w:proofErr w:type="spellStart"/>
      <w:r>
        <w:rPr>
          <w:i/>
          <w:iCs/>
        </w:rPr>
        <w:t>Popova</w:t>
      </w:r>
      <w:proofErr w:type="spellEnd"/>
      <w:r>
        <w:rPr>
          <w:i/>
          <w:iCs/>
        </w:rPr>
        <w:t xml:space="preserve"> przeciwko Rosji</w:t>
      </w:r>
      <w:r>
        <w:t xml:space="preserve"> (skarga nr 59391/12, §§</w:t>
      </w:r>
      <w:r w:rsidR="009150B4">
        <w:t xml:space="preserve"> </w:t>
      </w:r>
      <w:r>
        <w:t>10-12 i 35, 4 października 2016 r.), w której mieszkanie objęte postępowaniem przygotowawczym w</w:t>
      </w:r>
      <w:r w:rsidR="002F280A">
        <w:t> </w:t>
      </w:r>
      <w:r>
        <w:t>sprawach karnych było wielokrotnie odsprzedawane, a prawo własności za każdym razem wpisywane, mimo że prokurator wyraźnie zażądał, aby</w:t>
      </w:r>
      <w:r w:rsidR="002F280A">
        <w:t> </w:t>
      </w:r>
      <w:r>
        <w:t>władze odpowiedzialne za wpisy do rejestru odrzucały wnioski o takie wpisy).</w:t>
      </w:r>
    </w:p>
    <w:p w:rsidR="00AB752B" w:rsidRPr="00235747" w:rsidRDefault="00AB752B" w:rsidP="00235747">
      <w:pPr>
        <w:pStyle w:val="ECHRPara"/>
      </w:pPr>
      <w:r w:rsidRPr="00235747">
        <w:t>102</w:t>
      </w:r>
      <w:r>
        <w:t>.</w:t>
      </w:r>
      <w:r w:rsidR="009150B4">
        <w:t xml:space="preserve"> </w:t>
      </w:r>
      <w:r>
        <w:t>Odnośnie do ciążącego na wspomnianych władzach obowiązku sprawdzenia, czy</w:t>
      </w:r>
      <w:r w:rsidR="00016C17">
        <w:t xml:space="preserve"> do</w:t>
      </w:r>
      <w:r>
        <w:t xml:space="preserve"> </w:t>
      </w:r>
      <w:r w:rsidR="00E31662">
        <w:t xml:space="preserve">działek skarżących mają zastosowania </w:t>
      </w:r>
      <w:r>
        <w:t>ograniczenia ze</w:t>
      </w:r>
      <w:r w:rsidR="002F280A">
        <w:t> </w:t>
      </w:r>
      <w:r>
        <w:t>względu na istnienie stref chronionych lub stref wymagających zachowania minimalnej odległości, Trybunał stwierdza, że strefy chronione faktycznie powinny były być objęte wpisem do jednolitego rejestru, a</w:t>
      </w:r>
      <w:r w:rsidR="002F280A">
        <w:t> </w:t>
      </w:r>
      <w:r>
        <w:t>następnie do katastru (</w:t>
      </w:r>
      <w:r w:rsidR="00B22132">
        <w:t>paragraf</w:t>
      </w:r>
      <w:r>
        <w:t xml:space="preserve"> </w:t>
      </w:r>
      <w:r w:rsidRPr="00EB3036">
        <w:t>53</w:t>
      </w:r>
      <w:r>
        <w:t xml:space="preserve"> powyżej), pomimo tego, co twierdzi Rząd (</w:t>
      </w:r>
      <w:r w:rsidR="00B22132">
        <w:t>paragraf</w:t>
      </w:r>
      <w:r>
        <w:t xml:space="preserve"> </w:t>
      </w:r>
      <w:r w:rsidRPr="00EB3036">
        <w:t>87</w:t>
      </w:r>
      <w:r>
        <w:t xml:space="preserve"> powyżej). W</w:t>
      </w:r>
      <w:r w:rsidR="009150B4">
        <w:t xml:space="preserve"> </w:t>
      </w:r>
      <w:r>
        <w:t>omawian</w:t>
      </w:r>
      <w:r w:rsidR="00E31662">
        <w:t>ej sprawie</w:t>
      </w:r>
      <w:r>
        <w:t xml:space="preserve">, nieruchomości pana </w:t>
      </w:r>
      <w:proofErr w:type="spellStart"/>
      <w:r>
        <w:t>Zidowa</w:t>
      </w:r>
      <w:proofErr w:type="spellEnd"/>
      <w:r>
        <w:t xml:space="preserve"> i pani </w:t>
      </w:r>
      <w:proofErr w:type="spellStart"/>
      <w:r>
        <w:t>Kosenko</w:t>
      </w:r>
      <w:proofErr w:type="spellEnd"/>
      <w:r>
        <w:t xml:space="preserve"> (skargi nr 54490/10 i 31636/14) były zlokalizowane częściowo w</w:t>
      </w:r>
      <w:r w:rsidR="009150B4">
        <w:t xml:space="preserve"> </w:t>
      </w:r>
      <w:r>
        <w:t xml:space="preserve">tych strefach chronionych, ale spółki będące operatorami </w:t>
      </w:r>
      <w:r>
        <w:lastRenderedPageBreak/>
        <w:t>nie</w:t>
      </w:r>
      <w:r w:rsidR="002F280A">
        <w:t> </w:t>
      </w:r>
      <w:r w:rsidR="00E31662">
        <w:t xml:space="preserve">zarejestrowały ograniczeń dotyczących </w:t>
      </w:r>
      <w:r>
        <w:t xml:space="preserve">działki pana </w:t>
      </w:r>
      <w:proofErr w:type="spellStart"/>
      <w:r>
        <w:t>Zidowa</w:t>
      </w:r>
      <w:proofErr w:type="spellEnd"/>
      <w:r>
        <w:t xml:space="preserve"> ze względu na istnienie stref chronionych. Ponadto dokonały ich wpisu dopiero po</w:t>
      </w:r>
      <w:r w:rsidR="002F280A">
        <w:t> </w:t>
      </w:r>
      <w:r>
        <w:t xml:space="preserve">wpisaniu prawa własności pani </w:t>
      </w:r>
      <w:proofErr w:type="spellStart"/>
      <w:r>
        <w:t>Kosenko</w:t>
      </w:r>
      <w:proofErr w:type="spellEnd"/>
      <w:r>
        <w:t xml:space="preserve"> (porównaj </w:t>
      </w:r>
      <w:r w:rsidR="00B22132">
        <w:t>paragrafy</w:t>
      </w:r>
      <w:r>
        <w:t xml:space="preserve"> </w:t>
      </w:r>
      <w:r w:rsidRPr="00EB3036">
        <w:t>40</w:t>
      </w:r>
      <w:r>
        <w:t xml:space="preserve"> i </w:t>
      </w:r>
      <w:r w:rsidRPr="00EB3036">
        <w:t>43</w:t>
      </w:r>
      <w:r>
        <w:t xml:space="preserve"> powyżej). Odnośnie do minimalnych odległości pomiędzy gazociągiem a</w:t>
      </w:r>
      <w:r w:rsidR="002F280A">
        <w:t> </w:t>
      </w:r>
      <w:r>
        <w:t xml:space="preserve">zabudowaniami, czyli odległości, w jakich znajdowały się </w:t>
      </w:r>
      <w:r w:rsidR="007336DF">
        <w:t>budynki</w:t>
      </w:r>
      <w:r>
        <w:t xml:space="preserve"> pani </w:t>
      </w:r>
      <w:proofErr w:type="spellStart"/>
      <w:r>
        <w:t>Kastornowej</w:t>
      </w:r>
      <w:proofErr w:type="spellEnd"/>
      <w:r>
        <w:t xml:space="preserve"> i</w:t>
      </w:r>
      <w:r w:rsidR="009150B4">
        <w:t xml:space="preserve"> </w:t>
      </w:r>
      <w:r>
        <w:t>państwa</w:t>
      </w:r>
      <w:r w:rsidR="009150B4">
        <w:t xml:space="preserve"> </w:t>
      </w:r>
      <w:r>
        <w:t>Wdowinów (skargi nr 1153/14 i 2680/14), to</w:t>
      </w:r>
      <w:r w:rsidR="002F280A">
        <w:t> </w:t>
      </w:r>
      <w:r>
        <w:t>nie</w:t>
      </w:r>
      <w:r w:rsidR="002F280A">
        <w:t> </w:t>
      </w:r>
      <w:r>
        <w:t>były one przedmiotem żadnego oficjalnego wpisu.</w:t>
      </w:r>
    </w:p>
    <w:p w:rsidR="00AB752B" w:rsidRPr="00235747" w:rsidRDefault="00AB752B" w:rsidP="00235747">
      <w:pPr>
        <w:pStyle w:val="ECHRPara"/>
      </w:pPr>
      <w:r w:rsidRPr="00235747">
        <w:t>103</w:t>
      </w:r>
      <w:r>
        <w:t>.</w:t>
      </w:r>
      <w:r w:rsidR="009150B4">
        <w:t xml:space="preserve"> </w:t>
      </w:r>
      <w:r>
        <w:t xml:space="preserve">W tych okolicznościach Trybunał uważa, że władze odpowiedzialne za wpisy do rejestru nie mogły sprawdzić, czy działki skarżących lub ich </w:t>
      </w:r>
      <w:r w:rsidR="007336DF">
        <w:t>budynk</w:t>
      </w:r>
      <w:r>
        <w:t>i zlokalizowane są w strefach chronionych lub w strefach objętych obowiązkiem zachowania minimalnych odległości między gazociągami a</w:t>
      </w:r>
      <w:r w:rsidR="002F280A">
        <w:t> </w:t>
      </w:r>
      <w:r>
        <w:t>zabudowaniami, i w związku z tym odmówić wpisu prawa własności zainteresowanych do rejestru. W związku z tym Trybunał jest zdania, że</w:t>
      </w:r>
      <w:r w:rsidR="002F280A">
        <w:t> </w:t>
      </w:r>
      <w:r>
        <w:t>wpisanie prawa własności skarżących samo w sobie nie stanowi uchybienia przez władze obowiązku reagowania we właściwym czasie i</w:t>
      </w:r>
      <w:r w:rsidR="002F280A">
        <w:t> </w:t>
      </w:r>
      <w:r>
        <w:t>w</w:t>
      </w:r>
      <w:r w:rsidR="002F280A">
        <w:t> </w:t>
      </w:r>
      <w:r>
        <w:t xml:space="preserve">sposób spójny. Trybunał przeanalizuje </w:t>
      </w:r>
      <w:r w:rsidR="007336DF">
        <w:t>zatem</w:t>
      </w:r>
      <w:r>
        <w:t xml:space="preserve"> inne istotne okoliczności, aby ocenić proporcjonalność ingerencji.</w:t>
      </w:r>
    </w:p>
    <w:p w:rsidR="00AB752B" w:rsidRPr="00235747" w:rsidRDefault="00AB752B" w:rsidP="00235747">
      <w:pPr>
        <w:pStyle w:val="ECHRHeading5"/>
      </w:pPr>
      <w:r>
        <w:t>ii.</w:t>
      </w:r>
      <w:r w:rsidR="009150B4">
        <w:t xml:space="preserve"> </w:t>
      </w:r>
      <w:r>
        <w:t xml:space="preserve">Odnośnie do pana </w:t>
      </w:r>
      <w:proofErr w:type="spellStart"/>
      <w:r>
        <w:t>Zidowa</w:t>
      </w:r>
      <w:proofErr w:type="spellEnd"/>
      <w:r>
        <w:t xml:space="preserve"> (skarga nr 54490/10)</w:t>
      </w:r>
    </w:p>
    <w:p w:rsidR="00AB752B" w:rsidRPr="00235747" w:rsidRDefault="00AB752B" w:rsidP="00235747">
      <w:pPr>
        <w:pStyle w:val="ECHRPara"/>
      </w:pPr>
      <w:r w:rsidRPr="00235747">
        <w:t>104</w:t>
      </w:r>
      <w:r>
        <w:t>.</w:t>
      </w:r>
      <w:r w:rsidR="009150B4">
        <w:t xml:space="preserve"> </w:t>
      </w:r>
      <w:r>
        <w:t>Trybunał zauważa, że skarżący rozpoczął budowę domu bez</w:t>
      </w:r>
      <w:r w:rsidR="002F280A">
        <w:t> </w:t>
      </w:r>
      <w:r>
        <w:t xml:space="preserve">wystąpienia o wydanie wymaganych zezwoleń (patrz 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contrario</w:t>
      </w:r>
      <w:proofErr w:type="spellEnd"/>
      <w:r>
        <w:t xml:space="preserve">, </w:t>
      </w:r>
      <w:r>
        <w:rPr>
          <w:i/>
          <w:iCs/>
        </w:rPr>
        <w:t>N.A. i</w:t>
      </w:r>
      <w:r w:rsidR="002F280A">
        <w:rPr>
          <w:i/>
          <w:iCs/>
        </w:rPr>
        <w:t> </w:t>
      </w:r>
      <w:r>
        <w:rPr>
          <w:i/>
          <w:iCs/>
        </w:rPr>
        <w:t>Inni przeciwko Turcji</w:t>
      </w:r>
      <w:r>
        <w:t xml:space="preserve">, skarga nr 37451/97, </w:t>
      </w:r>
      <w:r w:rsidR="003769DE">
        <w:t>ETPC</w:t>
      </w:r>
      <w:r>
        <w:t xml:space="preserve"> 2005</w:t>
      </w:r>
      <w:r>
        <w:noBreakHyphen/>
        <w:t>X) i nie dokonując pomiaru swojej działki, a także że w 1993 r., przed zakończeniem robót, dowiedział się, że prowadzi prace budowlane na innej działce niż ta, która została mu przyznana, i że jego niedokończony dom znajduje się w</w:t>
      </w:r>
      <w:r w:rsidR="002F280A">
        <w:t> </w:t>
      </w:r>
      <w:r>
        <w:t>bezpośrednim sąsiedztwie gazociągu, którego obecność była już w tym czasie oznaczona. Trybunał zauważa, że skarżący, poproszony przez władze o wstrzymanie budowy i otrzymawszy odmowę władz w</w:t>
      </w:r>
      <w:r w:rsidR="009150B4">
        <w:t xml:space="preserve"> </w:t>
      </w:r>
      <w:r>
        <w:t>sprawie podłączenia domu do sieci wodnej, elektrycznej i gazowej, kontynuował mimo wszystko na własne ryzyko prace budowlane, po czym, w 1994 r. wprowadził się do wybudowanego domu.</w:t>
      </w:r>
    </w:p>
    <w:p w:rsidR="00AB752B" w:rsidRPr="00B22132" w:rsidRDefault="00AB752B" w:rsidP="00235747">
      <w:pPr>
        <w:pStyle w:val="ECHRPara"/>
      </w:pPr>
      <w:r w:rsidRPr="00235747">
        <w:t>105</w:t>
      </w:r>
      <w:r>
        <w:t>.</w:t>
      </w:r>
      <w:r w:rsidR="009150B4">
        <w:t xml:space="preserve"> </w:t>
      </w:r>
      <w:r>
        <w:t xml:space="preserve">Zdaniem Trybunału dom ten miał wszelkie cechy samowoli budowlanej w rozumieniu art. 222 </w:t>
      </w:r>
      <w:r w:rsidR="00BA75CE">
        <w:t xml:space="preserve">Kodeksu </w:t>
      </w:r>
      <w:r>
        <w:t>cywilnego, w szczególności: budowa na terenie nieprzeznaczonym do tego celu, bez wymaganych zezwoleń i z rażącym pogwałceniem norm urbanistycznych i budowlanych (</w:t>
      </w:r>
      <w:r w:rsidR="00B22132">
        <w:t>paragrafy</w:t>
      </w:r>
      <w:r>
        <w:t xml:space="preserve"> </w:t>
      </w:r>
      <w:r w:rsidRPr="00B22132">
        <w:t xml:space="preserve">8 i </w:t>
      </w:r>
      <w:r w:rsidRPr="00B22132">
        <w:rPr>
          <w:noProof/>
        </w:rPr>
        <w:t>15</w:t>
      </w:r>
      <w:r w:rsidRPr="00B22132">
        <w:t xml:space="preserve"> powyżej) (</w:t>
      </w:r>
      <w:proofErr w:type="spellStart"/>
      <w:r w:rsidRPr="00B22132">
        <w:rPr>
          <w:i/>
          <w:iCs/>
        </w:rPr>
        <w:t>Saliba</w:t>
      </w:r>
      <w:proofErr w:type="spellEnd"/>
      <w:r w:rsidRPr="00B22132">
        <w:t xml:space="preserve">, </w:t>
      </w:r>
      <w:r w:rsidRPr="00B22132">
        <w:rPr>
          <w:i/>
          <w:iCs/>
        </w:rPr>
        <w:t>op. cit.,</w:t>
      </w:r>
      <w:r w:rsidRPr="00B22132">
        <w:t xml:space="preserve"> §</w:t>
      </w:r>
      <w:r w:rsidR="009150B4">
        <w:t xml:space="preserve"> </w:t>
      </w:r>
      <w:r w:rsidRPr="00B22132">
        <w:t xml:space="preserve">46, i </w:t>
      </w:r>
      <w:proofErr w:type="spellStart"/>
      <w:r w:rsidRPr="00B22132">
        <w:rPr>
          <w:i/>
          <w:iCs/>
        </w:rPr>
        <w:t>Ivanova</w:t>
      </w:r>
      <w:proofErr w:type="spellEnd"/>
      <w:r w:rsidRPr="00B22132">
        <w:rPr>
          <w:i/>
          <w:iCs/>
        </w:rPr>
        <w:t xml:space="preserve"> i</w:t>
      </w:r>
      <w:r w:rsidR="009150B4">
        <w:rPr>
          <w:i/>
          <w:iCs/>
        </w:rPr>
        <w:t xml:space="preserve"> </w:t>
      </w:r>
      <w:proofErr w:type="spellStart"/>
      <w:r w:rsidRPr="00B22132">
        <w:rPr>
          <w:i/>
          <w:iCs/>
        </w:rPr>
        <w:t>Cherkezov</w:t>
      </w:r>
      <w:proofErr w:type="spellEnd"/>
      <w:r w:rsidRPr="00B22132">
        <w:t xml:space="preserve">, </w:t>
      </w:r>
      <w:r w:rsidRPr="00B22132">
        <w:rPr>
          <w:i/>
          <w:iCs/>
        </w:rPr>
        <w:t>op.</w:t>
      </w:r>
      <w:r w:rsidR="002F280A">
        <w:rPr>
          <w:i/>
          <w:iCs/>
        </w:rPr>
        <w:t> </w:t>
      </w:r>
      <w:r w:rsidRPr="00B22132">
        <w:rPr>
          <w:i/>
          <w:iCs/>
        </w:rPr>
        <w:t>cit.</w:t>
      </w:r>
      <w:r w:rsidRPr="00B22132">
        <w:t>, §</w:t>
      </w:r>
      <w:r w:rsidR="009150B4">
        <w:t xml:space="preserve"> </w:t>
      </w:r>
      <w:r w:rsidRPr="00B22132">
        <w:t>75).</w:t>
      </w:r>
    </w:p>
    <w:p w:rsidR="00AB752B" w:rsidRPr="00235747" w:rsidRDefault="00AB752B" w:rsidP="00235747">
      <w:pPr>
        <w:pStyle w:val="ECHRPara"/>
      </w:pPr>
      <w:r w:rsidRPr="00235747">
        <w:t>106</w:t>
      </w:r>
      <w:r>
        <w:t>.</w:t>
      </w:r>
      <w:r w:rsidR="009150B4">
        <w:t xml:space="preserve"> </w:t>
      </w:r>
      <w:r>
        <w:t>Oczywiście upłynęło dużo czasu, zanim władze zareagowały i</w:t>
      </w:r>
      <w:r w:rsidR="002F280A">
        <w:t> </w:t>
      </w:r>
      <w:r>
        <w:t>zanim spółka będąca operatorem gazociągu wystąpiła do sądu z</w:t>
      </w:r>
      <w:r w:rsidR="002F280A">
        <w:t> </w:t>
      </w:r>
      <w:r>
        <w:t>powództwem przeciwko skarżącemu. Trybunał przyznaje tym samym, że</w:t>
      </w:r>
      <w:r w:rsidR="002F280A">
        <w:t> </w:t>
      </w:r>
      <w:r>
        <w:t xml:space="preserve">władze, które wiedziały o sytuacji, przyczyniły się do utrwalenia sytuacji szkodliwej dla bezpieczeństwa i zdrowia publicznego. Jednak Trybunał jest zdania, że taka tolerancja ze strony władz nie mogła wywołać u skarżącego poczucia, że nie grożą mu powództwa. Rzeczywiście bowiem, z jednej </w:t>
      </w:r>
      <w:r>
        <w:lastRenderedPageBreak/>
        <w:t>strony jego budowa nie podlegała legalizacji w rozumieniu art.</w:t>
      </w:r>
      <w:r w:rsidR="009150B4">
        <w:t xml:space="preserve"> </w:t>
      </w:r>
      <w:r>
        <w:t xml:space="preserve">222 </w:t>
      </w:r>
      <w:r w:rsidR="00B22132">
        <w:t xml:space="preserve">par. 3 Kodeksu </w:t>
      </w:r>
      <w:r>
        <w:t>cywilnego (</w:t>
      </w:r>
      <w:r w:rsidR="00B22132">
        <w:t>paragraf</w:t>
      </w:r>
      <w:r>
        <w:t xml:space="preserve"> </w:t>
      </w:r>
      <w:r w:rsidRPr="00EB3036">
        <w:rPr>
          <w:noProof/>
        </w:rPr>
        <w:t>54</w:t>
      </w:r>
      <w:r>
        <w:t xml:space="preserve"> powyżej), a gdyby nawet skarżący twierdził coś przeciwnego, to nigdy nie wystąpił do sądu o taką legalizację, natomiast z</w:t>
      </w:r>
      <w:r w:rsidR="009150B4">
        <w:t xml:space="preserve"> </w:t>
      </w:r>
      <w:r>
        <w:t>drugiej strony nie istniał żaden termin przedawnienia</w:t>
      </w:r>
      <w:r w:rsidR="004F717F">
        <w:t>, z</w:t>
      </w:r>
      <w:r w:rsidR="002F280A">
        <w:t> </w:t>
      </w:r>
      <w:r w:rsidR="004F717F">
        <w:t>upływem którego wyłączona byłaby</w:t>
      </w:r>
      <w:r>
        <w:t xml:space="preserve"> </w:t>
      </w:r>
      <w:r w:rsidR="004F717F">
        <w:t>możliwość</w:t>
      </w:r>
      <w:r w:rsidR="00937E09">
        <w:t xml:space="preserve"> wystąpienia</w:t>
      </w:r>
      <w:r>
        <w:t xml:space="preserve"> do sądu z</w:t>
      </w:r>
      <w:r w:rsidR="002F280A">
        <w:t> </w:t>
      </w:r>
      <w:r>
        <w:t>powództwem przeciwko tego typu budowlom (</w:t>
      </w:r>
      <w:r w:rsidR="00B22132">
        <w:t>paragraf</w:t>
      </w:r>
      <w:r>
        <w:t xml:space="preserve"> </w:t>
      </w:r>
      <w:r w:rsidRPr="00EB3036">
        <w:rPr>
          <w:noProof/>
        </w:rPr>
        <w:t>55</w:t>
      </w:r>
      <w:r>
        <w:t xml:space="preserve"> powyżej) (patrz także </w:t>
      </w:r>
      <w:r>
        <w:rPr>
          <w:i/>
          <w:iCs/>
        </w:rPr>
        <w:t>Hamer</w:t>
      </w:r>
      <w:r>
        <w:t xml:space="preserve">, </w:t>
      </w:r>
      <w:r w:rsidRPr="00A87855">
        <w:rPr>
          <w:i/>
          <w:iCs/>
        </w:rPr>
        <w:t>op. cit.</w:t>
      </w:r>
      <w:r>
        <w:t>, §</w:t>
      </w:r>
      <w:r w:rsidR="009150B4">
        <w:t xml:space="preserve"> </w:t>
      </w:r>
      <w:r>
        <w:t>85).</w:t>
      </w:r>
    </w:p>
    <w:p w:rsidR="00AB752B" w:rsidRPr="00235747" w:rsidRDefault="00AB752B" w:rsidP="00235747">
      <w:pPr>
        <w:pStyle w:val="ECHRPara"/>
      </w:pPr>
      <w:r w:rsidRPr="00235747">
        <w:t>107</w:t>
      </w:r>
      <w:r>
        <w:t>.</w:t>
      </w:r>
      <w:r w:rsidR="009150B4">
        <w:t xml:space="preserve"> </w:t>
      </w:r>
      <w:r>
        <w:t xml:space="preserve">Wszystkie te elementy prowadzą Trybunał do wniosku, że skarżący nie </w:t>
      </w:r>
      <w:r w:rsidR="00937E09">
        <w:t xml:space="preserve">doznał </w:t>
      </w:r>
      <w:r>
        <w:t xml:space="preserve">nieproporcjonalnej </w:t>
      </w:r>
      <w:r w:rsidR="00937E09">
        <w:t>ingerencji w swoje prawo</w:t>
      </w:r>
      <w:r>
        <w:t xml:space="preserve"> własności.</w:t>
      </w:r>
    </w:p>
    <w:p w:rsidR="00AB752B" w:rsidRPr="00235747" w:rsidRDefault="00AB752B" w:rsidP="00235747">
      <w:pPr>
        <w:pStyle w:val="ECHRPara"/>
      </w:pPr>
      <w:r>
        <w:t xml:space="preserve">W związku z tym nie doszło do naruszenia art. 1 Protokołu nr 1 </w:t>
      </w:r>
      <w:r w:rsidR="006669FA">
        <w:t>do</w:t>
      </w:r>
      <w:r w:rsidR="002F280A">
        <w:t> </w:t>
      </w:r>
      <w:r>
        <w:t>Konwencji.</w:t>
      </w:r>
    </w:p>
    <w:p w:rsidR="00AB752B" w:rsidRPr="00235747" w:rsidRDefault="00AB752B" w:rsidP="00235747">
      <w:pPr>
        <w:pStyle w:val="ECHRHeading5"/>
      </w:pPr>
      <w:r>
        <w:t>iii.</w:t>
      </w:r>
      <w:r w:rsidR="009150B4">
        <w:t xml:space="preserve"> </w:t>
      </w:r>
      <w:r>
        <w:t xml:space="preserve">Odnośnie do pani </w:t>
      </w:r>
      <w:proofErr w:type="spellStart"/>
      <w:r>
        <w:t>Kastornowej</w:t>
      </w:r>
      <w:proofErr w:type="spellEnd"/>
      <w:r>
        <w:t xml:space="preserve"> i państwa Wdowinów (skargi nr</w:t>
      </w:r>
      <w:r w:rsidR="009150B4">
        <w:t xml:space="preserve"> </w:t>
      </w:r>
      <w:r>
        <w:t>1153/14 i</w:t>
      </w:r>
      <w:r w:rsidR="009150B4">
        <w:t xml:space="preserve"> </w:t>
      </w:r>
      <w:r>
        <w:t>2680/14)</w:t>
      </w:r>
    </w:p>
    <w:p w:rsidR="00AB752B" w:rsidRPr="00235747" w:rsidRDefault="00AB752B" w:rsidP="00235747">
      <w:pPr>
        <w:pStyle w:val="ECHRPara"/>
      </w:pPr>
      <w:r w:rsidRPr="00235747">
        <w:t>108</w:t>
      </w:r>
      <w:r>
        <w:t>.</w:t>
      </w:r>
      <w:r w:rsidR="009150B4">
        <w:t xml:space="preserve"> </w:t>
      </w:r>
      <w:r>
        <w:t>Trybunał zauważa, że władze wydały działki budowlane poprzednim właścicielom w 1994 r. i w 1999 r., że w 2002 r. obecność gazociągu została ujawniona w planie katastralnym obszaru, ale</w:t>
      </w:r>
      <w:r w:rsidR="002F280A">
        <w:t> </w:t>
      </w:r>
      <w:r>
        <w:t>że</w:t>
      </w:r>
      <w:r w:rsidR="002F280A">
        <w:t> </w:t>
      </w:r>
      <w:r>
        <w:t>w</w:t>
      </w:r>
      <w:r w:rsidR="002F280A">
        <w:t> </w:t>
      </w:r>
      <w:r>
        <w:t>2003</w:t>
      </w:r>
      <w:r w:rsidR="002F280A">
        <w:t> </w:t>
      </w:r>
      <w:r>
        <w:t>r. władze wydały jednak poprzednim właścicielom pozwolenia na budowę.</w:t>
      </w:r>
    </w:p>
    <w:p w:rsidR="00AB752B" w:rsidRPr="00235747" w:rsidRDefault="00AB752B" w:rsidP="00235747">
      <w:pPr>
        <w:pStyle w:val="ECHRPara"/>
      </w:pPr>
      <w:r w:rsidRPr="00235747">
        <w:t>109</w:t>
      </w:r>
      <w:r>
        <w:t>.</w:t>
      </w:r>
      <w:r w:rsidR="009150B4">
        <w:t xml:space="preserve"> </w:t>
      </w:r>
      <w:r>
        <w:t>Ponadto Trybunał stwierdza, że w przypad</w:t>
      </w:r>
      <w:r w:rsidR="00C50E35">
        <w:t>ku pani Z. (byłej</w:t>
      </w:r>
      <w:r w:rsidR="002F280A">
        <w:t> </w:t>
      </w:r>
      <w:r w:rsidR="00C50E35">
        <w:t>właścicielki)</w:t>
      </w:r>
      <w:r>
        <w:t xml:space="preserve"> w 2004 r. władze sporządziły również protokół odbioru po zakończeniu budowy jej domu. Podnosi także, że później, w 2005 r., państwo </w:t>
      </w:r>
      <w:proofErr w:type="spellStart"/>
      <w:r>
        <w:t>Wdowinowie</w:t>
      </w:r>
      <w:proofErr w:type="spellEnd"/>
      <w:r>
        <w:t xml:space="preserve"> wybudowali inny dom na tej samej działce przeznaczonej na cele budowlane.</w:t>
      </w:r>
    </w:p>
    <w:p w:rsidR="00AB752B" w:rsidRPr="00235747" w:rsidRDefault="00AB752B" w:rsidP="00235747">
      <w:pPr>
        <w:pStyle w:val="ECHRPara"/>
      </w:pPr>
      <w:r w:rsidRPr="00235747">
        <w:t>110</w:t>
      </w:r>
      <w:r>
        <w:t>.</w:t>
      </w:r>
      <w:r w:rsidR="009150B4">
        <w:t xml:space="preserve"> </w:t>
      </w:r>
      <w:r>
        <w:t>Uwzględniając powyższe pozwolenia i zgody, Trybunał uważa, że</w:t>
      </w:r>
      <w:r w:rsidR="002F280A">
        <w:t> </w:t>
      </w:r>
      <w:r>
        <w:t>w</w:t>
      </w:r>
      <w:r w:rsidR="009150B4">
        <w:t xml:space="preserve"> </w:t>
      </w:r>
      <w:r>
        <w:t>przeciwieństwie do spraw, na które powołuje się Rząd, skarżący mogli w</w:t>
      </w:r>
      <w:r w:rsidR="009150B4">
        <w:t xml:space="preserve"> </w:t>
      </w:r>
      <w:r>
        <w:t xml:space="preserve">sposób </w:t>
      </w:r>
      <w:r w:rsidR="00B22132">
        <w:t>uprawniony</w:t>
      </w:r>
      <w:r>
        <w:t xml:space="preserve"> uważać, że ich sytuacja prawna jest bezpieczna pod</w:t>
      </w:r>
      <w:r w:rsidR="002F280A">
        <w:t> </w:t>
      </w:r>
      <w:r>
        <w:t>względem legalności budowy nieruchomości (patrz podo</w:t>
      </w:r>
      <w:r w:rsidR="00F1276C">
        <w:t>b</w:t>
      </w:r>
      <w:r>
        <w:t xml:space="preserve">nie, </w:t>
      </w:r>
      <w:r>
        <w:rPr>
          <w:i/>
          <w:iCs/>
        </w:rPr>
        <w:t>N.A.</w:t>
      </w:r>
      <w:r w:rsidR="002F280A">
        <w:rPr>
          <w:i/>
          <w:iCs/>
        </w:rPr>
        <w:t> </w:t>
      </w:r>
      <w:r>
        <w:rPr>
          <w:i/>
          <w:iCs/>
        </w:rPr>
        <w:t>i</w:t>
      </w:r>
      <w:r w:rsidR="002F280A">
        <w:rPr>
          <w:i/>
          <w:iCs/>
        </w:rPr>
        <w:t> </w:t>
      </w:r>
      <w:r>
        <w:rPr>
          <w:i/>
          <w:iCs/>
        </w:rPr>
        <w:t>Inni przeciwko Turcji</w:t>
      </w:r>
      <w:r>
        <w:t xml:space="preserve">, </w:t>
      </w:r>
      <w:r w:rsidRPr="00A87855">
        <w:rPr>
          <w:i/>
          <w:iCs/>
        </w:rPr>
        <w:t>op. c</w:t>
      </w:r>
      <w:r>
        <w:rPr>
          <w:i/>
          <w:iCs/>
        </w:rPr>
        <w:t>it.</w:t>
      </w:r>
      <w:r>
        <w:t>, § 36). Skarżący zostali zobowiązani do</w:t>
      </w:r>
      <w:r w:rsidR="002F280A">
        <w:t> </w:t>
      </w:r>
      <w:r>
        <w:t xml:space="preserve">rozbiórki swoich domów z powodu zaniedbania władz (patrz, </w:t>
      </w:r>
      <w:proofErr w:type="spellStart"/>
      <w:r>
        <w:rPr>
          <w:i/>
          <w:iCs/>
        </w:rPr>
        <w:t>mutatis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mutandis</w:t>
      </w:r>
      <w:proofErr w:type="spellEnd"/>
      <w:r>
        <w:t xml:space="preserve">, </w:t>
      </w:r>
      <w:r>
        <w:rPr>
          <w:i/>
          <w:iCs/>
        </w:rPr>
        <w:t>Moskal</w:t>
      </w:r>
      <w:r>
        <w:t xml:space="preserve">, </w:t>
      </w:r>
      <w:r w:rsidRPr="00A87855">
        <w:rPr>
          <w:i/>
          <w:iCs/>
        </w:rPr>
        <w:t>op. c</w:t>
      </w:r>
      <w:r>
        <w:rPr>
          <w:i/>
          <w:iCs/>
        </w:rPr>
        <w:t>it.</w:t>
      </w:r>
      <w:r>
        <w:t xml:space="preserve">, §§ 73 </w:t>
      </w:r>
      <w:proofErr w:type="spellStart"/>
      <w:r>
        <w:rPr>
          <w:i/>
          <w:iCs/>
        </w:rPr>
        <w:t>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fine</w:t>
      </w:r>
      <w:proofErr w:type="spellEnd"/>
      <w:r>
        <w:rPr>
          <w:i/>
          <w:iCs/>
        </w:rPr>
        <w:t xml:space="preserve"> </w:t>
      </w:r>
      <w:r>
        <w:t>i 74), a ich dobra wiara i brak odpowiedzialności nie mogły mieć żadnego znaczenia w</w:t>
      </w:r>
      <w:r w:rsidR="009150B4">
        <w:t xml:space="preserve"> </w:t>
      </w:r>
      <w:r>
        <w:t xml:space="preserve">postępowaniach wewnętrznych (patrz, </w:t>
      </w:r>
      <w:proofErr w:type="spellStart"/>
      <w:r>
        <w:rPr>
          <w:i/>
          <w:iCs/>
        </w:rPr>
        <w:t>mutatis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mutandis</w:t>
      </w:r>
      <w:proofErr w:type="spellEnd"/>
      <w:r>
        <w:t xml:space="preserve">, </w:t>
      </w:r>
      <w:proofErr w:type="spellStart"/>
      <w:r>
        <w:rPr>
          <w:i/>
          <w:iCs/>
        </w:rPr>
        <w:t>Sud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Fondi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srl</w:t>
      </w:r>
      <w:proofErr w:type="spellEnd"/>
      <w:r>
        <w:rPr>
          <w:i/>
          <w:iCs/>
        </w:rPr>
        <w:t xml:space="preserve"> i</w:t>
      </w:r>
      <w:r w:rsidR="009150B4">
        <w:rPr>
          <w:i/>
          <w:iCs/>
        </w:rPr>
        <w:t xml:space="preserve"> </w:t>
      </w:r>
      <w:r>
        <w:rPr>
          <w:i/>
          <w:iCs/>
        </w:rPr>
        <w:t>Inni przeciwko Włochom</w:t>
      </w:r>
      <w:r>
        <w:t>, skarga nr 75909/01, § 121, 20 stycznia 2009 r.).</w:t>
      </w:r>
    </w:p>
    <w:p w:rsidR="00AB752B" w:rsidRPr="00235747" w:rsidRDefault="00AB752B" w:rsidP="00235747">
      <w:pPr>
        <w:pStyle w:val="ECHRPara"/>
        <w:rPr>
          <w:rFonts w:eastAsia="Times New Roman"/>
        </w:rPr>
      </w:pPr>
      <w:r w:rsidRPr="00235747">
        <w:rPr>
          <w:rFonts w:eastAsia="Times New Roman"/>
        </w:rPr>
        <w:t>111</w:t>
      </w:r>
      <w:r>
        <w:t>.</w:t>
      </w:r>
      <w:r w:rsidR="009150B4">
        <w:t xml:space="preserve"> </w:t>
      </w:r>
      <w:r>
        <w:t>Odnośnie do uwagi Rządu, jakoby skarżący nie wystąpili z</w:t>
      </w:r>
      <w:r w:rsidR="002F280A">
        <w:t> </w:t>
      </w:r>
      <w:r>
        <w:t xml:space="preserve">powództwem o odszkodowanie za utratę własności, Trybunał stwierdza, że pani </w:t>
      </w:r>
      <w:proofErr w:type="spellStart"/>
      <w:r>
        <w:t>Kastornowa</w:t>
      </w:r>
      <w:proofErr w:type="spellEnd"/>
      <w:r>
        <w:t xml:space="preserve"> rzeczywiście nie wszczęła postępowania o</w:t>
      </w:r>
      <w:r w:rsidR="002F280A">
        <w:t> </w:t>
      </w:r>
      <w:r>
        <w:t>odszkodowanie, a wniosek państwa</w:t>
      </w:r>
      <w:r w:rsidR="009150B4">
        <w:t xml:space="preserve"> </w:t>
      </w:r>
      <w:r>
        <w:t>Wdowinów o zmianę lokalizacji i</w:t>
      </w:r>
      <w:r w:rsidR="002F280A">
        <w:t> </w:t>
      </w:r>
      <w:r>
        <w:t>o</w:t>
      </w:r>
      <w:r w:rsidR="002F280A">
        <w:t> </w:t>
      </w:r>
      <w:r>
        <w:t>odszkodowanie został odrzucony przede wszystkim z tego powodu, że</w:t>
      </w:r>
      <w:r w:rsidR="002F280A">
        <w:t> </w:t>
      </w:r>
      <w:r>
        <w:t>nie wypowiedzieli oni umowy sprzedaży zawartej z panią</w:t>
      </w:r>
      <w:r w:rsidR="009150B4">
        <w:rPr>
          <w:vertAlign w:val="superscript"/>
        </w:rPr>
        <w:t xml:space="preserve"> </w:t>
      </w:r>
      <w:r>
        <w:t>Z. (</w:t>
      </w:r>
      <w:r w:rsidR="00B22132">
        <w:t>paragraf</w:t>
      </w:r>
      <w:r>
        <w:t xml:space="preserve"> </w:t>
      </w:r>
      <w:r w:rsidRPr="00EB3036">
        <w:rPr>
          <w:noProof/>
        </w:rPr>
        <w:t>38</w:t>
      </w:r>
      <w:r>
        <w:t xml:space="preserve"> powyżej). Trybunał zauważa, że skarżący nie starali się </w:t>
      </w:r>
      <w:r w:rsidR="00C50E35">
        <w:t>wystąpić</w:t>
      </w:r>
      <w:r>
        <w:t xml:space="preserve"> przeciwko stronom, z którymi zawierali umowy.</w:t>
      </w:r>
    </w:p>
    <w:p w:rsidR="00AB752B" w:rsidRPr="00235747" w:rsidRDefault="00AB752B" w:rsidP="00235747">
      <w:pPr>
        <w:pStyle w:val="ECHRPara"/>
        <w:rPr>
          <w:rFonts w:eastAsia="Times New Roman"/>
        </w:rPr>
      </w:pPr>
      <w:r w:rsidRPr="00235747">
        <w:rPr>
          <w:rFonts w:eastAsia="Times New Roman"/>
        </w:rPr>
        <w:t>112</w:t>
      </w:r>
      <w:r>
        <w:t>.</w:t>
      </w:r>
      <w:r w:rsidR="009150B4">
        <w:t xml:space="preserve"> </w:t>
      </w:r>
      <w:r>
        <w:t xml:space="preserve">Trybunał uważa, że to władze </w:t>
      </w:r>
      <w:r w:rsidR="00C50E35">
        <w:t>były źródłem ingerencji</w:t>
      </w:r>
      <w:r>
        <w:t xml:space="preserve"> w prawo do</w:t>
      </w:r>
      <w:r w:rsidR="002F280A">
        <w:t> </w:t>
      </w:r>
      <w:r>
        <w:t xml:space="preserve">poszanowania </w:t>
      </w:r>
      <w:r w:rsidR="00C50E35">
        <w:t xml:space="preserve">mienia </w:t>
      </w:r>
      <w:r>
        <w:t xml:space="preserve">skarżących, a nie poprzedni właściciele, </w:t>
      </w:r>
      <w:r>
        <w:lastRenderedPageBreak/>
        <w:t>i</w:t>
      </w:r>
      <w:r w:rsidR="002F280A">
        <w:t> </w:t>
      </w:r>
      <w:r>
        <w:t>że</w:t>
      </w:r>
      <w:r w:rsidR="002F280A">
        <w:t> </w:t>
      </w:r>
      <w:r>
        <w:t>ci</w:t>
      </w:r>
      <w:r w:rsidR="002F280A">
        <w:t> </w:t>
      </w:r>
      <w:r>
        <w:t xml:space="preserve">ostatni uzyskali wszelkie zgody wymagane do przeprowadzenia prac budowlanych, a ich dobra wiara nigdy nie została zakwestionowana przez wewnętrzne instancje. Trybunał nie wyklucza wreszcie, że powództwa ewentualnie wszczęte przez skarżących </w:t>
      </w:r>
      <w:r w:rsidR="004F717F">
        <w:t>mogą być</w:t>
      </w:r>
      <w:r>
        <w:t xml:space="preserve"> niedopuszczalne ze</w:t>
      </w:r>
      <w:r w:rsidR="002F280A">
        <w:t> </w:t>
      </w:r>
      <w:r>
        <w:t>względu na</w:t>
      </w:r>
      <w:r w:rsidR="00C50E35">
        <w:t xml:space="preserve"> upływ</w:t>
      </w:r>
      <w:r>
        <w:t xml:space="preserve"> trzyletni</w:t>
      </w:r>
      <w:r w:rsidR="00C50E35">
        <w:t>ego</w:t>
      </w:r>
      <w:r>
        <w:t xml:space="preserve"> okres</w:t>
      </w:r>
      <w:r w:rsidR="004F717F">
        <w:t>u</w:t>
      </w:r>
      <w:r>
        <w:t xml:space="preserve"> przedawnienia.</w:t>
      </w:r>
    </w:p>
    <w:p w:rsidR="00AB752B" w:rsidRPr="00235747" w:rsidRDefault="00AB752B" w:rsidP="00235747">
      <w:pPr>
        <w:pStyle w:val="ECHRPara"/>
      </w:pPr>
      <w:r w:rsidRPr="00235747">
        <w:rPr>
          <w:rFonts w:eastAsia="Times New Roman"/>
        </w:rPr>
        <w:t>113</w:t>
      </w:r>
      <w:r>
        <w:t>.</w:t>
      </w:r>
      <w:r w:rsidR="009150B4">
        <w:t xml:space="preserve"> </w:t>
      </w:r>
      <w:r>
        <w:t>W tych okolicznościach Trybunał uważa, że byłoby przesadą wymagać, aby skarżący wszczęli przeciwko stronom, z którymi podpisywali umowy, nowe postępowania sądowe, które charakteryzowałyby się całkowitym brakiem pewności co do</w:t>
      </w:r>
      <w:r w:rsidR="004F717F">
        <w:t xml:space="preserve"> istnienia</w:t>
      </w:r>
      <w:r>
        <w:t xml:space="preserve"> rozsądnych szans </w:t>
      </w:r>
      <w:r w:rsidR="004B1E24">
        <w:t>powodzenia</w:t>
      </w:r>
      <w:r>
        <w:t>, a których praktyczna skuteczność nie została wykazana przez Rząd (</w:t>
      </w:r>
      <w:r>
        <w:rPr>
          <w:i/>
          <w:iCs/>
        </w:rPr>
        <w:t xml:space="preserve">B.K.M. </w:t>
      </w:r>
      <w:proofErr w:type="spellStart"/>
      <w:r>
        <w:rPr>
          <w:i/>
          <w:iCs/>
        </w:rPr>
        <w:t>Lojistik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Tasimacilik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Ticaret</w:t>
      </w:r>
      <w:proofErr w:type="spellEnd"/>
      <w:r>
        <w:rPr>
          <w:i/>
          <w:iCs/>
        </w:rPr>
        <w:t xml:space="preserve"> Limited </w:t>
      </w:r>
      <w:proofErr w:type="spellStart"/>
      <w:r>
        <w:rPr>
          <w:i/>
          <w:iCs/>
        </w:rPr>
        <w:t>Sirketi</w:t>
      </w:r>
      <w:proofErr w:type="spellEnd"/>
      <w:r>
        <w:rPr>
          <w:i/>
          <w:iCs/>
        </w:rPr>
        <w:t xml:space="preserve"> przeciwko Słowenii</w:t>
      </w:r>
      <w:r>
        <w:t xml:space="preserve">, skarga nr 42079/12, </w:t>
      </w:r>
      <w:r>
        <w:rPr>
          <w:snapToGrid w:val="0"/>
        </w:rPr>
        <w:t>§ 50, 1</w:t>
      </w:r>
      <w:r>
        <w:t>7</w:t>
      </w:r>
      <w:r>
        <w:rPr>
          <w:snapToGrid w:val="0"/>
        </w:rPr>
        <w:t xml:space="preserve"> </w:t>
      </w:r>
      <w:r>
        <w:t>stycznia</w:t>
      </w:r>
      <w:r>
        <w:rPr>
          <w:snapToGrid w:val="0"/>
        </w:rPr>
        <w:t xml:space="preserve"> 201</w:t>
      </w:r>
      <w:r>
        <w:t xml:space="preserve">7 r., i </w:t>
      </w:r>
      <w:r>
        <w:rPr>
          <w:i/>
          <w:iCs/>
        </w:rPr>
        <w:t>S.C.</w:t>
      </w:r>
      <w:r w:rsidR="009150B4">
        <w:rPr>
          <w:i/>
          <w:iCs/>
        </w:rPr>
        <w:t xml:space="preserve"> </w:t>
      </w:r>
      <w:r>
        <w:rPr>
          <w:i/>
          <w:iCs/>
        </w:rPr>
        <w:t>Service Benz</w:t>
      </w:r>
      <w:r w:rsidR="009A16E1">
        <w:rPr>
          <w:i/>
          <w:iCs/>
        </w:rPr>
        <w:t> </w:t>
      </w:r>
      <w:proofErr w:type="spellStart"/>
      <w:r>
        <w:rPr>
          <w:i/>
          <w:iCs/>
        </w:rPr>
        <w:t>Com</w:t>
      </w:r>
      <w:proofErr w:type="spellEnd"/>
      <w:r>
        <w:rPr>
          <w:i/>
          <w:iCs/>
        </w:rPr>
        <w:t xml:space="preserve"> S.R.L. przeciwko</w:t>
      </w:r>
      <w:r w:rsidR="009150B4">
        <w:rPr>
          <w:i/>
          <w:iCs/>
        </w:rPr>
        <w:t xml:space="preserve"> </w:t>
      </w:r>
      <w:r>
        <w:rPr>
          <w:i/>
          <w:iCs/>
        </w:rPr>
        <w:t>Rumunii</w:t>
      </w:r>
      <w:r>
        <w:t>, skarga nr 58045/11, §§ 37-42, 4 lipca 2017 r., z</w:t>
      </w:r>
      <w:r w:rsidR="009150B4">
        <w:t xml:space="preserve"> </w:t>
      </w:r>
      <w:r>
        <w:t>wymienionymi tam od</w:t>
      </w:r>
      <w:r w:rsidR="002F280A">
        <w:t>esłaniami</w:t>
      </w:r>
      <w:r>
        <w:t>).</w:t>
      </w:r>
    </w:p>
    <w:p w:rsidR="00AB752B" w:rsidRPr="00235747" w:rsidRDefault="00AB752B" w:rsidP="00235747">
      <w:pPr>
        <w:pStyle w:val="ECHRPara"/>
      </w:pPr>
      <w:r w:rsidRPr="00235747">
        <w:t>114</w:t>
      </w:r>
      <w:r>
        <w:t>.</w:t>
      </w:r>
      <w:r w:rsidR="009150B4">
        <w:t xml:space="preserve"> </w:t>
      </w:r>
      <w:r>
        <w:t>Te elementy wystarczają Trybunałowi do przyjęcia konkluzji, że</w:t>
      </w:r>
      <w:r w:rsidR="009A16E1">
        <w:t> </w:t>
      </w:r>
      <w:r>
        <w:t>władzom nie udało się osiągnąć właściwej równowagi pomiędzy wymaganiami interesu ogólnego społeczności a wymaganiem ochrony prawa własności skarżących.</w:t>
      </w:r>
    </w:p>
    <w:p w:rsidR="00AB752B" w:rsidRPr="00235747" w:rsidRDefault="00AB752B" w:rsidP="006669FA">
      <w:pPr>
        <w:pStyle w:val="ECHRPara"/>
      </w:pPr>
      <w:r>
        <w:t>W związku z tym doszło do naruszenia art. 1 Protokołu nr</w:t>
      </w:r>
      <w:r w:rsidR="009150B4">
        <w:t xml:space="preserve"> </w:t>
      </w:r>
      <w:r>
        <w:t xml:space="preserve">1 </w:t>
      </w:r>
      <w:r w:rsidR="006669FA">
        <w:t>do</w:t>
      </w:r>
      <w:r w:rsidR="009A16E1">
        <w:t> </w:t>
      </w:r>
      <w:r>
        <w:t>Konwencji.</w:t>
      </w:r>
    </w:p>
    <w:p w:rsidR="00AB752B" w:rsidRPr="00235747" w:rsidRDefault="00AB752B" w:rsidP="00235747">
      <w:pPr>
        <w:pStyle w:val="ECHRHeading5"/>
      </w:pPr>
      <w:r>
        <w:t>iv.</w:t>
      </w:r>
      <w:r w:rsidR="009150B4">
        <w:t xml:space="preserve"> </w:t>
      </w:r>
      <w:r>
        <w:t xml:space="preserve">Odnośnie do pani </w:t>
      </w:r>
      <w:proofErr w:type="spellStart"/>
      <w:r>
        <w:t>Kosenko</w:t>
      </w:r>
      <w:proofErr w:type="spellEnd"/>
      <w:r>
        <w:t xml:space="preserve"> (skarga nr</w:t>
      </w:r>
      <w:r w:rsidR="009150B4">
        <w:t xml:space="preserve"> </w:t>
      </w:r>
      <w:r>
        <w:t>31636/14)</w:t>
      </w:r>
    </w:p>
    <w:p w:rsidR="00AB752B" w:rsidRPr="00235747" w:rsidRDefault="00AB752B" w:rsidP="00235747">
      <w:pPr>
        <w:pStyle w:val="ECHRPara"/>
      </w:pPr>
      <w:r w:rsidRPr="00235747">
        <w:t>115</w:t>
      </w:r>
      <w:r>
        <w:t>.</w:t>
      </w:r>
      <w:r w:rsidR="009150B4">
        <w:t xml:space="preserve"> </w:t>
      </w:r>
      <w:r>
        <w:t>Trybunał zauważa, że od 1993 r. obecność ropociągów i stref chronionych była uwidoczniona na planie ogólnym Czelabińska oraz</w:t>
      </w:r>
      <w:r w:rsidR="009A16E1">
        <w:t> </w:t>
      </w:r>
      <w:r>
        <w:t>że</w:t>
      </w:r>
      <w:r w:rsidR="009A16E1">
        <w:t> </w:t>
      </w:r>
      <w:r w:rsidR="004F717F">
        <w:t xml:space="preserve">właściwy wyciąg z </w:t>
      </w:r>
      <w:r>
        <w:t>tego planu był dołączony do rozporządzenia lokalnych władz administracyjnych przyznającego pewien obszar spółdzielni ogrodniczej. Spółdzielnia nie mogła zatem o nim nie wiedzieć. Skarżąca zarejestrowała swoje prawo własności po okazaniu dokumentu poświadczającego jej prawo do terenu, wydanego na mocy wspomnianego rozporządzenia. Trybunał uważa, że w momencie zakupu i</w:t>
      </w:r>
      <w:r w:rsidR="009150B4">
        <w:t xml:space="preserve"> </w:t>
      </w:r>
      <w:r>
        <w:t>w momencie złożenia dokumentów zawierających wniosek o wpisanie jej prawa własności, skarżąca mogła zaznajomić się z planem ogólnym Czelabińska, który był dla niej dostępny, i że powinna była zdawać sobie sprawę, że</w:t>
      </w:r>
      <w:r w:rsidR="009A16E1">
        <w:t> </w:t>
      </w:r>
      <w:r>
        <w:t>sporna działka położona jest w pobliżu ropociągów (por</w:t>
      </w:r>
      <w:r w:rsidR="004F717F">
        <w:t>.</w:t>
      </w:r>
      <w:r>
        <w:t xml:space="preserve"> skargi nr</w:t>
      </w:r>
      <w:r w:rsidR="009A16E1">
        <w:t> </w:t>
      </w:r>
      <w:r>
        <w:t>1153/14 i 2680/14, w których plan obszaru nie był dołączony do</w:t>
      </w:r>
      <w:r w:rsidR="009A16E1">
        <w:t> </w:t>
      </w:r>
      <w:r>
        <w:t>dokumentów poświadczających prawo własności i nie był dostępny dla</w:t>
      </w:r>
      <w:r w:rsidR="009A16E1">
        <w:t> </w:t>
      </w:r>
      <w:r>
        <w:t>skarżących). Trybunał zauważa, że w żadnym momencie skarżąca nie</w:t>
      </w:r>
      <w:r w:rsidR="009A16E1">
        <w:t> </w:t>
      </w:r>
      <w:r>
        <w:t xml:space="preserve">utrzymywała, że nie była w stanie zapoznać się z </w:t>
      </w:r>
      <w:r w:rsidR="004F717F">
        <w:t xml:space="preserve">wyciągiem z </w:t>
      </w:r>
      <w:r>
        <w:t>planu ogólnego Czelabińska.</w:t>
      </w:r>
    </w:p>
    <w:p w:rsidR="00AB752B" w:rsidRPr="00235747" w:rsidRDefault="00AB752B" w:rsidP="00235747">
      <w:pPr>
        <w:pStyle w:val="ECHRPara"/>
      </w:pPr>
      <w:r>
        <w:t>Trybunał stwierdza ponadto, że skarżąca nie mogła nie wiedzieć o</w:t>
      </w:r>
      <w:r w:rsidR="009A16E1">
        <w:t> </w:t>
      </w:r>
      <w:r>
        <w:t>fizycznej obecności grobli ziemnej chroniącej ropociągi i usytuowanej w</w:t>
      </w:r>
      <w:r w:rsidR="009A16E1">
        <w:t> </w:t>
      </w:r>
      <w:r>
        <w:t>bezpośrednim sąsiedztwie działki, którą kupowała, i że powinna była przynajmniej zastanowić się nad przeznaczeniem tej grobli i poprosić o</w:t>
      </w:r>
      <w:r w:rsidR="009A16E1">
        <w:t> </w:t>
      </w:r>
      <w:r>
        <w:t>informacje prezesa spółdzielni ogrodniczej lub władze lokalne.</w:t>
      </w:r>
    </w:p>
    <w:p w:rsidR="00AB752B" w:rsidRPr="00235747" w:rsidRDefault="00AB752B" w:rsidP="00235747">
      <w:pPr>
        <w:pStyle w:val="ECHRPara"/>
      </w:pPr>
      <w:r w:rsidRPr="00235747">
        <w:lastRenderedPageBreak/>
        <w:t>116</w:t>
      </w:r>
      <w:r>
        <w:t>.</w:t>
      </w:r>
      <w:r w:rsidR="009150B4">
        <w:t xml:space="preserve"> </w:t>
      </w:r>
      <w:r>
        <w:t xml:space="preserve">Zdaniem Trybunału nakaz rozbiórki baraku i dodatkowych pomieszczeń </w:t>
      </w:r>
      <w:r w:rsidR="004F717F">
        <w:t>z powodu stwierdzenia</w:t>
      </w:r>
      <w:r>
        <w:t xml:space="preserve"> samowoli budowlanej nie spowodował obciążenia skarżącej w sposób nieproporcjonalny.</w:t>
      </w:r>
    </w:p>
    <w:p w:rsidR="00AB752B" w:rsidRPr="00235747" w:rsidRDefault="00AB752B" w:rsidP="00235747">
      <w:pPr>
        <w:pStyle w:val="ECHRPara"/>
      </w:pPr>
      <w:r>
        <w:t xml:space="preserve">W związku z tym nie doszło do naruszenia art. 1 Protokołu nr 1 </w:t>
      </w:r>
      <w:r w:rsidR="006669FA">
        <w:t>do</w:t>
      </w:r>
      <w:r w:rsidR="009A16E1">
        <w:t> </w:t>
      </w:r>
      <w:r>
        <w:t>Konwencji.</w:t>
      </w:r>
    </w:p>
    <w:p w:rsidR="00AB752B" w:rsidRPr="00235747" w:rsidRDefault="00AB752B" w:rsidP="00235747">
      <w:pPr>
        <w:pStyle w:val="ECHRHeading1"/>
      </w:pPr>
      <w:r w:rsidRPr="007F2B81">
        <w:t>III.</w:t>
      </w:r>
      <w:r w:rsidR="009150B4" w:rsidRPr="007F2B81">
        <w:t xml:space="preserve"> </w:t>
      </w:r>
      <w:r w:rsidR="00516099" w:rsidRPr="007F2B81">
        <w:t>ZARZUC</w:t>
      </w:r>
      <w:r w:rsidRPr="007F2B81">
        <w:t>ANE NARUSZENIA ART. 8 KONWENCJI W</w:t>
      </w:r>
      <w:r w:rsidR="009150B4" w:rsidRPr="007F2B81">
        <w:t xml:space="preserve"> </w:t>
      </w:r>
      <w:r w:rsidRPr="007F2B81">
        <w:t>SKARDZE NR 54490/10 (PAN ZIDOW)</w:t>
      </w:r>
    </w:p>
    <w:p w:rsidR="00AB752B" w:rsidRPr="00235747" w:rsidRDefault="00AB752B" w:rsidP="00235747">
      <w:pPr>
        <w:pStyle w:val="ECHRPara"/>
      </w:pPr>
      <w:r w:rsidRPr="00235747">
        <w:t>117</w:t>
      </w:r>
      <w:r>
        <w:t>.</w:t>
      </w:r>
      <w:r w:rsidR="009150B4">
        <w:t xml:space="preserve"> </w:t>
      </w:r>
      <w:r>
        <w:t xml:space="preserve">Skarżący </w:t>
      </w:r>
      <w:r w:rsidR="007F2B81">
        <w:t>podnosi</w:t>
      </w:r>
      <w:r>
        <w:t xml:space="preserve"> naruszenie art. 8 Konwencji ze względu na</w:t>
      </w:r>
      <w:r w:rsidR="009A16E1">
        <w:t> </w:t>
      </w:r>
      <w:r>
        <w:t>przymusową eksmisję z domu. Wspomniany art</w:t>
      </w:r>
      <w:r w:rsidR="007F2B81">
        <w:t>ykuł</w:t>
      </w:r>
      <w:r>
        <w:t xml:space="preserve"> ma brzmienie następujące:</w:t>
      </w:r>
    </w:p>
    <w:p w:rsidR="00AB752B" w:rsidRPr="00235747" w:rsidRDefault="00AB752B" w:rsidP="00235747">
      <w:pPr>
        <w:pStyle w:val="ECHRParaQuote"/>
      </w:pPr>
      <w:r>
        <w:t>„1.</w:t>
      </w:r>
      <w:r w:rsidR="009150B4">
        <w:t xml:space="preserve"> </w:t>
      </w:r>
      <w:r>
        <w:t>Każdy ma prawo do poszanowania swojego życia prywatnego i rodzinnego, swojego mieszkania i swojej korespondencji.</w:t>
      </w:r>
    </w:p>
    <w:p w:rsidR="00AB752B" w:rsidRPr="00235747" w:rsidRDefault="00AB752B" w:rsidP="00235747">
      <w:pPr>
        <w:pStyle w:val="ECHRParaQuote"/>
      </w:pPr>
      <w:r>
        <w:t>2.</w:t>
      </w:r>
      <w:r w:rsidR="009150B4">
        <w:t xml:space="preserve"> </w:t>
      </w:r>
      <w:r>
        <w:t>Niedopuszczalna jest ingerencja władzy publicznej w korzystanie z tego prawa z</w:t>
      </w:r>
      <w:r w:rsidR="009A16E1">
        <w:t> </w:t>
      </w:r>
      <w:r>
        <w:t>wyjątkiem przypadków przewidzianych przez ustawę i koniecznych w</w:t>
      </w:r>
      <w:r w:rsidR="009A16E1">
        <w:t> </w:t>
      </w:r>
      <w:r>
        <w:t>demokratycznym społeczeństwie z uwagi na bezpieczeństwo państwowe, bezpieczeństwo publiczne lub dobrobyt gospodarczy kraju, ochronę porządku i</w:t>
      </w:r>
      <w:r w:rsidR="009A16E1">
        <w:t> </w:t>
      </w:r>
      <w:r>
        <w:t>zapobieganie przestępstwom, ochronę zdrowia i moralności lub ochronę praw i</w:t>
      </w:r>
      <w:r w:rsidR="009A16E1">
        <w:t> </w:t>
      </w:r>
      <w:r>
        <w:t>wolności osób”.</w:t>
      </w:r>
    </w:p>
    <w:p w:rsidR="00AB752B" w:rsidRPr="00235747" w:rsidRDefault="00AB752B" w:rsidP="00235747">
      <w:pPr>
        <w:pStyle w:val="ECHRHeading2"/>
      </w:pPr>
      <w:r>
        <w:t>A. Argumenty stron</w:t>
      </w:r>
    </w:p>
    <w:p w:rsidR="00AB752B" w:rsidRPr="00235747" w:rsidRDefault="00AB752B" w:rsidP="00235747">
      <w:pPr>
        <w:pStyle w:val="ECHRPara"/>
      </w:pPr>
      <w:r w:rsidRPr="00235747">
        <w:t>118</w:t>
      </w:r>
      <w:r>
        <w:t>.</w:t>
      </w:r>
      <w:r w:rsidR="009150B4">
        <w:t xml:space="preserve"> </w:t>
      </w:r>
      <w:r>
        <w:t xml:space="preserve">Skarżący zauważa, że mieszka w swoim domu od 18 lat i że nie ma innego mieszkania. Przyrównuje swoją sprawę do sprawy </w:t>
      </w:r>
      <w:proofErr w:type="spellStart"/>
      <w:r>
        <w:rPr>
          <w:i/>
          <w:iCs/>
        </w:rPr>
        <w:t>Ćosić</w:t>
      </w:r>
      <w:proofErr w:type="spellEnd"/>
      <w:r>
        <w:rPr>
          <w:i/>
          <w:iCs/>
        </w:rPr>
        <w:t xml:space="preserve"> przeciwko</w:t>
      </w:r>
      <w:r w:rsidR="009150B4">
        <w:rPr>
          <w:i/>
          <w:iCs/>
        </w:rPr>
        <w:t xml:space="preserve"> </w:t>
      </w:r>
      <w:r>
        <w:rPr>
          <w:i/>
          <w:iCs/>
        </w:rPr>
        <w:t>Chorwacji</w:t>
      </w:r>
      <w:r>
        <w:t xml:space="preserve"> (skarga nr</w:t>
      </w:r>
      <w:r w:rsidR="009150B4">
        <w:t xml:space="preserve"> </w:t>
      </w:r>
      <w:r>
        <w:t>28261/06, 15 stycznia 2009 r.), w której Trybunał stwierdził naruszenie art. 8 Konwencji ze względu na fakt, iż sądy krajowe nie dokonały analizy sytuacji osobistej skarżącej oraz proporcjonalności jej</w:t>
      </w:r>
      <w:r w:rsidR="009A16E1">
        <w:t> </w:t>
      </w:r>
      <w:r>
        <w:t>eksmisji w stosunku do realizowanego celu. Skarżący uważa, że</w:t>
      </w:r>
      <w:r w:rsidR="009A16E1">
        <w:t> </w:t>
      </w:r>
      <w:r>
        <w:t>eksmisja stanowiła dla niego nadmierne obciążenie, naruszając art. 8 Konwencji.</w:t>
      </w:r>
    </w:p>
    <w:p w:rsidR="00AB752B" w:rsidRPr="00235747" w:rsidRDefault="00AB752B" w:rsidP="00235747">
      <w:pPr>
        <w:pStyle w:val="ECHRPara"/>
      </w:pPr>
      <w:r w:rsidRPr="00235747">
        <w:t>119</w:t>
      </w:r>
      <w:r>
        <w:t>.</w:t>
      </w:r>
      <w:r w:rsidR="009150B4">
        <w:t xml:space="preserve"> </w:t>
      </w:r>
      <w:r>
        <w:t>Rząd ponawia argumenty sądów krajowych wskazujące, że</w:t>
      </w:r>
      <w:r w:rsidR="009A16E1">
        <w:t> </w:t>
      </w:r>
      <w:r>
        <w:t>samowola budowlana nie ma statusu „miejsca zamieszkania” i uważa, że</w:t>
      </w:r>
      <w:r w:rsidR="009A16E1">
        <w:t> </w:t>
      </w:r>
      <w:r>
        <w:t xml:space="preserve">orzeczenia sądowe wydane w sporze dotyczącym eksmisji skarżącego nie stanowią ingerencji w jego prawo do poszanowania mieszkania. Uważa, że nawet przy założeniu, iż doszło do ingerencji, to była ona </w:t>
      </w:r>
      <w:r w:rsidR="007F2B81">
        <w:t>zgodna z</w:t>
      </w:r>
      <w:r w:rsidR="009A16E1">
        <w:t> </w:t>
      </w:r>
      <w:r w:rsidR="007F2B81">
        <w:t>prawem</w:t>
      </w:r>
      <w:r>
        <w:t>, konieczna i proporcjonalna, ponieważ skarżący w sposób w</w:t>
      </w:r>
      <w:r w:rsidR="009150B4">
        <w:t xml:space="preserve"> </w:t>
      </w:r>
      <w:r>
        <w:t>pełni świadomy kontynuował budowę domu w strefie położonej w</w:t>
      </w:r>
      <w:r w:rsidR="009150B4">
        <w:t xml:space="preserve"> </w:t>
      </w:r>
      <w:r>
        <w:t>sąsiedztwie gazociągu.</w:t>
      </w:r>
    </w:p>
    <w:p w:rsidR="00AB752B" w:rsidRPr="00235747" w:rsidRDefault="00AB752B" w:rsidP="00235747">
      <w:pPr>
        <w:pStyle w:val="ECHRHeading2"/>
      </w:pPr>
      <w:r>
        <w:lastRenderedPageBreak/>
        <w:t>B)</w:t>
      </w:r>
      <w:r w:rsidR="009150B4">
        <w:t xml:space="preserve"> </w:t>
      </w:r>
      <w:r>
        <w:t>Ocena przez Trybunał</w:t>
      </w:r>
    </w:p>
    <w:p w:rsidR="00AB752B" w:rsidRPr="00235747" w:rsidRDefault="00AB752B" w:rsidP="00235747">
      <w:pPr>
        <w:pStyle w:val="ECHRPara"/>
        <w:rPr>
          <w:i/>
          <w:iCs/>
        </w:rPr>
      </w:pPr>
      <w:r w:rsidRPr="00235747">
        <w:t>120</w:t>
      </w:r>
      <w:r>
        <w:t>.</w:t>
      </w:r>
      <w:r w:rsidR="009150B4">
        <w:t xml:space="preserve"> </w:t>
      </w:r>
      <w:r>
        <w:t xml:space="preserve">Trybunał stwierdza, że skoro skarżący mieszka w spornym domu na stałe od 1994 r., to stał się on jego </w:t>
      </w:r>
      <w:r w:rsidR="007F2B81">
        <w:t>mieszkaniem</w:t>
      </w:r>
      <w:r>
        <w:t xml:space="preserve"> w rozumieniu art. 8 Konwencji (</w:t>
      </w:r>
      <w:proofErr w:type="spellStart"/>
      <w:r>
        <w:rPr>
          <w:i/>
          <w:iCs/>
        </w:rPr>
        <w:t>Ivanova</w:t>
      </w:r>
      <w:proofErr w:type="spellEnd"/>
      <w:r>
        <w:rPr>
          <w:i/>
          <w:iCs/>
        </w:rPr>
        <w:t xml:space="preserve"> i </w:t>
      </w:r>
      <w:proofErr w:type="spellStart"/>
      <w:r>
        <w:rPr>
          <w:i/>
          <w:iCs/>
        </w:rPr>
        <w:t>Cherkezov</w:t>
      </w:r>
      <w:proofErr w:type="spellEnd"/>
      <w:r>
        <w:rPr>
          <w:snapToGrid w:val="0"/>
        </w:rPr>
        <w:t xml:space="preserve">, </w:t>
      </w:r>
      <w:r w:rsidRPr="00E149F5">
        <w:rPr>
          <w:i/>
          <w:iCs/>
          <w:snapToGrid w:val="0"/>
        </w:rPr>
        <w:t>op.</w:t>
      </w:r>
      <w:r>
        <w:rPr>
          <w:i/>
          <w:iCs/>
          <w:snapToGrid w:val="0"/>
        </w:rPr>
        <w:t xml:space="preserve"> </w:t>
      </w:r>
      <w:r w:rsidRPr="00E149F5">
        <w:rPr>
          <w:i/>
          <w:iCs/>
          <w:snapToGrid w:val="0"/>
        </w:rPr>
        <w:t>cit</w:t>
      </w:r>
      <w:r>
        <w:rPr>
          <w:snapToGrid w:val="0"/>
        </w:rPr>
        <w:t>., § 33, wraz z</w:t>
      </w:r>
      <w:r w:rsidR="009150B4">
        <w:rPr>
          <w:snapToGrid w:val="0"/>
        </w:rPr>
        <w:t xml:space="preserve"> </w:t>
      </w:r>
      <w:r>
        <w:rPr>
          <w:snapToGrid w:val="0"/>
        </w:rPr>
        <w:t>odniesieniami</w:t>
      </w:r>
      <w:r>
        <w:t>).</w:t>
      </w:r>
    </w:p>
    <w:p w:rsidR="00AB752B" w:rsidRPr="00235747" w:rsidRDefault="00AB752B" w:rsidP="00235747">
      <w:pPr>
        <w:pStyle w:val="ECHRPara"/>
      </w:pPr>
      <w:r w:rsidRPr="00235747">
        <w:t>121</w:t>
      </w:r>
      <w:r>
        <w:t>.</w:t>
      </w:r>
      <w:r w:rsidR="009150B4">
        <w:t xml:space="preserve"> </w:t>
      </w:r>
      <w:r>
        <w:t>Uważa jednak, że nie jest konieczne wypowiadanie się o wszystkich argumentach stron, ponieważ zarzut skarżącego jest</w:t>
      </w:r>
      <w:r w:rsidR="00BA75CE">
        <w:t xml:space="preserve"> w sposób oczywisty nieuzasadniony z </w:t>
      </w:r>
      <w:r>
        <w:t>następujących powodów.</w:t>
      </w:r>
    </w:p>
    <w:p w:rsidR="00AB752B" w:rsidRPr="00235747" w:rsidRDefault="00AB752B" w:rsidP="00235747">
      <w:pPr>
        <w:pStyle w:val="ECHRPara"/>
      </w:pPr>
      <w:r w:rsidRPr="00235747">
        <w:t>122</w:t>
      </w:r>
      <w:r>
        <w:t>.</w:t>
      </w:r>
      <w:r w:rsidR="009150B4">
        <w:t xml:space="preserve"> </w:t>
      </w:r>
      <w:r>
        <w:t>Trybunał przypomina, że w poprzednich sprawach dotyczących eksmisji z mieszkań, w których stwierdził naruszenie art. 8 Konwencji, chodziło zawsze o jedną procedurę kończącą się albo wiążącym nakazem eksmisji wobec skarżących (</w:t>
      </w:r>
      <w:proofErr w:type="spellStart"/>
      <w:r>
        <w:rPr>
          <w:i/>
          <w:iCs/>
        </w:rPr>
        <w:t>Ćosić</w:t>
      </w:r>
      <w:proofErr w:type="spellEnd"/>
      <w:r>
        <w:t xml:space="preserve">, </w:t>
      </w:r>
      <w:r w:rsidRPr="00E149F5">
        <w:rPr>
          <w:i/>
          <w:iCs/>
        </w:rPr>
        <w:t>op. cit.</w:t>
      </w:r>
      <w:r>
        <w:t>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Orlić</w:t>
      </w:r>
      <w:proofErr w:type="spellEnd"/>
      <w:r>
        <w:rPr>
          <w:i/>
          <w:iCs/>
        </w:rPr>
        <w:t xml:space="preserve"> przeciwko Chorwacji</w:t>
      </w:r>
      <w:r>
        <w:t>, skarga nr 48833/07</w:t>
      </w:r>
      <w:r>
        <w:rPr>
          <w:snapToGrid w:val="0"/>
        </w:rPr>
        <w:t xml:space="preserve">, 21 </w:t>
      </w:r>
      <w:r>
        <w:t>czerwca</w:t>
      </w:r>
      <w:r>
        <w:rPr>
          <w:snapToGrid w:val="0"/>
        </w:rPr>
        <w:t xml:space="preserve"> 2011 r., </w:t>
      </w:r>
      <w:proofErr w:type="spellStart"/>
      <w:r>
        <w:rPr>
          <w:i/>
          <w:iCs/>
          <w:snapToGrid w:val="0"/>
        </w:rPr>
        <w:t>Gladysheva</w:t>
      </w:r>
      <w:proofErr w:type="spellEnd"/>
      <w:r>
        <w:rPr>
          <w:snapToGrid w:val="0"/>
        </w:rPr>
        <w:t xml:space="preserve">, </w:t>
      </w:r>
      <w:r w:rsidRPr="004176D0">
        <w:rPr>
          <w:i/>
          <w:iCs/>
        </w:rPr>
        <w:t>op. cit.</w:t>
      </w:r>
      <w:r>
        <w:t>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Stolyarova</w:t>
      </w:r>
      <w:proofErr w:type="spellEnd"/>
      <w:r>
        <w:rPr>
          <w:i/>
          <w:iCs/>
        </w:rPr>
        <w:t xml:space="preserve"> przeciwko Rosji</w:t>
      </w:r>
      <w:r>
        <w:rPr>
          <w:snapToGrid w:val="0"/>
        </w:rPr>
        <w:t xml:space="preserve">, skarga nr </w:t>
      </w:r>
      <w:r>
        <w:t>15711/13</w:t>
      </w:r>
      <w:r>
        <w:rPr>
          <w:snapToGrid w:val="0"/>
        </w:rPr>
        <w:t xml:space="preserve">, 29 </w:t>
      </w:r>
      <w:r>
        <w:t>stycznia</w:t>
      </w:r>
      <w:r>
        <w:rPr>
          <w:snapToGrid w:val="0"/>
        </w:rPr>
        <w:t xml:space="preserve"> 2015 r.</w:t>
      </w:r>
      <w:r>
        <w:t>), albo nakazem rozbiórki budynku mieszkalnego zakładającego w sposób dorozumiany nakaz eksmisji (</w:t>
      </w:r>
      <w:proofErr w:type="spellStart"/>
      <w:r>
        <w:rPr>
          <w:i/>
          <w:iCs/>
        </w:rPr>
        <w:t>Ivanova</w:t>
      </w:r>
      <w:proofErr w:type="spellEnd"/>
      <w:r>
        <w:rPr>
          <w:i/>
          <w:iCs/>
        </w:rPr>
        <w:t xml:space="preserve"> i </w:t>
      </w:r>
      <w:proofErr w:type="spellStart"/>
      <w:r>
        <w:rPr>
          <w:i/>
          <w:iCs/>
        </w:rPr>
        <w:t>Cherkezov</w:t>
      </w:r>
      <w:proofErr w:type="spellEnd"/>
      <w:r>
        <w:t xml:space="preserve">, </w:t>
      </w:r>
      <w:r w:rsidRPr="004176D0">
        <w:rPr>
          <w:i/>
          <w:iCs/>
        </w:rPr>
        <w:t>op. cit.</w:t>
      </w:r>
      <w:r>
        <w:t xml:space="preserve">, </w:t>
      </w:r>
      <w:proofErr w:type="spellStart"/>
      <w:r>
        <w:rPr>
          <w:i/>
          <w:iCs/>
        </w:rPr>
        <w:t>Bagdonavicius</w:t>
      </w:r>
      <w:proofErr w:type="spellEnd"/>
      <w:r>
        <w:rPr>
          <w:i/>
          <w:iCs/>
        </w:rPr>
        <w:t xml:space="preserve"> i</w:t>
      </w:r>
      <w:r w:rsidR="009150B4">
        <w:rPr>
          <w:i/>
          <w:iCs/>
        </w:rPr>
        <w:t xml:space="preserve"> </w:t>
      </w:r>
      <w:r>
        <w:rPr>
          <w:i/>
          <w:iCs/>
        </w:rPr>
        <w:t>Inni przeciwko Rosji</w:t>
      </w:r>
      <w:r>
        <w:t>, skarga nr</w:t>
      </w:r>
      <w:r w:rsidR="009150B4">
        <w:t xml:space="preserve"> </w:t>
      </w:r>
      <w:r>
        <w:t>19841/06, 11</w:t>
      </w:r>
      <w:r w:rsidR="009150B4">
        <w:t xml:space="preserve"> </w:t>
      </w:r>
      <w:r>
        <w:t>października 2016 r.).</w:t>
      </w:r>
    </w:p>
    <w:p w:rsidR="00AB752B" w:rsidRPr="00235747" w:rsidRDefault="00AB752B" w:rsidP="00235747">
      <w:pPr>
        <w:pStyle w:val="ECHRPara"/>
      </w:pPr>
      <w:r w:rsidRPr="00235747">
        <w:t>123</w:t>
      </w:r>
      <w:r>
        <w:t>.</w:t>
      </w:r>
      <w:r w:rsidR="009150B4">
        <w:t xml:space="preserve"> </w:t>
      </w:r>
      <w:r>
        <w:t>Tymczasem niniejsza sprawa znacząco różni się od wspomnianych wyżej tym, że został wszczęty oddzielny spór dotyczący eksmisji skarżącego z jego domu, który zakończył się odrzuceniem wniosku o</w:t>
      </w:r>
      <w:r w:rsidR="009A16E1">
        <w:t> </w:t>
      </w:r>
      <w:r>
        <w:t>eksmisję (</w:t>
      </w:r>
      <w:r w:rsidR="00B22132">
        <w:t>paragraf</w:t>
      </w:r>
      <w:r>
        <w:t xml:space="preserve"> </w:t>
      </w:r>
      <w:r w:rsidRPr="00EB3036">
        <w:rPr>
          <w:noProof/>
        </w:rPr>
        <w:t>19</w:t>
      </w:r>
      <w:r>
        <w:t xml:space="preserve"> powyżej). Tym samym, odmowa przez sądy wydania nakazu eksmisji skarżącego, niezależnie od powodów, stała w</w:t>
      </w:r>
      <w:r w:rsidR="009A16E1">
        <w:t> </w:t>
      </w:r>
      <w:r>
        <w:t>sprzeczności z orzeczeniem nakazującym rozbiórkę domu skarżącego i</w:t>
      </w:r>
      <w:r w:rsidR="009A16E1">
        <w:t> </w:t>
      </w:r>
      <w:r>
        <w:t xml:space="preserve">stanowiła </w:t>
      </w:r>
      <w:r>
        <w:rPr>
          <w:i/>
          <w:iCs/>
        </w:rPr>
        <w:t>de facto</w:t>
      </w:r>
      <w:r>
        <w:t xml:space="preserve"> przeszkodę w realizacji tejże. Trybunał stwierdza, że</w:t>
      </w:r>
      <w:r w:rsidR="009A16E1">
        <w:t> </w:t>
      </w:r>
      <w:r>
        <w:t>taka sytuacja była korzystna dla skarżącego, który ze swojej strony nie</w:t>
      </w:r>
      <w:r w:rsidR="009A16E1">
        <w:t> </w:t>
      </w:r>
      <w:r>
        <w:t>odwołał się od wyroku z dnia 15 listopada 2011 r. (</w:t>
      </w:r>
      <w:r w:rsidR="00B22132">
        <w:t>paragraf</w:t>
      </w:r>
      <w:r w:rsidR="009150B4">
        <w:t xml:space="preserve"> </w:t>
      </w:r>
      <w:r w:rsidRPr="00EB3036">
        <w:rPr>
          <w:noProof/>
        </w:rPr>
        <w:t>19</w:t>
      </w:r>
      <w:r>
        <w:t xml:space="preserve"> powyżej) i zdaje się wciąż mieszkać w</w:t>
      </w:r>
      <w:r w:rsidR="009150B4">
        <w:t xml:space="preserve"> </w:t>
      </w:r>
      <w:r>
        <w:t>domu będącym przedmiotem sporu.</w:t>
      </w:r>
    </w:p>
    <w:p w:rsidR="00AB752B" w:rsidRPr="00235747" w:rsidRDefault="00AB752B" w:rsidP="00235747">
      <w:pPr>
        <w:pStyle w:val="ECHRPara"/>
      </w:pPr>
      <w:r w:rsidRPr="00235747">
        <w:t>124</w:t>
      </w:r>
      <w:r>
        <w:t>.</w:t>
      </w:r>
      <w:r w:rsidR="009150B4">
        <w:t xml:space="preserve"> </w:t>
      </w:r>
      <w:r>
        <w:t xml:space="preserve">W tych okolicznościach </w:t>
      </w:r>
      <w:r w:rsidR="007F2B81">
        <w:t xml:space="preserve">podniesiony przez skarżącego </w:t>
      </w:r>
      <w:r>
        <w:t>zarzut</w:t>
      </w:r>
      <w:r w:rsidR="008A5D2A">
        <w:t xml:space="preserve"> naruszenia</w:t>
      </w:r>
      <w:r>
        <w:t xml:space="preserve"> jego prawa do poszanowania mieszkania jest w</w:t>
      </w:r>
      <w:r w:rsidR="009150B4">
        <w:t xml:space="preserve"> </w:t>
      </w:r>
      <w:r>
        <w:t>sposób oczywisty nieuzasadniony i winien być odrzucony na mocy art</w:t>
      </w:r>
      <w:r w:rsidRPr="007F2B81">
        <w:t>. 34 ust</w:t>
      </w:r>
      <w:r>
        <w:t>. 3</w:t>
      </w:r>
      <w:r w:rsidR="009150B4">
        <w:t xml:space="preserve"> </w:t>
      </w:r>
      <w:r w:rsidR="00B22132">
        <w:t>lit.</w:t>
      </w:r>
      <w:r w:rsidR="009A16E1">
        <w:t> </w:t>
      </w:r>
      <w:r>
        <w:t>a Konwencji</w:t>
      </w:r>
      <w:r w:rsidR="007F2B81">
        <w:rPr>
          <w:rStyle w:val="Odwoanieprzypisudolnego"/>
        </w:rPr>
        <w:footnoteReference w:id="2"/>
      </w:r>
      <w:r>
        <w:t>.</w:t>
      </w:r>
    </w:p>
    <w:p w:rsidR="00AB752B" w:rsidRPr="00235747" w:rsidRDefault="00AB752B" w:rsidP="00235747">
      <w:pPr>
        <w:pStyle w:val="ECHRHeading1"/>
      </w:pPr>
      <w:r>
        <w:t>IV.</w:t>
      </w:r>
      <w:r w:rsidR="009150B4">
        <w:t xml:space="preserve"> </w:t>
      </w:r>
      <w:r w:rsidR="00516099">
        <w:t>ZARZUC</w:t>
      </w:r>
      <w:r>
        <w:t>ANE NARUSZENIA ART. 6 KONWENCJI W</w:t>
      </w:r>
      <w:r w:rsidR="009150B4">
        <w:t xml:space="preserve"> </w:t>
      </w:r>
      <w:r>
        <w:t>SKARDZE NR 54490/10 (PAN ZIDOW)</w:t>
      </w:r>
    </w:p>
    <w:p w:rsidR="00AB752B" w:rsidRPr="00235747" w:rsidRDefault="00AB752B" w:rsidP="00235747">
      <w:pPr>
        <w:pStyle w:val="ECHRPara"/>
      </w:pPr>
      <w:r w:rsidRPr="00235747">
        <w:t>125</w:t>
      </w:r>
      <w:r>
        <w:t>.</w:t>
      </w:r>
      <w:r w:rsidR="009150B4">
        <w:t xml:space="preserve"> </w:t>
      </w:r>
      <w:r>
        <w:t>Skarżący skarży się też, że proces dotyczący uznania jego domu za</w:t>
      </w:r>
      <w:r w:rsidR="009A16E1">
        <w:t> </w:t>
      </w:r>
      <w:r>
        <w:t>samowolę budowlaną nie był</w:t>
      </w:r>
      <w:r w:rsidR="007F2B81">
        <w:t xml:space="preserve"> rzetelny</w:t>
      </w:r>
      <w:r>
        <w:t>, naruszając art. 6 ust. 1 Konwencji, którego fragmenty istotne w omawianej sprawie brzmią następująco:</w:t>
      </w:r>
    </w:p>
    <w:p w:rsidR="00AB752B" w:rsidRPr="00235747" w:rsidRDefault="00AB752B" w:rsidP="00235747">
      <w:pPr>
        <w:pStyle w:val="ECHRParaQuote"/>
      </w:pPr>
      <w:r>
        <w:t>„Każdy ma prawo do sprawiedliwego (...) rozpatrzenia jego sprawy (...) przez</w:t>
      </w:r>
      <w:r w:rsidR="009A16E1">
        <w:t> </w:t>
      </w:r>
      <w:r>
        <w:t>niezawisły i bezstronny sąd ustanowiony ustawą przy rozstrzyganiu o jego prawach i</w:t>
      </w:r>
      <w:r w:rsidR="009150B4">
        <w:t xml:space="preserve"> </w:t>
      </w:r>
      <w:r>
        <w:t>obowiązkach o charakterze cywilnym (...)”.</w:t>
      </w:r>
    </w:p>
    <w:p w:rsidR="00AB752B" w:rsidRPr="00235747" w:rsidRDefault="00AB752B" w:rsidP="00235747">
      <w:pPr>
        <w:pStyle w:val="ECHRHeading2"/>
      </w:pPr>
      <w:r>
        <w:lastRenderedPageBreak/>
        <w:t>A. Argumenty stron</w:t>
      </w:r>
    </w:p>
    <w:p w:rsidR="00AB752B" w:rsidRPr="00235747" w:rsidRDefault="00AB752B" w:rsidP="00235747">
      <w:pPr>
        <w:pStyle w:val="ECHRPara"/>
      </w:pPr>
      <w:r w:rsidRPr="00235747">
        <w:t>126</w:t>
      </w:r>
      <w:r>
        <w:t>.</w:t>
      </w:r>
      <w:r w:rsidR="009150B4">
        <w:t xml:space="preserve"> </w:t>
      </w:r>
      <w:r>
        <w:t>Ogólnie, skarżący skarży się na naruszenie przez sądy krajowe zasady kontradyktoryjności i równości broni. W szczególności zarzuca sądowi w rejonie oktiabrskim, że nie otrzymał informacji dotyczących projektu przemieszczenia gazociągu ani rzeczywistego ciśnienia gazu w</w:t>
      </w:r>
      <w:r w:rsidR="009A16E1">
        <w:t> </w:t>
      </w:r>
      <w:r>
        <w:t>instalacji. Skarżący krytykuje rapo</w:t>
      </w:r>
      <w:r w:rsidR="008A5D2A">
        <w:t>rt sporządzony przez biegłego</w:t>
      </w:r>
      <w:r>
        <w:t xml:space="preserve"> sądowego i skarży się, że sąd odrzucił jego wniosek o opracowanie drugiej opinii</w:t>
      </w:r>
      <w:r w:rsidR="008A5D2A">
        <w:t xml:space="preserve"> biegłego</w:t>
      </w:r>
      <w:r>
        <w:t xml:space="preserve">. Ponadto zarzuca sądowi, że nie odrzucił powództwa spółki Gazprom </w:t>
      </w:r>
      <w:proofErr w:type="spellStart"/>
      <w:r>
        <w:t>Transgaz</w:t>
      </w:r>
      <w:proofErr w:type="spellEnd"/>
      <w:r>
        <w:t xml:space="preserve"> Kazan ze względu na</w:t>
      </w:r>
      <w:r w:rsidR="008A5D2A">
        <w:t xml:space="preserve"> upływ</w:t>
      </w:r>
      <w:r>
        <w:t xml:space="preserve"> trzyletnie</w:t>
      </w:r>
      <w:r w:rsidR="008A5D2A">
        <w:t>go terminu przedawnienia</w:t>
      </w:r>
      <w:r>
        <w:t>.</w:t>
      </w:r>
    </w:p>
    <w:p w:rsidR="00AB752B" w:rsidRPr="00235747" w:rsidRDefault="00AB752B" w:rsidP="00235747">
      <w:pPr>
        <w:pStyle w:val="ECHRPara"/>
      </w:pPr>
      <w:r w:rsidRPr="00235747">
        <w:t>127</w:t>
      </w:r>
      <w:r>
        <w:t>.</w:t>
      </w:r>
      <w:r w:rsidR="009150B4">
        <w:t xml:space="preserve"> </w:t>
      </w:r>
      <w:r>
        <w:t>Rząd podważa te zarzuty i utrzymuje, że informacje, o</w:t>
      </w:r>
      <w:r w:rsidR="009A16E1">
        <w:t> </w:t>
      </w:r>
      <w:r>
        <w:t>które</w:t>
      </w:r>
      <w:r w:rsidR="009A16E1">
        <w:t> </w:t>
      </w:r>
      <w:r>
        <w:t xml:space="preserve">wnioskuje skarżący, nie miały żadnego znaczenia dla </w:t>
      </w:r>
      <w:r w:rsidR="008A5D2A">
        <w:t>wyniku</w:t>
      </w:r>
      <w:r>
        <w:t xml:space="preserve"> sporu, że wnioski z opinii </w:t>
      </w:r>
      <w:r w:rsidR="008A5D2A">
        <w:t>biegłego</w:t>
      </w:r>
      <w:r>
        <w:t xml:space="preserve"> sądowego były istotne i wystarczające, a</w:t>
      </w:r>
      <w:r w:rsidR="009A16E1">
        <w:t> </w:t>
      </w:r>
      <w:r>
        <w:t>tym</w:t>
      </w:r>
      <w:r w:rsidR="009A16E1">
        <w:t> </w:t>
      </w:r>
      <w:r>
        <w:t xml:space="preserve">samym druga opinia </w:t>
      </w:r>
      <w:r w:rsidR="008A5D2A">
        <w:t xml:space="preserve">biegłego </w:t>
      </w:r>
      <w:r>
        <w:t>byłaby zbyteczna, oraz że odmowa przez sąd zastosowania przedawnienia była uzasadniona ze względu na</w:t>
      </w:r>
      <w:r w:rsidR="009A16E1">
        <w:t> </w:t>
      </w:r>
      <w:r>
        <w:t xml:space="preserve">przepisy </w:t>
      </w:r>
      <w:r w:rsidR="00BA75CE">
        <w:t xml:space="preserve">Kodeksu </w:t>
      </w:r>
      <w:r>
        <w:t>cywilnego.</w:t>
      </w:r>
    </w:p>
    <w:p w:rsidR="00AB752B" w:rsidRPr="00235747" w:rsidRDefault="00AB752B" w:rsidP="00235747">
      <w:pPr>
        <w:pStyle w:val="ECHRHeading2"/>
      </w:pPr>
      <w:r>
        <w:t>B)</w:t>
      </w:r>
      <w:r w:rsidR="009150B4">
        <w:t xml:space="preserve"> </w:t>
      </w:r>
      <w:r>
        <w:t>Ocena przez Trybunał</w:t>
      </w:r>
    </w:p>
    <w:p w:rsidR="00AB752B" w:rsidRPr="00235747" w:rsidRDefault="00AB752B" w:rsidP="00235747">
      <w:pPr>
        <w:pStyle w:val="ECHRPara"/>
      </w:pPr>
      <w:r w:rsidRPr="00235747">
        <w:t>128</w:t>
      </w:r>
      <w:r>
        <w:t>.</w:t>
      </w:r>
      <w:r w:rsidR="009150B4">
        <w:t xml:space="preserve"> </w:t>
      </w:r>
      <w:r>
        <w:t>Trybunał przypomina, że poza przypadkami ewidentnie arbitralnego działania nie ma on kompetencji, by rozpoznawać błędy faktyczne lub</w:t>
      </w:r>
      <w:r w:rsidR="009A16E1">
        <w:t> </w:t>
      </w:r>
      <w:r>
        <w:t>prawne, jakie miał popełnić sąd krajowy, ani by kwestionować dopuszczalność, istotność i ocenę dowodów (</w:t>
      </w:r>
      <w:proofErr w:type="spellStart"/>
      <w:r>
        <w:rPr>
          <w:i/>
          <w:iCs/>
        </w:rPr>
        <w:t>García</w:t>
      </w:r>
      <w:proofErr w:type="spellEnd"/>
      <w:r w:rsidR="009150B4">
        <w:rPr>
          <w:i/>
          <w:iCs/>
        </w:rPr>
        <w:t xml:space="preserve"> </w:t>
      </w:r>
      <w:r>
        <w:rPr>
          <w:i/>
          <w:iCs/>
        </w:rPr>
        <w:t>Ruiz przeciwko Hiszpanii</w:t>
      </w:r>
      <w:r>
        <w:t xml:space="preserve"> [WI], skarga nr 30544/96, § 28, </w:t>
      </w:r>
      <w:r w:rsidR="003769DE">
        <w:t>ETPC</w:t>
      </w:r>
      <w:r>
        <w:t xml:space="preserve"> 1999</w:t>
      </w:r>
      <w:r>
        <w:noBreakHyphen/>
        <w:t>I).</w:t>
      </w:r>
    </w:p>
    <w:p w:rsidR="00AB752B" w:rsidRPr="00235747" w:rsidRDefault="00AB752B" w:rsidP="00235747">
      <w:pPr>
        <w:pStyle w:val="ECHRPara"/>
      </w:pPr>
      <w:r w:rsidRPr="00235747">
        <w:t>129</w:t>
      </w:r>
      <w:r>
        <w:t>.</w:t>
      </w:r>
      <w:r w:rsidR="009150B4">
        <w:t xml:space="preserve"> </w:t>
      </w:r>
      <w:r>
        <w:t>Trybunał zauważa, że w omawian</w:t>
      </w:r>
      <w:r w:rsidR="008A5D2A">
        <w:t>ej sprawie</w:t>
      </w:r>
      <w:r>
        <w:t xml:space="preserve"> przez cały czas trwania procesu skarżący był reprezentowany przez adwokata, że na różnych etapach tegoż procesu miał możliwość przedstawiania argumentów i</w:t>
      </w:r>
      <w:r w:rsidR="009A16E1">
        <w:t> </w:t>
      </w:r>
      <w:r>
        <w:t>dowodów, które uważał za istotne dla obrony swojej sprawy; że miał możliwość faktycznego podważenia argumentów i dowodów przedstawionych przez stronę przeciwną; że sąd w należyty sposób wysłuchał i rozpatrzył wszystkie jego argumenty obiektywnie istotne dla</w:t>
      </w:r>
      <w:r w:rsidR="009A16E1">
        <w:t> </w:t>
      </w:r>
      <w:r>
        <w:t>rozwiązania sporu; że sporna decyzja jest wystarczająco uzasadniona, również w części dotyczącej odmowy zastosowania przedawnienia. Trybunał stwierdził, że skarżący skorzystał z postępowan</w:t>
      </w:r>
      <w:r w:rsidR="008A5D2A">
        <w:t>ia kontradyktoryjnego, ogólnie rzetelnego</w:t>
      </w:r>
      <w:r>
        <w:t xml:space="preserve"> i niemającego żadnych oznak arbitralności.</w:t>
      </w:r>
    </w:p>
    <w:p w:rsidR="00AB752B" w:rsidRPr="00235747" w:rsidRDefault="00AB752B" w:rsidP="00235747">
      <w:pPr>
        <w:pStyle w:val="ECHRPara"/>
      </w:pPr>
      <w:r>
        <w:t>Wynika z tego, że zarzut</w:t>
      </w:r>
      <w:r w:rsidR="008A5D2A">
        <w:t xml:space="preserve"> </w:t>
      </w:r>
      <w:r>
        <w:t>jest w sposób oczywiście nieuzasadniony i</w:t>
      </w:r>
      <w:r w:rsidR="009A16E1">
        <w:t> </w:t>
      </w:r>
      <w:r>
        <w:t>winien być odrzucony na mocy art. 35</w:t>
      </w:r>
      <w:r w:rsidR="009150B4">
        <w:t xml:space="preserve"> </w:t>
      </w:r>
      <w:r>
        <w:t>ust.</w:t>
      </w:r>
      <w:r w:rsidR="009150B4">
        <w:t xml:space="preserve"> </w:t>
      </w:r>
      <w:r>
        <w:t>3</w:t>
      </w:r>
      <w:r w:rsidR="009150B4">
        <w:t xml:space="preserve"> </w:t>
      </w:r>
      <w:r w:rsidR="00B22132">
        <w:t>lit. a</w:t>
      </w:r>
      <w:r>
        <w:t xml:space="preserve"> Konwencji.</w:t>
      </w:r>
    </w:p>
    <w:p w:rsidR="00AB752B" w:rsidRPr="00235747" w:rsidRDefault="00AB752B" w:rsidP="00235747">
      <w:pPr>
        <w:pStyle w:val="ECHRHeading1"/>
      </w:pPr>
      <w:r>
        <w:t>V.</w:t>
      </w:r>
      <w:r w:rsidR="009150B4">
        <w:t xml:space="preserve"> </w:t>
      </w:r>
      <w:r>
        <w:t>ZASTOSOWANIE ART. 41 KONWENCJI</w:t>
      </w:r>
    </w:p>
    <w:p w:rsidR="00AB752B" w:rsidRPr="00235747" w:rsidRDefault="00AB752B" w:rsidP="00235747">
      <w:pPr>
        <w:pStyle w:val="ECHRPara"/>
      </w:pPr>
      <w:r w:rsidRPr="00235747">
        <w:t>130</w:t>
      </w:r>
      <w:r>
        <w:t>.</w:t>
      </w:r>
      <w:r w:rsidR="009150B4">
        <w:t xml:space="preserve"> </w:t>
      </w:r>
      <w:r>
        <w:t>Zgodnie z art. 41 Konwencji,</w:t>
      </w:r>
    </w:p>
    <w:p w:rsidR="00AB752B" w:rsidRPr="00235747" w:rsidRDefault="00AB752B" w:rsidP="00235747">
      <w:pPr>
        <w:pStyle w:val="ECHRParaQuote"/>
      </w:pPr>
      <w:r>
        <w:lastRenderedPageBreak/>
        <w:t>„Je</w:t>
      </w:r>
      <w:r w:rsidR="00516099">
        <w:t>ś</w:t>
      </w:r>
      <w:r>
        <w:t>li Trybunał stwierdzi, że nastąpiło naruszenie Konwencji lub jej Protokołów, oraz je</w:t>
      </w:r>
      <w:r w:rsidR="00516099">
        <w:t>ś</w:t>
      </w:r>
      <w:r>
        <w:t xml:space="preserve">li prawo wewnętrzne zainteresowanej Wysokiej Układającej się Strony pozwala tylko na częściowe usunięcie konsekwencji tego naruszenia, Trybunał orzeka, gdy zachodzi potrzeba, </w:t>
      </w:r>
      <w:r w:rsidR="00516099">
        <w:t>słuszne</w:t>
      </w:r>
      <w:r>
        <w:t xml:space="preserve"> </w:t>
      </w:r>
      <w:r w:rsidR="00516099">
        <w:t>zadośćuczynienie</w:t>
      </w:r>
      <w:r>
        <w:t xml:space="preserve"> pokrzywdzonej stronie”.</w:t>
      </w:r>
    </w:p>
    <w:p w:rsidR="00AB752B" w:rsidRPr="00235747" w:rsidRDefault="00AB752B" w:rsidP="00235747">
      <w:pPr>
        <w:pStyle w:val="ECHRHeading2"/>
      </w:pPr>
      <w:r>
        <w:t>A.</w:t>
      </w:r>
      <w:r w:rsidR="009150B4">
        <w:t xml:space="preserve"> </w:t>
      </w:r>
      <w:r>
        <w:t>Krzywdy moralne i szkody materialne</w:t>
      </w:r>
    </w:p>
    <w:p w:rsidR="00AB752B" w:rsidRPr="00235747" w:rsidRDefault="00AB752B" w:rsidP="00235747">
      <w:pPr>
        <w:pStyle w:val="ECHRPara"/>
      </w:pPr>
      <w:r w:rsidRPr="00235747">
        <w:t>131</w:t>
      </w:r>
      <w:r>
        <w:t>.</w:t>
      </w:r>
      <w:r w:rsidR="009150B4">
        <w:t xml:space="preserve"> </w:t>
      </w:r>
      <w:r>
        <w:t xml:space="preserve">Pani </w:t>
      </w:r>
      <w:proofErr w:type="spellStart"/>
      <w:r>
        <w:t>Kastornowa</w:t>
      </w:r>
      <w:proofErr w:type="spellEnd"/>
      <w:r>
        <w:t xml:space="preserve"> (skarga nr 1153/14) i państwo </w:t>
      </w:r>
      <w:proofErr w:type="spellStart"/>
      <w:r>
        <w:t>Wdowinowie</w:t>
      </w:r>
      <w:proofErr w:type="spellEnd"/>
      <w:r>
        <w:t xml:space="preserve"> (skarga nr 2680/14) domagają się po 30</w:t>
      </w:r>
      <w:r w:rsidR="009150B4">
        <w:t xml:space="preserve"> </w:t>
      </w:r>
      <w:r>
        <w:t>000 euro (EUR) z tytułu krzywd moralnych, jakie mieli ponieść. Rząd uważa te kwoty za wygórowane i</w:t>
      </w:r>
      <w:r w:rsidR="009A16E1">
        <w:t> </w:t>
      </w:r>
      <w:r>
        <w:t>niemające poparcia w orzecznictwie Trybunału.</w:t>
      </w:r>
    </w:p>
    <w:p w:rsidR="00AB752B" w:rsidRPr="00235747" w:rsidRDefault="00AB752B" w:rsidP="00235747">
      <w:pPr>
        <w:pStyle w:val="ECHRPara"/>
      </w:pPr>
      <w:r w:rsidRPr="00235747">
        <w:t>132</w:t>
      </w:r>
      <w:r>
        <w:t>.</w:t>
      </w:r>
      <w:r w:rsidR="009150B4">
        <w:t xml:space="preserve"> </w:t>
      </w:r>
      <w:r>
        <w:t xml:space="preserve">Pani </w:t>
      </w:r>
      <w:proofErr w:type="spellStart"/>
      <w:r>
        <w:t>Kastornowa</w:t>
      </w:r>
      <w:proofErr w:type="spellEnd"/>
      <w:r>
        <w:t xml:space="preserve"> (skarga nr 1153/14) domaga się 11</w:t>
      </w:r>
      <w:r w:rsidR="009150B4">
        <w:t xml:space="preserve"> </w:t>
      </w:r>
      <w:r>
        <w:t>943</w:t>
      </w:r>
      <w:r w:rsidR="009150B4">
        <w:t xml:space="preserve"> </w:t>
      </w:r>
      <w:r>
        <w:t>000 rubli rosyjskich (RUB) za szkody materialne, jakie miała ponieść. Kwota ta</w:t>
      </w:r>
      <w:r w:rsidR="009A16E1">
        <w:t> </w:t>
      </w:r>
      <w:r>
        <w:t>odpowiada wartości działki (2</w:t>
      </w:r>
      <w:r w:rsidR="009150B4">
        <w:t xml:space="preserve"> </w:t>
      </w:r>
      <w:r>
        <w:t>737</w:t>
      </w:r>
      <w:r w:rsidR="009150B4">
        <w:t xml:space="preserve"> </w:t>
      </w:r>
      <w:r>
        <w:t>500 RUB), domu i dodatkowych budynków (9</w:t>
      </w:r>
      <w:r w:rsidR="009150B4">
        <w:t xml:space="preserve"> </w:t>
      </w:r>
      <w:r>
        <w:t>205</w:t>
      </w:r>
      <w:r w:rsidR="009150B4">
        <w:t xml:space="preserve"> </w:t>
      </w:r>
      <w:r>
        <w:t>000 RUB). Na potwierdze</w:t>
      </w:r>
      <w:r w:rsidR="008A5D2A">
        <w:t>nie żądania skarżąca przedstawi</w:t>
      </w:r>
      <w:r>
        <w:t xml:space="preserve">a </w:t>
      </w:r>
      <w:r w:rsidR="008A5D2A">
        <w:t>wyciąg z</w:t>
      </w:r>
      <w:r>
        <w:t xml:space="preserve"> raportu z wyceny sporządzony dnia 17 grudnia 2012</w:t>
      </w:r>
      <w:r w:rsidR="009A16E1">
        <w:t> </w:t>
      </w:r>
      <w:r>
        <w:t>r.</w:t>
      </w:r>
    </w:p>
    <w:p w:rsidR="00AB752B" w:rsidRPr="00235747" w:rsidRDefault="00AB752B" w:rsidP="00235747">
      <w:pPr>
        <w:pStyle w:val="ECHRPara"/>
      </w:pPr>
      <w:r w:rsidRPr="00235747">
        <w:t>133</w:t>
      </w:r>
      <w:r>
        <w:t>.</w:t>
      </w:r>
      <w:r w:rsidR="009150B4">
        <w:t xml:space="preserve"> </w:t>
      </w:r>
      <w:r>
        <w:t xml:space="preserve">Państwo </w:t>
      </w:r>
      <w:proofErr w:type="spellStart"/>
      <w:r>
        <w:t>Wdowinowie</w:t>
      </w:r>
      <w:proofErr w:type="spellEnd"/>
      <w:r>
        <w:t xml:space="preserve"> (skarga nr 2680/14) domagają się 3</w:t>
      </w:r>
      <w:r w:rsidR="009150B4">
        <w:t xml:space="preserve"> </w:t>
      </w:r>
      <w:r>
        <w:t>528</w:t>
      </w:r>
      <w:r w:rsidR="009150B4">
        <w:t xml:space="preserve"> </w:t>
      </w:r>
      <w:r>
        <w:t>825</w:t>
      </w:r>
      <w:r w:rsidR="009150B4">
        <w:t xml:space="preserve"> </w:t>
      </w:r>
      <w:r>
        <w:t>RUB za szkody materialne, jakie mieli ponieść. Na potwierdzenie żądania skarżący przedstawi</w:t>
      </w:r>
      <w:r w:rsidR="003A0C14">
        <w:t xml:space="preserve">ają wyciąg z </w:t>
      </w:r>
      <w:r>
        <w:t>jednolitego rejestru nieruchomości z</w:t>
      </w:r>
      <w:r w:rsidR="009150B4">
        <w:t xml:space="preserve"> </w:t>
      </w:r>
      <w:r>
        <w:t>dnia 21 lutego 2017 r. Dokument odnosi się do numeru katastralnego działki skarżących, a pozycja odpowiadająca opisowi danej nieruchomości jest pusta.</w:t>
      </w:r>
    </w:p>
    <w:p w:rsidR="00AB752B" w:rsidRPr="00235747" w:rsidRDefault="00AB752B" w:rsidP="00235747">
      <w:pPr>
        <w:pStyle w:val="ECHRPara"/>
      </w:pPr>
      <w:r w:rsidRPr="00235747">
        <w:t>134</w:t>
      </w:r>
      <w:r>
        <w:t>.</w:t>
      </w:r>
      <w:r w:rsidR="009150B4">
        <w:t xml:space="preserve"> </w:t>
      </w:r>
      <w:r>
        <w:t>Rząd uważa te żądania za bezzasadne wobec braku naruszenia praw skarżących oraz ze względu na fakt, że w każdym razie orzeczenie o</w:t>
      </w:r>
      <w:r w:rsidR="009A16E1">
        <w:t> </w:t>
      </w:r>
      <w:r>
        <w:t>nakazie rozbiórki nie zostało wykonane.</w:t>
      </w:r>
    </w:p>
    <w:p w:rsidR="00AB752B" w:rsidRPr="00235747" w:rsidRDefault="00AB752B" w:rsidP="00235747">
      <w:pPr>
        <w:pStyle w:val="ECHRPara"/>
      </w:pPr>
      <w:r w:rsidRPr="00235747">
        <w:t>135</w:t>
      </w:r>
      <w:r>
        <w:t>.</w:t>
      </w:r>
      <w:r w:rsidR="009150B4">
        <w:t xml:space="preserve"> </w:t>
      </w:r>
      <w:r>
        <w:t>Trybunał stwierdza, że nie może</w:t>
      </w:r>
      <w:r w:rsidR="003A0C14">
        <w:t xml:space="preserve"> opierać się na dokumentach</w:t>
      </w:r>
      <w:r>
        <w:t xml:space="preserve"> dostarczonych przez skarżących, ponieważ nie pozwalają one na określenie wartości nieruchomości do rozbiórki. Ponadto zainteresowani zachowują wciąż własność swoich działek wraz </w:t>
      </w:r>
      <w:r w:rsidR="004B1E24">
        <w:t>z budynkami</w:t>
      </w:r>
      <w:r>
        <w:t>. W tych okolicznościach sprawy Trybunał uważa, że kwestia zastosowania art. 41 Konwencji nie jest gotowa do rozstrzygnięcia w zakresie dotyczącym krzywdy moralnej i</w:t>
      </w:r>
      <w:r w:rsidR="009A16E1">
        <w:t> </w:t>
      </w:r>
      <w:r>
        <w:t>szkody materialnej. W związku z tym niezbędne jest wstrzymanie się z</w:t>
      </w:r>
      <w:r w:rsidR="009A16E1">
        <w:t> </w:t>
      </w:r>
      <w:r>
        <w:t>rozpoznaniem tej kwestii i wyznaczenie dalszej procedury z</w:t>
      </w:r>
      <w:r w:rsidR="009A16E1">
        <w:t> </w:t>
      </w:r>
      <w:r>
        <w:t xml:space="preserve">uwzględnieniem ewentualnego porozumienia pomiędzy pozwanym państwem członkowskim a skarżącymi (Reguła 75 </w:t>
      </w:r>
      <w:r w:rsidR="003A0C14">
        <w:t>§</w:t>
      </w:r>
      <w:r>
        <w:t xml:space="preserve"> 1 Regulaminu).</w:t>
      </w:r>
    </w:p>
    <w:p w:rsidR="00AB752B" w:rsidRPr="00235747" w:rsidRDefault="00AB752B" w:rsidP="00235747">
      <w:pPr>
        <w:pStyle w:val="ECHRHeading2"/>
      </w:pPr>
      <w:r>
        <w:t>B.</w:t>
      </w:r>
      <w:r w:rsidR="009150B4">
        <w:t xml:space="preserve"> </w:t>
      </w:r>
      <w:r>
        <w:t>Koszty i wydatki</w:t>
      </w:r>
    </w:p>
    <w:p w:rsidR="00AB752B" w:rsidRPr="00235747" w:rsidRDefault="00AB752B" w:rsidP="00235747">
      <w:pPr>
        <w:pStyle w:val="ECHRPara"/>
      </w:pPr>
      <w:r w:rsidRPr="00235747">
        <w:t>136</w:t>
      </w:r>
      <w:r>
        <w:t>.</w:t>
      </w:r>
      <w:r w:rsidR="009150B4">
        <w:t xml:space="preserve"> </w:t>
      </w:r>
      <w:r>
        <w:t xml:space="preserve">Pani </w:t>
      </w:r>
      <w:proofErr w:type="spellStart"/>
      <w:r>
        <w:t>Kastornowa</w:t>
      </w:r>
      <w:proofErr w:type="spellEnd"/>
      <w:r>
        <w:t xml:space="preserve"> (skarga nr 1153/14) domaga się 16</w:t>
      </w:r>
      <w:r w:rsidR="009150B4">
        <w:t xml:space="preserve"> </w:t>
      </w:r>
      <w:r>
        <w:t>000 EUR, a</w:t>
      </w:r>
      <w:r w:rsidR="009A16E1">
        <w:t> </w:t>
      </w:r>
      <w:r>
        <w:t xml:space="preserve">państwo </w:t>
      </w:r>
      <w:proofErr w:type="spellStart"/>
      <w:r>
        <w:t>Wdowinowie</w:t>
      </w:r>
      <w:proofErr w:type="spellEnd"/>
      <w:r>
        <w:t xml:space="preserve"> (skarga nr 2680/14) domagają się 16</w:t>
      </w:r>
      <w:r w:rsidR="009150B4">
        <w:t xml:space="preserve"> </w:t>
      </w:r>
      <w:r>
        <w:t>200 EUR z</w:t>
      </w:r>
      <w:r w:rsidR="009A16E1">
        <w:t> </w:t>
      </w:r>
      <w:r>
        <w:t xml:space="preserve">tytułu honorariów wypłacanych adwokatowi za reprezentowanie i pomoc prawną przed Trybunałem. Rząd kwestionuje to żądanie, wskazując, </w:t>
      </w:r>
      <w:r>
        <w:lastRenderedPageBreak/>
        <w:t>że</w:t>
      </w:r>
      <w:r w:rsidR="009A16E1">
        <w:t> </w:t>
      </w:r>
      <w:r>
        <w:t>skarżący nie przedstawili żadnych dokumentów potwierdzających</w:t>
      </w:r>
      <w:r w:rsidR="003A0C14">
        <w:t>, że</w:t>
      </w:r>
      <w:r w:rsidR="009A16E1">
        <w:t> </w:t>
      </w:r>
      <w:r>
        <w:t>koszty</w:t>
      </w:r>
      <w:r w:rsidR="003A0C14">
        <w:t xml:space="preserve"> te</w:t>
      </w:r>
      <w:r>
        <w:t xml:space="preserve"> rzeczywiście ponieśli.</w:t>
      </w:r>
    </w:p>
    <w:p w:rsidR="00AB752B" w:rsidRPr="00235747" w:rsidRDefault="00AB752B" w:rsidP="00235747">
      <w:pPr>
        <w:pStyle w:val="ECHRPara"/>
        <w:rPr>
          <w:i/>
          <w:iCs/>
        </w:rPr>
      </w:pPr>
      <w:r w:rsidRPr="00235747">
        <w:t>137</w:t>
      </w:r>
      <w:r>
        <w:t>.</w:t>
      </w:r>
      <w:r w:rsidR="009150B4">
        <w:t xml:space="preserve"> </w:t>
      </w:r>
      <w:r>
        <w:t>Zgodnie z orzecznictwem Trybunału skarżący jest uprawniony do</w:t>
      </w:r>
      <w:r w:rsidR="009A16E1">
        <w:t> </w:t>
      </w:r>
      <w:r>
        <w:t xml:space="preserve">otrzymania zwrotu kosztów oraz wydatków </w:t>
      </w:r>
      <w:r w:rsidR="003A0C14">
        <w:t xml:space="preserve">jedynie </w:t>
      </w:r>
      <w:r>
        <w:t>w takim zakresie, w</w:t>
      </w:r>
      <w:r w:rsidR="009A16E1">
        <w:t> </w:t>
      </w:r>
      <w:r>
        <w:t>jakim wykazał, że były one rzeczywiście poniesione</w:t>
      </w:r>
      <w:r w:rsidR="00BF56B4">
        <w:t xml:space="preserve"> oraz</w:t>
      </w:r>
      <w:r>
        <w:t xml:space="preserve"> że były </w:t>
      </w:r>
      <w:r w:rsidR="00BF56B4">
        <w:t xml:space="preserve">konieczne i </w:t>
      </w:r>
      <w:r>
        <w:t xml:space="preserve">uzasadnione co do wysokości. </w:t>
      </w:r>
      <w:r w:rsidR="00BF56B4">
        <w:t xml:space="preserve">To, czy koszty </w:t>
      </w:r>
      <w:r>
        <w:t xml:space="preserve">honorariów </w:t>
      </w:r>
      <w:r w:rsidR="00BF56B4">
        <w:t>są</w:t>
      </w:r>
      <w:r w:rsidR="009A16E1">
        <w:t> </w:t>
      </w:r>
      <w:r w:rsidR="00BF56B4">
        <w:t xml:space="preserve">rzeczywiste, </w:t>
      </w:r>
      <w:r>
        <w:t>jest</w:t>
      </w:r>
      <w:r w:rsidR="00BF56B4">
        <w:t xml:space="preserve"> wykazane</w:t>
      </w:r>
      <w:r>
        <w:t>, jeżeli skarżący zapłacił lub musi zapłacić te</w:t>
      </w:r>
      <w:r w:rsidR="009A16E1">
        <w:t> </w:t>
      </w:r>
      <w:r>
        <w:t>honoraria (</w:t>
      </w:r>
      <w:proofErr w:type="spellStart"/>
      <w:r>
        <w:rPr>
          <w:i/>
          <w:iCs/>
        </w:rPr>
        <w:t>Merabishvili</w:t>
      </w:r>
      <w:proofErr w:type="spellEnd"/>
      <w:r>
        <w:rPr>
          <w:i/>
          <w:iCs/>
        </w:rPr>
        <w:t xml:space="preserve"> przeciwko</w:t>
      </w:r>
      <w:r w:rsidR="009150B4">
        <w:rPr>
          <w:i/>
          <w:iCs/>
        </w:rPr>
        <w:t xml:space="preserve"> </w:t>
      </w:r>
      <w:r>
        <w:rPr>
          <w:i/>
          <w:iCs/>
        </w:rPr>
        <w:t xml:space="preserve">Gruzji </w:t>
      </w:r>
      <w:r>
        <w:t>[WI], nr</w:t>
      </w:r>
      <w:r w:rsidR="009150B4">
        <w:t xml:space="preserve"> </w:t>
      </w:r>
      <w:r>
        <w:t>72508/13, §</w:t>
      </w:r>
      <w:r w:rsidR="009150B4">
        <w:t xml:space="preserve"> </w:t>
      </w:r>
      <w:r>
        <w:t xml:space="preserve">371, </w:t>
      </w:r>
      <w:r w:rsidR="003769DE">
        <w:t>ETPC</w:t>
      </w:r>
      <w:r w:rsidR="009150B4">
        <w:t xml:space="preserve"> </w:t>
      </w:r>
      <w:r>
        <w:t>2017 r. (fragmenty), z</w:t>
      </w:r>
      <w:r w:rsidR="009150B4">
        <w:t xml:space="preserve"> </w:t>
      </w:r>
      <w:r>
        <w:t>podanymi tam odniesieniami).</w:t>
      </w:r>
      <w:r>
        <w:rPr>
          <w:i/>
          <w:iCs/>
        </w:rPr>
        <w:t xml:space="preserve"> </w:t>
      </w:r>
      <w:r>
        <w:t>W omawian</w:t>
      </w:r>
      <w:r w:rsidR="00BF56B4">
        <w:t>ej sprawie</w:t>
      </w:r>
      <w:r>
        <w:t xml:space="preserve"> Trybunał stwierdza, że skarżący nie </w:t>
      </w:r>
      <w:r w:rsidR="00BF56B4">
        <w:t>przedstawili</w:t>
      </w:r>
      <w:r>
        <w:t xml:space="preserve"> dokumentów </w:t>
      </w:r>
      <w:r w:rsidR="00BF56B4">
        <w:t>ws</w:t>
      </w:r>
      <w:r>
        <w:t>kazujących, że zapłacili lub że mają prawny obowiązek zapłacenia honorariów adwokata (jak na przykład umowy w sprawie wynagrodzenia, faktury lub potwierdzenia płatności). W</w:t>
      </w:r>
      <w:r w:rsidR="009150B4">
        <w:t xml:space="preserve"> </w:t>
      </w:r>
      <w:r>
        <w:t>tych okolicznościach Trybunał nie</w:t>
      </w:r>
      <w:r w:rsidR="009A16E1">
        <w:t> </w:t>
      </w:r>
      <w:r>
        <w:t xml:space="preserve">dostrzega </w:t>
      </w:r>
      <w:r w:rsidR="00BF56B4">
        <w:t>podstaw do s</w:t>
      </w:r>
      <w:r>
        <w:t>twierdzenia</w:t>
      </w:r>
      <w:r w:rsidR="00BF56B4">
        <w:t>, że</w:t>
      </w:r>
      <w:r>
        <w:t xml:space="preserve"> </w:t>
      </w:r>
      <w:r w:rsidR="00BF56B4">
        <w:t xml:space="preserve">koszty, </w:t>
      </w:r>
      <w:r>
        <w:t>których zwrot jest przedmiotem żądania</w:t>
      </w:r>
      <w:r w:rsidR="00BF56B4">
        <w:t>, mają charakter rzeczywisty</w:t>
      </w:r>
      <w:r>
        <w:t>. Wynika z tego, że</w:t>
      </w:r>
      <w:r w:rsidR="009A16E1">
        <w:t> </w:t>
      </w:r>
      <w:r>
        <w:t>żądanie dotyczące kosztów winno być od</w:t>
      </w:r>
      <w:r w:rsidR="00BF56B4">
        <w:t>dalone</w:t>
      </w:r>
      <w:r>
        <w:t>.</w:t>
      </w:r>
    </w:p>
    <w:p w:rsidR="00AB752B" w:rsidRPr="00235747" w:rsidRDefault="00AB752B" w:rsidP="00235747">
      <w:pPr>
        <w:pStyle w:val="ECHRTitle1"/>
      </w:pPr>
      <w:r>
        <w:t>Z TYCH WZGLĘDÓW TRYBUNAŁ JEDNOGŁOŚNIE</w:t>
      </w:r>
    </w:p>
    <w:p w:rsidR="00AB752B" w:rsidRPr="00235747" w:rsidRDefault="00AB752B" w:rsidP="00235747">
      <w:pPr>
        <w:pStyle w:val="JuList"/>
      </w:pPr>
      <w:r>
        <w:t>1.</w:t>
      </w:r>
      <w:r w:rsidR="009150B4">
        <w:rPr>
          <w:i/>
          <w:iCs/>
        </w:rPr>
        <w:t xml:space="preserve"> </w:t>
      </w:r>
      <w:r w:rsidR="00BF56B4">
        <w:rPr>
          <w:i/>
          <w:iCs/>
        </w:rPr>
        <w:t xml:space="preserve">postanawia </w:t>
      </w:r>
      <w:r w:rsidR="00BF56B4">
        <w:t>połączyć</w:t>
      </w:r>
      <w:r>
        <w:t xml:space="preserve"> skarg</w:t>
      </w:r>
      <w:r w:rsidR="00BF56B4">
        <w:t>i</w:t>
      </w:r>
      <w:r>
        <w:t>;</w:t>
      </w:r>
    </w:p>
    <w:p w:rsidR="00AB752B" w:rsidRPr="00EB3036" w:rsidRDefault="00AB752B" w:rsidP="00235747">
      <w:pPr>
        <w:pStyle w:val="JuList"/>
      </w:pPr>
    </w:p>
    <w:p w:rsidR="00AB752B" w:rsidRPr="00235747" w:rsidRDefault="00AB752B" w:rsidP="00235747">
      <w:pPr>
        <w:pStyle w:val="JuList"/>
      </w:pPr>
      <w:r>
        <w:t>2.</w:t>
      </w:r>
      <w:r w:rsidR="009150B4">
        <w:rPr>
          <w:i/>
          <w:iCs/>
        </w:rPr>
        <w:t xml:space="preserve"> </w:t>
      </w:r>
      <w:r w:rsidR="00BF56B4">
        <w:rPr>
          <w:i/>
          <w:iCs/>
        </w:rPr>
        <w:t xml:space="preserve">postanawia </w:t>
      </w:r>
      <w:r w:rsidR="00BF56B4">
        <w:t>skreślić</w:t>
      </w:r>
      <w:r>
        <w:t xml:space="preserve"> z</w:t>
      </w:r>
      <w:r w:rsidR="00BF56B4">
        <w:t xml:space="preserve"> listy</w:t>
      </w:r>
      <w:r w:rsidR="00465E31">
        <w:t xml:space="preserve"> spraw</w:t>
      </w:r>
      <w:r w:rsidR="00BF56B4">
        <w:t xml:space="preserve"> skargę</w:t>
      </w:r>
      <w:r>
        <w:t xml:space="preserve"> </w:t>
      </w:r>
      <w:r w:rsidR="00AA2F9F">
        <w:t>złożoną</w:t>
      </w:r>
      <w:r>
        <w:t xml:space="preserve"> przez panią </w:t>
      </w:r>
      <w:proofErr w:type="spellStart"/>
      <w:r>
        <w:t>Tikonową</w:t>
      </w:r>
      <w:proofErr w:type="spellEnd"/>
      <w:r>
        <w:t>;</w:t>
      </w:r>
    </w:p>
    <w:p w:rsidR="00AB752B" w:rsidRPr="00EB3036" w:rsidRDefault="00AB752B" w:rsidP="00235747">
      <w:pPr>
        <w:pStyle w:val="JuList"/>
      </w:pPr>
    </w:p>
    <w:p w:rsidR="00AB752B" w:rsidRPr="00235747" w:rsidRDefault="00AB752B" w:rsidP="00235747">
      <w:pPr>
        <w:pStyle w:val="JuList"/>
        <w:rPr>
          <w:i/>
          <w:iCs/>
        </w:rPr>
      </w:pPr>
      <w:r>
        <w:t>3.</w:t>
      </w:r>
      <w:r w:rsidR="009150B4">
        <w:t xml:space="preserve"> </w:t>
      </w:r>
      <w:r>
        <w:rPr>
          <w:i/>
          <w:iCs/>
        </w:rPr>
        <w:t>uznaje</w:t>
      </w:r>
      <w:r>
        <w:t xml:space="preserve"> skargi za dopuszczalne w </w:t>
      </w:r>
      <w:r w:rsidR="004A4E66">
        <w:t>odniesieniu do</w:t>
      </w:r>
      <w:r>
        <w:t xml:space="preserve"> zarzutu naruszenia z</w:t>
      </w:r>
      <w:r w:rsidR="009A16E1">
        <w:t> </w:t>
      </w:r>
      <w:r>
        <w:t>art.</w:t>
      </w:r>
      <w:r w:rsidR="009A16E1">
        <w:t> </w:t>
      </w:r>
      <w:r>
        <w:t xml:space="preserve">1 Protokołu nr 1 </w:t>
      </w:r>
      <w:r w:rsidR="006669FA">
        <w:t xml:space="preserve">do </w:t>
      </w:r>
      <w:r>
        <w:t>Konwencji i za niedopuszczalne w pozostałej części;</w:t>
      </w:r>
    </w:p>
    <w:p w:rsidR="00AB752B" w:rsidRPr="00EB3036" w:rsidRDefault="00AB752B" w:rsidP="00235747">
      <w:pPr>
        <w:pStyle w:val="JuList"/>
      </w:pPr>
    </w:p>
    <w:p w:rsidR="00AB752B" w:rsidRPr="00235747" w:rsidRDefault="00AB752B" w:rsidP="00235747">
      <w:pPr>
        <w:pStyle w:val="JuList"/>
      </w:pPr>
      <w:r>
        <w:t>4.</w:t>
      </w:r>
      <w:r w:rsidR="009150B4">
        <w:t xml:space="preserve"> </w:t>
      </w:r>
      <w:r>
        <w:rPr>
          <w:i/>
          <w:iCs/>
        </w:rPr>
        <w:t>uznaje,</w:t>
      </w:r>
      <w:r>
        <w:t xml:space="preserve"> że nie doszło do naruszenia art. 1 Protokołu nr 1 </w:t>
      </w:r>
      <w:r w:rsidR="006669FA">
        <w:t xml:space="preserve">do </w:t>
      </w:r>
      <w:r>
        <w:t>Konwencji w</w:t>
      </w:r>
      <w:r w:rsidR="009A16E1">
        <w:t> </w:t>
      </w:r>
      <w:r>
        <w:t xml:space="preserve">zakresie dotyczącym pana </w:t>
      </w:r>
      <w:proofErr w:type="spellStart"/>
      <w:r>
        <w:t>Zidowa</w:t>
      </w:r>
      <w:proofErr w:type="spellEnd"/>
      <w:r>
        <w:t xml:space="preserve"> i pani </w:t>
      </w:r>
      <w:proofErr w:type="spellStart"/>
      <w:r>
        <w:t>Kosenko</w:t>
      </w:r>
      <w:proofErr w:type="spellEnd"/>
      <w:r>
        <w:t>;</w:t>
      </w:r>
    </w:p>
    <w:p w:rsidR="00AB752B" w:rsidRPr="00EB3036" w:rsidRDefault="00AB752B" w:rsidP="00235747">
      <w:pPr>
        <w:pStyle w:val="JuList"/>
      </w:pPr>
    </w:p>
    <w:p w:rsidR="00AB752B" w:rsidRPr="00235747" w:rsidRDefault="00AB752B" w:rsidP="00235747">
      <w:pPr>
        <w:pStyle w:val="JuList"/>
      </w:pPr>
      <w:r>
        <w:t>5.</w:t>
      </w:r>
      <w:r w:rsidR="009150B4">
        <w:t xml:space="preserve"> </w:t>
      </w:r>
      <w:r>
        <w:rPr>
          <w:i/>
          <w:iCs/>
        </w:rPr>
        <w:t>uznaje,</w:t>
      </w:r>
      <w:r>
        <w:t xml:space="preserve"> że doszło do naruszenia art. 1 Protokołu nr 1 </w:t>
      </w:r>
      <w:r w:rsidR="006669FA">
        <w:t xml:space="preserve">do </w:t>
      </w:r>
      <w:r>
        <w:t>Konwencji w</w:t>
      </w:r>
      <w:r w:rsidR="009A16E1">
        <w:t> </w:t>
      </w:r>
      <w:r>
        <w:t>zakresie dotyczącym pań</w:t>
      </w:r>
      <w:r w:rsidR="009150B4">
        <w:t xml:space="preserve"> </w:t>
      </w:r>
      <w:proofErr w:type="spellStart"/>
      <w:r>
        <w:t>Kastornowy</w:t>
      </w:r>
      <w:proofErr w:type="spellEnd"/>
      <w:r>
        <w:t xml:space="preserve"> i Wdowiny oraz pana Wdowina;</w:t>
      </w:r>
    </w:p>
    <w:p w:rsidR="00AB752B" w:rsidRPr="00EB3036" w:rsidRDefault="00AB752B" w:rsidP="00235747">
      <w:pPr>
        <w:pStyle w:val="JuList"/>
      </w:pPr>
    </w:p>
    <w:p w:rsidR="00AB752B" w:rsidRPr="00235747" w:rsidRDefault="00AB752B" w:rsidP="00235747">
      <w:pPr>
        <w:pStyle w:val="JuList"/>
      </w:pPr>
      <w:r>
        <w:t>6.</w:t>
      </w:r>
      <w:r w:rsidR="009150B4">
        <w:t xml:space="preserve"> </w:t>
      </w:r>
      <w:r>
        <w:rPr>
          <w:i/>
          <w:iCs/>
        </w:rPr>
        <w:t>stwierdza,</w:t>
      </w:r>
      <w:r>
        <w:t xml:space="preserve"> że kwestia art. 41 Konwencji nie jest gotowa do</w:t>
      </w:r>
      <w:r w:rsidR="009A16E1">
        <w:t> </w:t>
      </w:r>
      <w:r>
        <w:t>rozstrzygnięcia w zakresie szkody materialnej i krzywdy moralnej i</w:t>
      </w:r>
      <w:r w:rsidR="009A16E1">
        <w:t> </w:t>
      </w:r>
      <w:r>
        <w:t>w</w:t>
      </w:r>
      <w:r w:rsidR="009150B4">
        <w:t xml:space="preserve"> </w:t>
      </w:r>
      <w:r w:rsidR="00BF56B4">
        <w:t>związku z tym:</w:t>
      </w:r>
    </w:p>
    <w:p w:rsidR="00AB752B" w:rsidRPr="00235747" w:rsidRDefault="00AB752B" w:rsidP="00235747">
      <w:pPr>
        <w:pStyle w:val="JuLista"/>
      </w:pPr>
      <w:r>
        <w:t>a)</w:t>
      </w:r>
      <w:r w:rsidR="009150B4">
        <w:t xml:space="preserve"> </w:t>
      </w:r>
      <w:r>
        <w:rPr>
          <w:i/>
          <w:iCs/>
        </w:rPr>
        <w:t>wstrzymuje</w:t>
      </w:r>
      <w:r>
        <w:t xml:space="preserve"> rozpoznanie tej kwestii;</w:t>
      </w:r>
    </w:p>
    <w:p w:rsidR="00AB752B" w:rsidRPr="00235747" w:rsidRDefault="00AB752B" w:rsidP="00235747">
      <w:pPr>
        <w:pStyle w:val="JuLista"/>
      </w:pPr>
      <w:r>
        <w:t>b)</w:t>
      </w:r>
      <w:r w:rsidR="009150B4">
        <w:t xml:space="preserve"> </w:t>
      </w:r>
      <w:r>
        <w:rPr>
          <w:i/>
          <w:iCs/>
        </w:rPr>
        <w:t>zaprasza</w:t>
      </w:r>
      <w:r>
        <w:t xml:space="preserve"> Rząd i skarżących do poinformowania Trybunału w</w:t>
      </w:r>
      <w:r w:rsidR="009A16E1">
        <w:t> </w:t>
      </w:r>
      <w:r>
        <w:t xml:space="preserve">terminie sześciu miesięcy od daty, </w:t>
      </w:r>
      <w:r w:rsidR="00BF56B4">
        <w:t>w której</w:t>
      </w:r>
      <w:r>
        <w:t xml:space="preserve"> niniejszy wyrok stanie się ostateczny zgodnie z art. 44 ust. 2 Konwencji, o każdym osiągniętym porozumieniu;</w:t>
      </w:r>
    </w:p>
    <w:p w:rsidR="00AB752B" w:rsidRPr="00235747" w:rsidRDefault="00AB752B" w:rsidP="00235747">
      <w:pPr>
        <w:pStyle w:val="JuLista"/>
      </w:pPr>
      <w:r>
        <w:lastRenderedPageBreak/>
        <w:t>c)</w:t>
      </w:r>
      <w:r w:rsidR="009150B4">
        <w:t xml:space="preserve"> </w:t>
      </w:r>
      <w:r>
        <w:rPr>
          <w:i/>
          <w:iCs/>
        </w:rPr>
        <w:t>odracza</w:t>
      </w:r>
      <w:r>
        <w:t xml:space="preserve"> dalsze postępowanie i deleguje na Przewodniczącego Izby uprawnienie do wyznaczenia takowego w razie potrzeby;</w:t>
      </w:r>
    </w:p>
    <w:p w:rsidR="00AB752B" w:rsidRPr="00EB3036" w:rsidRDefault="00AB752B" w:rsidP="00235747">
      <w:pPr>
        <w:pStyle w:val="JuList"/>
      </w:pPr>
    </w:p>
    <w:p w:rsidR="00AB752B" w:rsidRPr="00235747" w:rsidRDefault="00AB752B" w:rsidP="00235747">
      <w:pPr>
        <w:pStyle w:val="JuList"/>
      </w:pPr>
      <w:r>
        <w:t>7.</w:t>
      </w:r>
      <w:r w:rsidR="009150B4">
        <w:t xml:space="preserve"> </w:t>
      </w:r>
      <w:r>
        <w:rPr>
          <w:i/>
          <w:iCs/>
        </w:rPr>
        <w:t>oddala</w:t>
      </w:r>
      <w:r>
        <w:t xml:space="preserve"> żądanie w zakresie </w:t>
      </w:r>
      <w:r w:rsidR="007906F6">
        <w:t>zwrotu kosztów i wydatków</w:t>
      </w:r>
      <w:r>
        <w:t>.</w:t>
      </w:r>
    </w:p>
    <w:p w:rsidR="00AB752B" w:rsidRPr="00235747" w:rsidRDefault="00AB752B" w:rsidP="00235747">
      <w:pPr>
        <w:pStyle w:val="JuParaLast"/>
      </w:pPr>
      <w:r>
        <w:t>Sporządzono w języku francuskim oraz obwieszczono pisemnie dnia 16</w:t>
      </w:r>
      <w:r w:rsidR="009A16E1">
        <w:t> </w:t>
      </w:r>
      <w:r>
        <w:t>października 2018 r., zgodnie z Regułą 77 §§ 2 i 3 Regulaminu Trybunału.</w:t>
      </w:r>
    </w:p>
    <w:p w:rsidR="00AB752B" w:rsidRPr="00235747" w:rsidRDefault="00AB752B" w:rsidP="00235747">
      <w:pPr>
        <w:pStyle w:val="JuSigned"/>
        <w:tabs>
          <w:tab w:val="clear" w:pos="6407"/>
          <w:tab w:val="center" w:pos="6237"/>
        </w:tabs>
      </w:pPr>
      <w:r>
        <w:tab/>
      </w:r>
      <w:proofErr w:type="spellStart"/>
      <w:r>
        <w:t>Fatoş</w:t>
      </w:r>
      <w:proofErr w:type="spellEnd"/>
      <w:r>
        <w:t xml:space="preserve"> </w:t>
      </w:r>
      <w:proofErr w:type="spellStart"/>
      <w:r>
        <w:t>Aracı</w:t>
      </w:r>
      <w:proofErr w:type="spellEnd"/>
      <w:r>
        <w:tab/>
        <w:t>Vincent A.</w:t>
      </w:r>
      <w:r w:rsidR="009150B4">
        <w:t xml:space="preserve"> </w:t>
      </w:r>
      <w:r>
        <w:t>De Gaetano</w:t>
      </w:r>
      <w:r>
        <w:br/>
      </w:r>
      <w:r>
        <w:tab/>
        <w:t xml:space="preserve"> Zastępca Kanclerza</w:t>
      </w:r>
      <w:r>
        <w:tab/>
        <w:t>Przewodniczący</w:t>
      </w:r>
    </w:p>
    <w:p w:rsidR="00AB752B" w:rsidRPr="00235747" w:rsidRDefault="00AB752B" w:rsidP="00235747">
      <w:pPr>
        <w:tabs>
          <w:tab w:val="center" w:pos="851"/>
          <w:tab w:val="center" w:pos="6407"/>
        </w:tabs>
        <w:spacing w:before="720"/>
        <w:jc w:val="left"/>
      </w:pPr>
      <w:r>
        <w:br w:type="page"/>
      </w:r>
    </w:p>
    <w:p w:rsidR="00AB752B" w:rsidRPr="00235747" w:rsidRDefault="00AB752B" w:rsidP="00235747">
      <w:pPr>
        <w:pStyle w:val="ECHRTitle1"/>
        <w:jc w:val="center"/>
      </w:pPr>
      <w:r>
        <w:rPr>
          <w:b/>
          <w:bCs/>
        </w:rPr>
        <w:lastRenderedPageBreak/>
        <w:t>ZAŁĄCZNIK</w:t>
      </w:r>
    </w:p>
    <w:p w:rsidR="00AB752B" w:rsidRPr="007906F6" w:rsidRDefault="007906F6" w:rsidP="00235747">
      <w:pPr>
        <w:rPr>
          <w:i/>
          <w:lang w:val="fr-FR"/>
        </w:rPr>
      </w:pPr>
      <w:r w:rsidRPr="007906F6">
        <w:rPr>
          <w:i/>
          <w:lang w:val="fr-FR"/>
        </w:rPr>
        <w:t>[Tabela zawierająca dane osobowe skarżących i ich pełnomocników została pominięte w niniejszym tłumaczeniu]</w:t>
      </w:r>
    </w:p>
    <w:p w:rsidR="00AB752B" w:rsidRPr="00235747" w:rsidRDefault="00AB752B" w:rsidP="00235747">
      <w:pPr>
        <w:pStyle w:val="ECHRPara"/>
        <w:rPr>
          <w:lang w:val="fr-FR"/>
        </w:rPr>
      </w:pPr>
    </w:p>
    <w:sectPr w:rsidR="00AB752B" w:rsidRPr="00235747" w:rsidSect="00C15AFF">
      <w:headerReference w:type="even" r:id="rId15"/>
      <w:headerReference w:type="default" r:id="rId16"/>
      <w:footerReference w:type="even" r:id="rId17"/>
      <w:footerReference w:type="default" r:id="rId18"/>
      <w:footnotePr>
        <w:numRestart w:val="eachSect"/>
      </w:footnotePr>
      <w:pgSz w:w="11906" w:h="16838" w:code="9"/>
      <w:pgMar w:top="2274" w:right="2274" w:bottom="2274" w:left="2274" w:header="1701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951" w:rsidRPr="001D19C3" w:rsidRDefault="00960951" w:rsidP="002D2C99">
      <w:pPr>
        <w:rPr>
          <w:lang w:val="fr-FR"/>
        </w:rPr>
      </w:pPr>
      <w:r w:rsidRPr="001D19C3">
        <w:rPr>
          <w:lang w:val="fr-FR"/>
        </w:rPr>
        <w:separator/>
      </w:r>
    </w:p>
  </w:endnote>
  <w:endnote w:type="continuationSeparator" w:id="0">
    <w:p w:rsidR="00960951" w:rsidRPr="001D19C3" w:rsidRDefault="00960951" w:rsidP="002D2C99">
      <w:pPr>
        <w:rPr>
          <w:lang w:val="fr-FR"/>
        </w:rPr>
      </w:pPr>
      <w:r w:rsidRPr="001D19C3">
        <w:rPr>
          <w:lang w:val="fr-FR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87" w:rsidRDefault="00F320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87" w:rsidRPr="00150BFA" w:rsidRDefault="00F32087" w:rsidP="00A90EAF">
    <w:pPr>
      <w:jc w:val="center"/>
    </w:pPr>
    <w:r>
      <w:rPr>
        <w:noProof/>
        <w:lang w:eastAsia="pl-PL"/>
      </w:rPr>
      <w:drawing>
        <wp:inline distT="0" distB="0" distL="0" distR="0">
          <wp:extent cx="762000" cy="6191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2087" w:rsidRPr="001D19C3" w:rsidRDefault="00F32087" w:rsidP="00A90EAF">
    <w:pPr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87" w:rsidRDefault="00F32087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87" w:rsidRPr="00576E6F" w:rsidRDefault="00F32087" w:rsidP="00576E6F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87" w:rsidRDefault="00F32087" w:rsidP="00A90E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951" w:rsidRPr="001D19C3" w:rsidRDefault="00960951" w:rsidP="002D2C99">
      <w:pPr>
        <w:rPr>
          <w:lang w:val="fr-FR"/>
        </w:rPr>
      </w:pPr>
      <w:r w:rsidRPr="001D19C3">
        <w:rPr>
          <w:lang w:val="fr-FR"/>
        </w:rPr>
        <w:separator/>
      </w:r>
    </w:p>
  </w:footnote>
  <w:footnote w:type="continuationSeparator" w:id="0">
    <w:p w:rsidR="00960951" w:rsidRPr="001D19C3" w:rsidRDefault="00960951" w:rsidP="002D2C99">
      <w:pPr>
        <w:rPr>
          <w:lang w:val="fr-FR"/>
        </w:rPr>
      </w:pPr>
      <w:r w:rsidRPr="001D19C3">
        <w:rPr>
          <w:lang w:val="fr-FR"/>
        </w:rPr>
        <w:continuationSeparator/>
      </w:r>
    </w:p>
  </w:footnote>
  <w:footnote w:id="1">
    <w:p w:rsidR="00F32087" w:rsidRPr="00E149F5" w:rsidRDefault="00F32087" w:rsidP="001A7286">
      <w:pPr>
        <w:pStyle w:val="s50c0b1c7"/>
        <w:jc w:val="both"/>
        <w:rPr>
          <w:lang w:val="en-GB"/>
        </w:rPr>
      </w:pPr>
      <w:r w:rsidRPr="00EA528C">
        <w:rPr>
          <w:rStyle w:val="Odwoanieprzypisudolnego"/>
          <w:sz w:val="20"/>
          <w:szCs w:val="20"/>
        </w:rPr>
        <w:footnoteRef/>
      </w:r>
      <w:r w:rsidRPr="00EA528C">
        <w:rPr>
          <w:lang w:val="en-GB"/>
        </w:rPr>
        <w:t xml:space="preserve"> </w:t>
      </w:r>
      <w:proofErr w:type="spellStart"/>
      <w:r w:rsidRPr="00EA528C">
        <w:rPr>
          <w:sz w:val="20"/>
          <w:szCs w:val="20"/>
          <w:lang w:val="en-GB"/>
        </w:rPr>
        <w:t>Źródło</w:t>
      </w:r>
      <w:proofErr w:type="spellEnd"/>
      <w:r w:rsidRPr="00EA528C">
        <w:rPr>
          <w:sz w:val="20"/>
          <w:szCs w:val="20"/>
          <w:lang w:val="en-GB"/>
        </w:rPr>
        <w:t xml:space="preserve">: </w:t>
      </w:r>
      <w:proofErr w:type="spellStart"/>
      <w:r w:rsidRPr="00EA528C">
        <w:rPr>
          <w:sz w:val="20"/>
          <w:szCs w:val="20"/>
          <w:lang w:val="en-GB"/>
        </w:rPr>
        <w:t>Komunikat</w:t>
      </w:r>
      <w:proofErr w:type="spellEnd"/>
      <w:r w:rsidRPr="00EA528C">
        <w:rPr>
          <w:sz w:val="20"/>
          <w:szCs w:val="20"/>
          <w:lang w:val="en-GB"/>
        </w:rPr>
        <w:t xml:space="preserve"> </w:t>
      </w:r>
      <w:proofErr w:type="spellStart"/>
      <w:r w:rsidRPr="00EA528C">
        <w:rPr>
          <w:sz w:val="20"/>
          <w:szCs w:val="20"/>
          <w:lang w:val="en-GB"/>
        </w:rPr>
        <w:t>prasowy</w:t>
      </w:r>
      <w:proofErr w:type="spellEnd"/>
      <w:r w:rsidRPr="00EA528C">
        <w:rPr>
          <w:sz w:val="20"/>
          <w:szCs w:val="20"/>
          <w:lang w:val="en-GB"/>
        </w:rPr>
        <w:t xml:space="preserve"> </w:t>
      </w:r>
      <w:proofErr w:type="spellStart"/>
      <w:r w:rsidRPr="00EA528C">
        <w:rPr>
          <w:sz w:val="20"/>
          <w:szCs w:val="20"/>
          <w:lang w:val="en-GB"/>
        </w:rPr>
        <w:t>Kanclerza</w:t>
      </w:r>
      <w:proofErr w:type="spellEnd"/>
      <w:r w:rsidRPr="00EA528C">
        <w:rPr>
          <w:sz w:val="20"/>
          <w:szCs w:val="20"/>
          <w:lang w:val="en-GB"/>
        </w:rPr>
        <w:t xml:space="preserve"> </w:t>
      </w:r>
      <w:proofErr w:type="spellStart"/>
      <w:r w:rsidRPr="00EA528C">
        <w:rPr>
          <w:sz w:val="20"/>
          <w:szCs w:val="20"/>
          <w:lang w:val="en-GB"/>
        </w:rPr>
        <w:t>Trybunału</w:t>
      </w:r>
      <w:proofErr w:type="spellEnd"/>
      <w:r w:rsidRPr="00EA528C">
        <w:rPr>
          <w:sz w:val="20"/>
          <w:szCs w:val="20"/>
          <w:lang w:val="en-GB"/>
        </w:rPr>
        <w:t xml:space="preserve"> </w:t>
      </w:r>
      <w:r w:rsidRPr="00EA528C">
        <w:rPr>
          <w:rStyle w:val="s3aeeab2"/>
          <w:sz w:val="20"/>
          <w:szCs w:val="20"/>
          <w:lang w:val="en-GB"/>
        </w:rPr>
        <w:t>ECHR 342(2018)</w:t>
      </w:r>
      <w:r w:rsidRPr="00EA528C">
        <w:rPr>
          <w:sz w:val="20"/>
          <w:szCs w:val="20"/>
          <w:lang w:val="en-GB"/>
        </w:rPr>
        <w:t>, 16.10.2018</w:t>
      </w:r>
      <w:r>
        <w:rPr>
          <w:sz w:val="20"/>
          <w:szCs w:val="20"/>
          <w:lang w:val="en-GB"/>
        </w:rPr>
        <w:t xml:space="preserve"> r.</w:t>
      </w:r>
      <w:r w:rsidRPr="00EA528C">
        <w:rPr>
          <w:sz w:val="20"/>
          <w:szCs w:val="20"/>
          <w:lang w:val="en-GB"/>
        </w:rPr>
        <w:t xml:space="preserve"> (</w:t>
      </w:r>
      <w:r w:rsidRPr="00EA528C">
        <w:rPr>
          <w:rStyle w:val="s3aeeab2"/>
          <w:i/>
          <w:iCs/>
          <w:sz w:val="20"/>
          <w:szCs w:val="20"/>
          <w:lang w:val="en-GB"/>
        </w:rPr>
        <w:t>Press</w:t>
      </w:r>
      <w:r>
        <w:rPr>
          <w:rStyle w:val="s3aeeab2"/>
          <w:i/>
          <w:iCs/>
          <w:sz w:val="20"/>
          <w:szCs w:val="20"/>
          <w:lang w:val="en-GB"/>
        </w:rPr>
        <w:t> </w:t>
      </w:r>
      <w:r w:rsidRPr="00EA528C">
        <w:rPr>
          <w:rStyle w:val="s3aeeab2"/>
          <w:i/>
          <w:iCs/>
          <w:sz w:val="20"/>
          <w:szCs w:val="20"/>
          <w:lang w:val="en-GB"/>
        </w:rPr>
        <w:t>Release issued by the Registrar of the Court ECHR 342(2018) 16.10.2018</w:t>
      </w:r>
      <w:r w:rsidRPr="00EA528C">
        <w:rPr>
          <w:rStyle w:val="sfbbfee58"/>
          <w:i/>
          <w:iCs/>
          <w:sz w:val="20"/>
          <w:szCs w:val="20"/>
          <w:lang w:val="en-GB"/>
        </w:rPr>
        <w:t>)</w:t>
      </w:r>
    </w:p>
    <w:p w:rsidR="00F32087" w:rsidRPr="006669FA" w:rsidRDefault="00F32087" w:rsidP="001A7286">
      <w:pPr>
        <w:pStyle w:val="s50c0b1c7"/>
        <w:jc w:val="both"/>
        <w:rPr>
          <w:lang w:val="en-GB"/>
        </w:rPr>
      </w:pPr>
    </w:p>
  </w:footnote>
  <w:footnote w:id="2">
    <w:p w:rsidR="00F32087" w:rsidRDefault="00F32087">
      <w:pPr>
        <w:pStyle w:val="Tekstprzypisudolnego"/>
      </w:pPr>
      <w:r>
        <w:rPr>
          <w:rStyle w:val="Odwoanieprzypisudolnego"/>
        </w:rPr>
        <w:footnoteRef/>
      </w:r>
      <w:r>
        <w:t xml:space="preserve"> Prawdopodobnie chodzi o art. 35 ust. 3 lit. a Konwencji [przyp. red.].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87" w:rsidRDefault="00F320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87" w:rsidRPr="00A45145" w:rsidRDefault="00F32087" w:rsidP="00A90EAF">
    <w:pPr>
      <w:jc w:val="center"/>
    </w:pPr>
    <w:r>
      <w:rPr>
        <w:noProof/>
        <w:lang w:eastAsia="pl-PL"/>
      </w:rPr>
      <w:drawing>
        <wp:inline distT="0" distB="0" distL="0" distR="0">
          <wp:extent cx="2962275" cy="12096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2087" w:rsidRPr="001D19C3" w:rsidRDefault="00F32087" w:rsidP="00F5432B">
    <w:pPr>
      <w:jc w:val="center"/>
      <w:rPr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87" w:rsidRDefault="00F32087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87" w:rsidRPr="00F5432B" w:rsidRDefault="00667E64" w:rsidP="00F5432B">
    <w:pPr>
      <w:pStyle w:val="ECHRHeader"/>
    </w:pPr>
    <w:r w:rsidRPr="00052375">
      <w:rPr>
        <w:rStyle w:val="Numerstrony"/>
      </w:rPr>
      <w:fldChar w:fldCharType="begin"/>
    </w:r>
    <w:r w:rsidR="00F32087" w:rsidRPr="00052375">
      <w:rPr>
        <w:rStyle w:val="Numerstrony"/>
      </w:rPr>
      <w:instrText xml:space="preserve"> PAGE </w:instrText>
    </w:r>
    <w:r w:rsidRPr="00052375">
      <w:rPr>
        <w:rStyle w:val="Numerstrony"/>
      </w:rPr>
      <w:fldChar w:fldCharType="separate"/>
    </w:r>
    <w:r w:rsidR="00284368">
      <w:rPr>
        <w:rStyle w:val="Numerstrony"/>
        <w:noProof/>
      </w:rPr>
      <w:t>20</w:t>
    </w:r>
    <w:r w:rsidRPr="00052375">
      <w:rPr>
        <w:rStyle w:val="Numerstrony"/>
      </w:rPr>
      <w:fldChar w:fldCharType="end"/>
    </w:r>
    <w:r w:rsidR="00F32087">
      <w:tab/>
      <w:t>WYROK W SPRAWIE ZHIDOV I INNI PRZECWKO ROSJI (PRZEDMIOT SKARGI)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87" w:rsidRPr="00052375" w:rsidRDefault="00F32087" w:rsidP="00420F04">
    <w:pPr>
      <w:pStyle w:val="ECHRHeader"/>
    </w:pPr>
    <w:r>
      <w:tab/>
      <w:t>WYROK W SPRAWIE ZHIDOV I INNI PRZECIWKO ROSJI (PRZEDMIOT SKARGI)</w:t>
    </w:r>
    <w:r>
      <w:tab/>
    </w:r>
    <w:r w:rsidR="00667E64" w:rsidRPr="00052375">
      <w:rPr>
        <w:rStyle w:val="Numerstrony"/>
      </w:rPr>
      <w:fldChar w:fldCharType="begin"/>
    </w:r>
    <w:r w:rsidRPr="00052375">
      <w:rPr>
        <w:rStyle w:val="Numerstrony"/>
      </w:rPr>
      <w:instrText xml:space="preserve"> PAGE </w:instrText>
    </w:r>
    <w:r w:rsidR="00667E64" w:rsidRPr="00052375">
      <w:rPr>
        <w:rStyle w:val="Numerstrony"/>
      </w:rPr>
      <w:fldChar w:fldCharType="separate"/>
    </w:r>
    <w:r w:rsidR="00284368">
      <w:rPr>
        <w:rStyle w:val="Numerstrony"/>
        <w:noProof/>
      </w:rPr>
      <w:t>19</w:t>
    </w:r>
    <w:r w:rsidR="00667E64" w:rsidRPr="00052375">
      <w:rPr>
        <w:rStyle w:val="Numerstrony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08B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F25AF4"/>
    <w:lvl w:ilvl="0">
      <w:start w:val="1"/>
      <w:numFmt w:val="decimal"/>
      <w:pStyle w:val="Listanumerowana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02EDC2"/>
    <w:lvl w:ilvl="0">
      <w:start w:val="1"/>
      <w:numFmt w:val="decimal"/>
      <w:pStyle w:val="Listanumerowana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E60D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AA4F5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A322D3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DDCF24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804BE7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2A8490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CC5F40"/>
    <w:lvl w:ilvl="0">
      <w:start w:val="1"/>
      <w:numFmt w:val="bullet"/>
      <w:pStyle w:val="JuAppQues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E65319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7363396"/>
    <w:multiLevelType w:val="multilevel"/>
    <w:tmpl w:val="040C0023"/>
    <w:styleLink w:val="Artykusekcja"/>
    <w:lvl w:ilvl="0">
      <w:start w:val="1"/>
      <w:numFmt w:val="upperRoman"/>
      <w:lvlText w:val="Article %1."/>
      <w:lvlJc w:val="left"/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D927702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E205B9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E018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D558CA"/>
    <w:multiLevelType w:val="hybridMultilevel"/>
    <w:tmpl w:val="F39C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233A6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C682E8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70152ADB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6"/>
  </w:num>
  <w:num w:numId="30">
    <w:abstractNumId w:val="18"/>
  </w:num>
  <w:num w:numId="31">
    <w:abstractNumId w:val="16"/>
  </w:num>
  <w:num w:numId="32">
    <w:abstractNumId w:val="11"/>
  </w:num>
  <w:num w:numId="33">
    <w:abstractNumId w:val="15"/>
  </w:num>
  <w:num w:numId="34">
    <w:abstractNumId w:val="13"/>
  </w:num>
  <w:num w:numId="35">
    <w:abstractNumId w:val="17"/>
  </w:num>
  <w:num w:numId="36">
    <w:abstractNumId w:val="10"/>
  </w:num>
  <w:num w:numId="37">
    <w:abstractNumId w:val="12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/>
  <w:defaultTabStop w:val="720"/>
  <w:hyphenationZone w:val="425"/>
  <w:doNotHyphenateCaps/>
  <w:evenAndOddHeader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6"/>
  </w:hdrShapeDefaults>
  <w:footnotePr>
    <w:numRestart w:val="eachSect"/>
    <w:footnote w:id="-1"/>
    <w:footnote w:id="0"/>
  </w:footnotePr>
  <w:endnotePr>
    <w:endnote w:id="-1"/>
    <w:endnote w:id="0"/>
  </w:endnotePr>
  <w:compat/>
  <w:docVars>
    <w:docVar w:name="EMM" w:val="0"/>
    <w:docVar w:name="NBEMMDOC" w:val="0"/>
  </w:docVars>
  <w:rsids>
    <w:rsidRoot w:val="00A90EAF"/>
    <w:rsid w:val="00003437"/>
    <w:rsid w:val="000041F8"/>
    <w:rsid w:val="000042A8"/>
    <w:rsid w:val="00004308"/>
    <w:rsid w:val="00005BF0"/>
    <w:rsid w:val="00007154"/>
    <w:rsid w:val="000079B4"/>
    <w:rsid w:val="000103AE"/>
    <w:rsid w:val="00011D69"/>
    <w:rsid w:val="00012AD3"/>
    <w:rsid w:val="00015C2D"/>
    <w:rsid w:val="00015F00"/>
    <w:rsid w:val="00016C17"/>
    <w:rsid w:val="00021B63"/>
    <w:rsid w:val="00022C1D"/>
    <w:rsid w:val="00024698"/>
    <w:rsid w:val="00034987"/>
    <w:rsid w:val="00040BAB"/>
    <w:rsid w:val="00051535"/>
    <w:rsid w:val="00052375"/>
    <w:rsid w:val="0005781D"/>
    <w:rsid w:val="000602DF"/>
    <w:rsid w:val="00061B05"/>
    <w:rsid w:val="000632D5"/>
    <w:rsid w:val="000644EE"/>
    <w:rsid w:val="00080A17"/>
    <w:rsid w:val="00083845"/>
    <w:rsid w:val="000858BF"/>
    <w:rsid w:val="000925AD"/>
    <w:rsid w:val="000A24EB"/>
    <w:rsid w:val="000A381F"/>
    <w:rsid w:val="000B1E85"/>
    <w:rsid w:val="000B6923"/>
    <w:rsid w:val="000C5F3C"/>
    <w:rsid w:val="000C6DCC"/>
    <w:rsid w:val="000D47AA"/>
    <w:rsid w:val="000D721F"/>
    <w:rsid w:val="000D7BE7"/>
    <w:rsid w:val="000E0570"/>
    <w:rsid w:val="000E069B"/>
    <w:rsid w:val="000E0E82"/>
    <w:rsid w:val="000E1DC5"/>
    <w:rsid w:val="000E223F"/>
    <w:rsid w:val="000E7D45"/>
    <w:rsid w:val="000F412E"/>
    <w:rsid w:val="000F489C"/>
    <w:rsid w:val="000F7851"/>
    <w:rsid w:val="00104E23"/>
    <w:rsid w:val="00111B0C"/>
    <w:rsid w:val="00120B95"/>
    <w:rsid w:val="00120D6C"/>
    <w:rsid w:val="001257EC"/>
    <w:rsid w:val="00126B92"/>
    <w:rsid w:val="00127B42"/>
    <w:rsid w:val="00133D33"/>
    <w:rsid w:val="00134D64"/>
    <w:rsid w:val="00135A30"/>
    <w:rsid w:val="0013612C"/>
    <w:rsid w:val="00137FF6"/>
    <w:rsid w:val="00141650"/>
    <w:rsid w:val="00150BFA"/>
    <w:rsid w:val="00162A12"/>
    <w:rsid w:val="00166530"/>
    <w:rsid w:val="00180111"/>
    <w:rsid w:val="001832BD"/>
    <w:rsid w:val="00190302"/>
    <w:rsid w:val="001943B5"/>
    <w:rsid w:val="00195134"/>
    <w:rsid w:val="001A145B"/>
    <w:rsid w:val="001A16DD"/>
    <w:rsid w:val="001A674C"/>
    <w:rsid w:val="001A7286"/>
    <w:rsid w:val="001B3B24"/>
    <w:rsid w:val="001B4128"/>
    <w:rsid w:val="001B5146"/>
    <w:rsid w:val="001C0F98"/>
    <w:rsid w:val="001C2A42"/>
    <w:rsid w:val="001D19C3"/>
    <w:rsid w:val="001D63ED"/>
    <w:rsid w:val="001D7348"/>
    <w:rsid w:val="001E035B"/>
    <w:rsid w:val="001E0961"/>
    <w:rsid w:val="001E3EAE"/>
    <w:rsid w:val="001E6F32"/>
    <w:rsid w:val="001F09BD"/>
    <w:rsid w:val="001F2145"/>
    <w:rsid w:val="001F6262"/>
    <w:rsid w:val="001F67B0"/>
    <w:rsid w:val="001F7B3D"/>
    <w:rsid w:val="00205F9F"/>
    <w:rsid w:val="00210338"/>
    <w:rsid w:val="00210BC0"/>
    <w:rsid w:val="002115FC"/>
    <w:rsid w:val="0021423C"/>
    <w:rsid w:val="002258CD"/>
    <w:rsid w:val="00230D00"/>
    <w:rsid w:val="00231DF7"/>
    <w:rsid w:val="00231FD1"/>
    <w:rsid w:val="0023278E"/>
    <w:rsid w:val="002339E0"/>
    <w:rsid w:val="00233CF8"/>
    <w:rsid w:val="00235747"/>
    <w:rsid w:val="0023575D"/>
    <w:rsid w:val="00237148"/>
    <w:rsid w:val="0024222D"/>
    <w:rsid w:val="00244B0E"/>
    <w:rsid w:val="00244F6C"/>
    <w:rsid w:val="00245DD5"/>
    <w:rsid w:val="002532C5"/>
    <w:rsid w:val="00260C03"/>
    <w:rsid w:val="0026540E"/>
    <w:rsid w:val="00275123"/>
    <w:rsid w:val="00276440"/>
    <w:rsid w:val="00282240"/>
    <w:rsid w:val="00284368"/>
    <w:rsid w:val="002948AD"/>
    <w:rsid w:val="002A01CC"/>
    <w:rsid w:val="002A61B1"/>
    <w:rsid w:val="002A663C"/>
    <w:rsid w:val="002B444B"/>
    <w:rsid w:val="002B5887"/>
    <w:rsid w:val="002C0E27"/>
    <w:rsid w:val="002C11B1"/>
    <w:rsid w:val="002C3040"/>
    <w:rsid w:val="002D022D"/>
    <w:rsid w:val="002D24BB"/>
    <w:rsid w:val="002D2C99"/>
    <w:rsid w:val="002E074B"/>
    <w:rsid w:val="002F25EA"/>
    <w:rsid w:val="002F280A"/>
    <w:rsid w:val="002F2AF7"/>
    <w:rsid w:val="002F6BFF"/>
    <w:rsid w:val="002F7E1C"/>
    <w:rsid w:val="00301A75"/>
    <w:rsid w:val="00302F70"/>
    <w:rsid w:val="0030336F"/>
    <w:rsid w:val="0030375E"/>
    <w:rsid w:val="00312A30"/>
    <w:rsid w:val="00320F72"/>
    <w:rsid w:val="0032463E"/>
    <w:rsid w:val="00326169"/>
    <w:rsid w:val="00326224"/>
    <w:rsid w:val="00336456"/>
    <w:rsid w:val="00337EE4"/>
    <w:rsid w:val="003401D8"/>
    <w:rsid w:val="00340FFD"/>
    <w:rsid w:val="00341EE9"/>
    <w:rsid w:val="003506B1"/>
    <w:rsid w:val="003569CF"/>
    <w:rsid w:val="00356AC7"/>
    <w:rsid w:val="00360593"/>
    <w:rsid w:val="003609FA"/>
    <w:rsid w:val="003710C8"/>
    <w:rsid w:val="003750BE"/>
    <w:rsid w:val="003769DE"/>
    <w:rsid w:val="00387B9D"/>
    <w:rsid w:val="0039364F"/>
    <w:rsid w:val="00396686"/>
    <w:rsid w:val="0039778E"/>
    <w:rsid w:val="003A0C14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1212"/>
    <w:rsid w:val="00414300"/>
    <w:rsid w:val="0041669F"/>
    <w:rsid w:val="004176D0"/>
    <w:rsid w:val="00420F04"/>
    <w:rsid w:val="00425C67"/>
    <w:rsid w:val="00427E7A"/>
    <w:rsid w:val="00436C49"/>
    <w:rsid w:val="00445366"/>
    <w:rsid w:val="00445A38"/>
    <w:rsid w:val="00447F5B"/>
    <w:rsid w:val="00452008"/>
    <w:rsid w:val="00461DB0"/>
    <w:rsid w:val="00463926"/>
    <w:rsid w:val="00464C9A"/>
    <w:rsid w:val="00465E31"/>
    <w:rsid w:val="00473C00"/>
    <w:rsid w:val="00474F3D"/>
    <w:rsid w:val="00477E3A"/>
    <w:rsid w:val="00483E5F"/>
    <w:rsid w:val="00485FF9"/>
    <w:rsid w:val="004907F0"/>
    <w:rsid w:val="0049140B"/>
    <w:rsid w:val="004923A5"/>
    <w:rsid w:val="00496BFB"/>
    <w:rsid w:val="004A14D0"/>
    <w:rsid w:val="004A15C7"/>
    <w:rsid w:val="004A4E66"/>
    <w:rsid w:val="004B013B"/>
    <w:rsid w:val="004B112B"/>
    <w:rsid w:val="004B1E24"/>
    <w:rsid w:val="004C01E4"/>
    <w:rsid w:val="004C086C"/>
    <w:rsid w:val="004C1F56"/>
    <w:rsid w:val="004C27BC"/>
    <w:rsid w:val="004D15F3"/>
    <w:rsid w:val="004D5311"/>
    <w:rsid w:val="004D57D9"/>
    <w:rsid w:val="004D5DCC"/>
    <w:rsid w:val="004D7B47"/>
    <w:rsid w:val="004E070E"/>
    <w:rsid w:val="004F10AF"/>
    <w:rsid w:val="004F11A4"/>
    <w:rsid w:val="004F2389"/>
    <w:rsid w:val="004F304D"/>
    <w:rsid w:val="004F61BE"/>
    <w:rsid w:val="004F66B1"/>
    <w:rsid w:val="004F717F"/>
    <w:rsid w:val="00511C07"/>
    <w:rsid w:val="00516099"/>
    <w:rsid w:val="005173A6"/>
    <w:rsid w:val="00520BAA"/>
    <w:rsid w:val="005236D5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07CF"/>
    <w:rsid w:val="0057271C"/>
    <w:rsid w:val="00572845"/>
    <w:rsid w:val="00576E6F"/>
    <w:rsid w:val="00585D11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D76F1"/>
    <w:rsid w:val="005E2988"/>
    <w:rsid w:val="005E3085"/>
    <w:rsid w:val="005E7C60"/>
    <w:rsid w:val="005F51E1"/>
    <w:rsid w:val="00600A4D"/>
    <w:rsid w:val="00611C80"/>
    <w:rsid w:val="00615549"/>
    <w:rsid w:val="00620692"/>
    <w:rsid w:val="006242CA"/>
    <w:rsid w:val="00627507"/>
    <w:rsid w:val="00633717"/>
    <w:rsid w:val="006344E1"/>
    <w:rsid w:val="006378AB"/>
    <w:rsid w:val="00645A90"/>
    <w:rsid w:val="006545C4"/>
    <w:rsid w:val="00661971"/>
    <w:rsid w:val="00661CE8"/>
    <w:rsid w:val="006623D9"/>
    <w:rsid w:val="0066550C"/>
    <w:rsid w:val="006669FA"/>
    <w:rsid w:val="00667E64"/>
    <w:rsid w:val="006716F2"/>
    <w:rsid w:val="00682BF2"/>
    <w:rsid w:val="006859CE"/>
    <w:rsid w:val="00691270"/>
    <w:rsid w:val="00693898"/>
    <w:rsid w:val="00694BA8"/>
    <w:rsid w:val="006A037C"/>
    <w:rsid w:val="006A36F4"/>
    <w:rsid w:val="006A406F"/>
    <w:rsid w:val="006A5D3A"/>
    <w:rsid w:val="006B4AA1"/>
    <w:rsid w:val="006C23D4"/>
    <w:rsid w:val="006C7BB0"/>
    <w:rsid w:val="006D3237"/>
    <w:rsid w:val="006E2E37"/>
    <w:rsid w:val="006E3CF1"/>
    <w:rsid w:val="006E7E80"/>
    <w:rsid w:val="006F48CA"/>
    <w:rsid w:val="006F64DD"/>
    <w:rsid w:val="00706B72"/>
    <w:rsid w:val="00715127"/>
    <w:rsid w:val="00715E8E"/>
    <w:rsid w:val="00723580"/>
    <w:rsid w:val="00723755"/>
    <w:rsid w:val="007264E3"/>
    <w:rsid w:val="0073060E"/>
    <w:rsid w:val="0073136C"/>
    <w:rsid w:val="00731F0F"/>
    <w:rsid w:val="00733250"/>
    <w:rsid w:val="007336DF"/>
    <w:rsid w:val="00741404"/>
    <w:rsid w:val="007449E5"/>
    <w:rsid w:val="00746C51"/>
    <w:rsid w:val="00747FF0"/>
    <w:rsid w:val="00750695"/>
    <w:rsid w:val="00753C81"/>
    <w:rsid w:val="00763C8A"/>
    <w:rsid w:val="00764D4E"/>
    <w:rsid w:val="00765A1F"/>
    <w:rsid w:val="00775B6D"/>
    <w:rsid w:val="00776D68"/>
    <w:rsid w:val="007850EE"/>
    <w:rsid w:val="00785B95"/>
    <w:rsid w:val="007906F6"/>
    <w:rsid w:val="00790E96"/>
    <w:rsid w:val="00793366"/>
    <w:rsid w:val="00793A5D"/>
    <w:rsid w:val="007A5BDC"/>
    <w:rsid w:val="007A716F"/>
    <w:rsid w:val="007B270A"/>
    <w:rsid w:val="007B3E16"/>
    <w:rsid w:val="007C0695"/>
    <w:rsid w:val="007C419A"/>
    <w:rsid w:val="007C4CC8"/>
    <w:rsid w:val="007C5426"/>
    <w:rsid w:val="007C5798"/>
    <w:rsid w:val="007C6DDC"/>
    <w:rsid w:val="007D4832"/>
    <w:rsid w:val="007E21B2"/>
    <w:rsid w:val="007E2C4E"/>
    <w:rsid w:val="007F1905"/>
    <w:rsid w:val="007F2B81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2A9"/>
    <w:rsid w:val="0088060C"/>
    <w:rsid w:val="00881931"/>
    <w:rsid w:val="00881D98"/>
    <w:rsid w:val="00893576"/>
    <w:rsid w:val="00893E73"/>
    <w:rsid w:val="008A5D2A"/>
    <w:rsid w:val="008A6936"/>
    <w:rsid w:val="008B02DC"/>
    <w:rsid w:val="008B2929"/>
    <w:rsid w:val="008B57CE"/>
    <w:rsid w:val="008B6D22"/>
    <w:rsid w:val="008B74CD"/>
    <w:rsid w:val="008C26DE"/>
    <w:rsid w:val="008C31D2"/>
    <w:rsid w:val="008D2225"/>
    <w:rsid w:val="008D4752"/>
    <w:rsid w:val="008E271C"/>
    <w:rsid w:val="008E418E"/>
    <w:rsid w:val="008E5BC6"/>
    <w:rsid w:val="008E6A25"/>
    <w:rsid w:val="008F50AD"/>
    <w:rsid w:val="008F5193"/>
    <w:rsid w:val="008F55F5"/>
    <w:rsid w:val="009013A7"/>
    <w:rsid w:val="009017FB"/>
    <w:rsid w:val="009017FC"/>
    <w:rsid w:val="0090506B"/>
    <w:rsid w:val="009050C9"/>
    <w:rsid w:val="009066FC"/>
    <w:rsid w:val="009140A3"/>
    <w:rsid w:val="009144A2"/>
    <w:rsid w:val="00914B03"/>
    <w:rsid w:val="009150B4"/>
    <w:rsid w:val="0091510C"/>
    <w:rsid w:val="00925599"/>
    <w:rsid w:val="009259AC"/>
    <w:rsid w:val="00926F38"/>
    <w:rsid w:val="00934301"/>
    <w:rsid w:val="00936CD1"/>
    <w:rsid w:val="00936DEE"/>
    <w:rsid w:val="00937E09"/>
    <w:rsid w:val="00940BDF"/>
    <w:rsid w:val="00941747"/>
    <w:rsid w:val="00941EFB"/>
    <w:rsid w:val="00946939"/>
    <w:rsid w:val="00947AFB"/>
    <w:rsid w:val="00951D7D"/>
    <w:rsid w:val="0095408D"/>
    <w:rsid w:val="00960951"/>
    <w:rsid w:val="009630C7"/>
    <w:rsid w:val="00972B55"/>
    <w:rsid w:val="009743B7"/>
    <w:rsid w:val="00976D7D"/>
    <w:rsid w:val="0098228B"/>
    <w:rsid w:val="009828DA"/>
    <w:rsid w:val="00985BAB"/>
    <w:rsid w:val="0099041C"/>
    <w:rsid w:val="00993218"/>
    <w:rsid w:val="0099384E"/>
    <w:rsid w:val="00994B44"/>
    <w:rsid w:val="0099679E"/>
    <w:rsid w:val="009A16E1"/>
    <w:rsid w:val="009B1B5F"/>
    <w:rsid w:val="009B6673"/>
    <w:rsid w:val="009C191B"/>
    <w:rsid w:val="009C2BD6"/>
    <w:rsid w:val="009E1F32"/>
    <w:rsid w:val="009E776C"/>
    <w:rsid w:val="009F65DC"/>
    <w:rsid w:val="00A1726E"/>
    <w:rsid w:val="00A204CF"/>
    <w:rsid w:val="00A21E17"/>
    <w:rsid w:val="00A23D49"/>
    <w:rsid w:val="00A242AC"/>
    <w:rsid w:val="00A24DF1"/>
    <w:rsid w:val="00A27004"/>
    <w:rsid w:val="00A27039"/>
    <w:rsid w:val="00A30C29"/>
    <w:rsid w:val="00A31C03"/>
    <w:rsid w:val="00A34DD6"/>
    <w:rsid w:val="00A36819"/>
    <w:rsid w:val="00A36989"/>
    <w:rsid w:val="00A43628"/>
    <w:rsid w:val="00A45145"/>
    <w:rsid w:val="00A54192"/>
    <w:rsid w:val="00A6035E"/>
    <w:rsid w:val="00A6144C"/>
    <w:rsid w:val="00A61985"/>
    <w:rsid w:val="00A66617"/>
    <w:rsid w:val="00A671F8"/>
    <w:rsid w:val="00A673A4"/>
    <w:rsid w:val="00A67CE3"/>
    <w:rsid w:val="00A724AE"/>
    <w:rsid w:val="00A73329"/>
    <w:rsid w:val="00A82359"/>
    <w:rsid w:val="00A852C7"/>
    <w:rsid w:val="00A865D2"/>
    <w:rsid w:val="00A87855"/>
    <w:rsid w:val="00A90EAF"/>
    <w:rsid w:val="00A94C20"/>
    <w:rsid w:val="00AA227F"/>
    <w:rsid w:val="00AA2F9F"/>
    <w:rsid w:val="00AA3BC7"/>
    <w:rsid w:val="00AA754A"/>
    <w:rsid w:val="00AA773B"/>
    <w:rsid w:val="00AB099E"/>
    <w:rsid w:val="00AB4328"/>
    <w:rsid w:val="00AB5501"/>
    <w:rsid w:val="00AB752B"/>
    <w:rsid w:val="00AC3ABA"/>
    <w:rsid w:val="00AD4891"/>
    <w:rsid w:val="00AE0A2E"/>
    <w:rsid w:val="00AE354C"/>
    <w:rsid w:val="00AE3AC6"/>
    <w:rsid w:val="00AE4467"/>
    <w:rsid w:val="00AF4B07"/>
    <w:rsid w:val="00AF6186"/>
    <w:rsid w:val="00AF7A3A"/>
    <w:rsid w:val="00B160DB"/>
    <w:rsid w:val="00B202F7"/>
    <w:rsid w:val="00B20836"/>
    <w:rsid w:val="00B22132"/>
    <w:rsid w:val="00B235BB"/>
    <w:rsid w:val="00B27A44"/>
    <w:rsid w:val="00B30BBF"/>
    <w:rsid w:val="00B33C03"/>
    <w:rsid w:val="00B34DE4"/>
    <w:rsid w:val="00B44E56"/>
    <w:rsid w:val="00B46543"/>
    <w:rsid w:val="00B46D0A"/>
    <w:rsid w:val="00B47D33"/>
    <w:rsid w:val="00B52BE0"/>
    <w:rsid w:val="00B54133"/>
    <w:rsid w:val="00B620E7"/>
    <w:rsid w:val="00B701ED"/>
    <w:rsid w:val="00B8086C"/>
    <w:rsid w:val="00B8380F"/>
    <w:rsid w:val="00B861B4"/>
    <w:rsid w:val="00B8664C"/>
    <w:rsid w:val="00B86DFE"/>
    <w:rsid w:val="00B904EA"/>
    <w:rsid w:val="00B90990"/>
    <w:rsid w:val="00B922FF"/>
    <w:rsid w:val="00B9281E"/>
    <w:rsid w:val="00B93925"/>
    <w:rsid w:val="00B95187"/>
    <w:rsid w:val="00B97EEE"/>
    <w:rsid w:val="00BA2D55"/>
    <w:rsid w:val="00BA71B1"/>
    <w:rsid w:val="00BA75CE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BF54A6"/>
    <w:rsid w:val="00BF56B4"/>
    <w:rsid w:val="00C054C7"/>
    <w:rsid w:val="00C057B5"/>
    <w:rsid w:val="00C15AFF"/>
    <w:rsid w:val="00C22687"/>
    <w:rsid w:val="00C25A3E"/>
    <w:rsid w:val="00C32E4D"/>
    <w:rsid w:val="00C333A0"/>
    <w:rsid w:val="00C36408"/>
    <w:rsid w:val="00C36A81"/>
    <w:rsid w:val="00C373E4"/>
    <w:rsid w:val="00C41226"/>
    <w:rsid w:val="00C41974"/>
    <w:rsid w:val="00C41981"/>
    <w:rsid w:val="00C45978"/>
    <w:rsid w:val="00C474BC"/>
    <w:rsid w:val="00C50E35"/>
    <w:rsid w:val="00C535F5"/>
    <w:rsid w:val="00C53F4A"/>
    <w:rsid w:val="00C54125"/>
    <w:rsid w:val="00C55B54"/>
    <w:rsid w:val="00C57EAC"/>
    <w:rsid w:val="00C6098E"/>
    <w:rsid w:val="00C6152C"/>
    <w:rsid w:val="00C74810"/>
    <w:rsid w:val="00C75CE9"/>
    <w:rsid w:val="00C80DD9"/>
    <w:rsid w:val="00C90D68"/>
    <w:rsid w:val="00C939FE"/>
    <w:rsid w:val="00CA4BDA"/>
    <w:rsid w:val="00CA70C9"/>
    <w:rsid w:val="00CB1F66"/>
    <w:rsid w:val="00CB25E5"/>
    <w:rsid w:val="00CB2951"/>
    <w:rsid w:val="00CD282B"/>
    <w:rsid w:val="00CD4C35"/>
    <w:rsid w:val="00CD7369"/>
    <w:rsid w:val="00CE0B0E"/>
    <w:rsid w:val="00CE3831"/>
    <w:rsid w:val="00CF5C5D"/>
    <w:rsid w:val="00D00ABB"/>
    <w:rsid w:val="00D02EEC"/>
    <w:rsid w:val="00D03551"/>
    <w:rsid w:val="00D04F28"/>
    <w:rsid w:val="00D06A63"/>
    <w:rsid w:val="00D07E0E"/>
    <w:rsid w:val="00D11478"/>
    <w:rsid w:val="00D15ED0"/>
    <w:rsid w:val="00D20A92"/>
    <w:rsid w:val="00D21B3E"/>
    <w:rsid w:val="00D21FED"/>
    <w:rsid w:val="00D24251"/>
    <w:rsid w:val="00D24640"/>
    <w:rsid w:val="00D343E2"/>
    <w:rsid w:val="00D361A2"/>
    <w:rsid w:val="00D44C2E"/>
    <w:rsid w:val="00D45414"/>
    <w:rsid w:val="00D47891"/>
    <w:rsid w:val="00D566BD"/>
    <w:rsid w:val="00D56EAB"/>
    <w:rsid w:val="00D57A4D"/>
    <w:rsid w:val="00D60AA7"/>
    <w:rsid w:val="00D6150C"/>
    <w:rsid w:val="00D6435F"/>
    <w:rsid w:val="00D75E28"/>
    <w:rsid w:val="00D772C2"/>
    <w:rsid w:val="00D8008E"/>
    <w:rsid w:val="00D82C45"/>
    <w:rsid w:val="00D850F4"/>
    <w:rsid w:val="00D908A8"/>
    <w:rsid w:val="00D977B6"/>
    <w:rsid w:val="00DA4A31"/>
    <w:rsid w:val="00DA7B04"/>
    <w:rsid w:val="00DB36C2"/>
    <w:rsid w:val="00DB4CDE"/>
    <w:rsid w:val="00DC169B"/>
    <w:rsid w:val="00DC1A41"/>
    <w:rsid w:val="00DC2AB9"/>
    <w:rsid w:val="00DC3545"/>
    <w:rsid w:val="00DC63F0"/>
    <w:rsid w:val="00DD6EE5"/>
    <w:rsid w:val="00DE386C"/>
    <w:rsid w:val="00DE42EC"/>
    <w:rsid w:val="00DE4D35"/>
    <w:rsid w:val="00DF098B"/>
    <w:rsid w:val="00DF11C4"/>
    <w:rsid w:val="00DF210C"/>
    <w:rsid w:val="00DF4B6A"/>
    <w:rsid w:val="00E02C09"/>
    <w:rsid w:val="00E04D59"/>
    <w:rsid w:val="00E07DA1"/>
    <w:rsid w:val="00E123CB"/>
    <w:rsid w:val="00E149F5"/>
    <w:rsid w:val="00E1786C"/>
    <w:rsid w:val="00E20E13"/>
    <w:rsid w:val="00E21DBC"/>
    <w:rsid w:val="00E275D7"/>
    <w:rsid w:val="00E27DBE"/>
    <w:rsid w:val="00E31662"/>
    <w:rsid w:val="00E32AB1"/>
    <w:rsid w:val="00E36C71"/>
    <w:rsid w:val="00E37CB1"/>
    <w:rsid w:val="00E40404"/>
    <w:rsid w:val="00E459C6"/>
    <w:rsid w:val="00E47589"/>
    <w:rsid w:val="00E53B37"/>
    <w:rsid w:val="00E560BD"/>
    <w:rsid w:val="00E64915"/>
    <w:rsid w:val="00E661D4"/>
    <w:rsid w:val="00E70091"/>
    <w:rsid w:val="00E720F5"/>
    <w:rsid w:val="00E7355B"/>
    <w:rsid w:val="00E76D47"/>
    <w:rsid w:val="00E80F0A"/>
    <w:rsid w:val="00E839D8"/>
    <w:rsid w:val="00E849F7"/>
    <w:rsid w:val="00E90302"/>
    <w:rsid w:val="00E97396"/>
    <w:rsid w:val="00EA185E"/>
    <w:rsid w:val="00EA4BD7"/>
    <w:rsid w:val="00EA528C"/>
    <w:rsid w:val="00EA592A"/>
    <w:rsid w:val="00EB14E4"/>
    <w:rsid w:val="00EB3036"/>
    <w:rsid w:val="00EB32A5"/>
    <w:rsid w:val="00EB34ED"/>
    <w:rsid w:val="00EB7BE0"/>
    <w:rsid w:val="00EC2109"/>
    <w:rsid w:val="00EC315E"/>
    <w:rsid w:val="00EC69C0"/>
    <w:rsid w:val="00ED077C"/>
    <w:rsid w:val="00ED1190"/>
    <w:rsid w:val="00ED6544"/>
    <w:rsid w:val="00EE0277"/>
    <w:rsid w:val="00EE3E00"/>
    <w:rsid w:val="00EE5DD2"/>
    <w:rsid w:val="00EE785D"/>
    <w:rsid w:val="00F00A79"/>
    <w:rsid w:val="00F00E86"/>
    <w:rsid w:val="00F07C1E"/>
    <w:rsid w:val="00F105DB"/>
    <w:rsid w:val="00F1276C"/>
    <w:rsid w:val="00F132BC"/>
    <w:rsid w:val="00F13D80"/>
    <w:rsid w:val="00F167E2"/>
    <w:rsid w:val="00F16AAA"/>
    <w:rsid w:val="00F21161"/>
    <w:rsid w:val="00F218EF"/>
    <w:rsid w:val="00F21BC7"/>
    <w:rsid w:val="00F24532"/>
    <w:rsid w:val="00F266A2"/>
    <w:rsid w:val="00F32087"/>
    <w:rsid w:val="00F32269"/>
    <w:rsid w:val="00F42EF3"/>
    <w:rsid w:val="00F4349D"/>
    <w:rsid w:val="00F4465D"/>
    <w:rsid w:val="00F5432B"/>
    <w:rsid w:val="00F56A6F"/>
    <w:rsid w:val="00F5709C"/>
    <w:rsid w:val="00F60F6F"/>
    <w:rsid w:val="00F64EF1"/>
    <w:rsid w:val="00F67BCE"/>
    <w:rsid w:val="00F67D8E"/>
    <w:rsid w:val="00F828BC"/>
    <w:rsid w:val="00F85290"/>
    <w:rsid w:val="00F8765F"/>
    <w:rsid w:val="00F87DA4"/>
    <w:rsid w:val="00F90767"/>
    <w:rsid w:val="00FA1E48"/>
    <w:rsid w:val="00FA685B"/>
    <w:rsid w:val="00FB0C01"/>
    <w:rsid w:val="00FC0553"/>
    <w:rsid w:val="00FC18F2"/>
    <w:rsid w:val="00FC39E5"/>
    <w:rsid w:val="00FC3A78"/>
    <w:rsid w:val="00FD1005"/>
    <w:rsid w:val="00FD155B"/>
    <w:rsid w:val="00FD5F8E"/>
    <w:rsid w:val="00FD6C75"/>
    <w:rsid w:val="00FE308B"/>
    <w:rsid w:val="00FE71B3"/>
    <w:rsid w:val="00FF42C5"/>
    <w:rsid w:val="00FF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qFormat="1"/>
  </w:latentStyles>
  <w:style w:type="paragraph" w:default="1" w:styleId="Normalny">
    <w:name w:val="Normal"/>
    <w:qFormat/>
    <w:rsid w:val="007C6DDC"/>
    <w:pPr>
      <w:jc w:val="both"/>
    </w:pPr>
    <w:rPr>
      <w:rFonts w:eastAsia="MS Mincho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DDC"/>
    <w:pPr>
      <w:spacing w:before="480"/>
      <w:outlineLvl w:val="0"/>
    </w:pPr>
    <w:rPr>
      <w:rFonts w:eastAsia="MS Gothic"/>
      <w:b/>
      <w:bCs/>
      <w:color w:val="33333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DDC"/>
    <w:pPr>
      <w:spacing w:before="200"/>
      <w:outlineLvl w:val="1"/>
    </w:pPr>
    <w:rPr>
      <w:rFonts w:eastAsia="MS Gothic"/>
      <w:b/>
      <w:bCs/>
      <w:color w:val="4D4D4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C6DDC"/>
    <w:pPr>
      <w:spacing w:before="200" w:line="271" w:lineRule="auto"/>
      <w:outlineLvl w:val="2"/>
    </w:pPr>
    <w:rPr>
      <w:rFonts w:eastAsia="MS Gothic"/>
      <w:b/>
      <w:bCs/>
      <w:color w:val="5F5F5F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DDC"/>
    <w:pPr>
      <w:spacing w:before="200"/>
      <w:outlineLvl w:val="3"/>
    </w:pPr>
    <w:rPr>
      <w:rFonts w:eastAsia="MS Gothic"/>
      <w:b/>
      <w:bCs/>
      <w:i/>
      <w:iCs/>
      <w:color w:val="777777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80F0A"/>
    <w:pPr>
      <w:spacing w:before="200"/>
      <w:outlineLvl w:val="4"/>
    </w:pPr>
    <w:rPr>
      <w:rFonts w:eastAsia="MS Gothic"/>
      <w:b/>
      <w:bCs/>
      <w:color w:val="80808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DDC"/>
    <w:pPr>
      <w:spacing w:line="271" w:lineRule="auto"/>
      <w:outlineLvl w:val="5"/>
    </w:pPr>
    <w:rPr>
      <w:rFonts w:eastAsia="MS Gothic"/>
      <w:b/>
      <w:bCs/>
      <w:i/>
      <w:iCs/>
      <w:color w:val="7F7F7F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80F0A"/>
    <w:pPr>
      <w:outlineLvl w:val="6"/>
    </w:pPr>
    <w:rPr>
      <w:rFonts w:eastAsia="MS Gothic"/>
      <w:i/>
      <w:i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80F0A"/>
    <w:pPr>
      <w:outlineLvl w:val="7"/>
    </w:pPr>
    <w:rPr>
      <w:rFonts w:eastAsia="MS Gothic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80F0A"/>
    <w:pPr>
      <w:outlineLvl w:val="8"/>
    </w:pPr>
    <w:rPr>
      <w:rFonts w:eastAsia="MS Gothic"/>
      <w:i/>
      <w:iCs/>
      <w:spacing w:val="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locked/>
    <w:rsid w:val="007C6DDC"/>
    <w:rPr>
      <w:rFonts w:ascii="Times New Roman" w:eastAsia="MS Gothic" w:hAnsi="Times New Roman" w:cs="Times New Roman"/>
      <w:b/>
      <w:bCs/>
      <w:color w:val="333333"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C6DDC"/>
    <w:rPr>
      <w:rFonts w:ascii="Times New Roman" w:eastAsia="MS Gothic" w:hAnsi="Times New Roman" w:cs="Times New Roman"/>
      <w:b/>
      <w:bCs/>
      <w:color w:val="4D4D4D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C6DDC"/>
    <w:rPr>
      <w:rFonts w:ascii="Times New Roman" w:eastAsia="MS Gothic" w:hAnsi="Times New Roman" w:cs="Times New Roman"/>
      <w:b/>
      <w:bCs/>
      <w:color w:val="5F5F5F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C6DDC"/>
    <w:rPr>
      <w:rFonts w:ascii="Times New Roman" w:eastAsia="MS Gothic" w:hAnsi="Times New Roman" w:cs="Times New Roman"/>
      <w:b/>
      <w:bCs/>
      <w:i/>
      <w:iCs/>
      <w:color w:val="777777"/>
      <w:sz w:val="24"/>
      <w:szCs w:val="24"/>
      <w:lang w:val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80F0A"/>
    <w:rPr>
      <w:rFonts w:ascii="Times New Roman" w:eastAsia="MS Gothic" w:hAnsi="Times New Roman" w:cs="Times New Roman"/>
      <w:b/>
      <w:bCs/>
      <w:color w:val="80808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C6DDC"/>
    <w:rPr>
      <w:rFonts w:ascii="Times New Roman" w:eastAsia="MS Gothic" w:hAnsi="Times New Roman" w:cs="Times New Roman"/>
      <w:b/>
      <w:bCs/>
      <w:i/>
      <w:iCs/>
      <w:color w:val="7F7F7F"/>
      <w:sz w:val="24"/>
      <w:szCs w:val="24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80F0A"/>
    <w:rPr>
      <w:rFonts w:ascii="Times New Roman" w:eastAsia="MS Gothic" w:hAnsi="Times New Roman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80F0A"/>
    <w:rPr>
      <w:rFonts w:ascii="Times New Roman" w:eastAsia="MS Gothic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E80F0A"/>
    <w:rPr>
      <w:rFonts w:ascii="Times New Roman" w:eastAsia="MS Gothic" w:hAnsi="Times New Roman" w:cs="Times New Roman"/>
      <w:i/>
      <w:iCs/>
      <w:spacing w:val="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C6DDC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6DDC"/>
    <w:rPr>
      <w:rFonts w:ascii="Tahoma" w:eastAsia="MS Mincho" w:hAnsi="Tahoma" w:cs="Tahoma"/>
      <w:sz w:val="16"/>
      <w:szCs w:val="16"/>
      <w:lang w:val="pl-PL"/>
    </w:rPr>
  </w:style>
  <w:style w:type="character" w:styleId="Tytuksiki">
    <w:name w:val="Book Title"/>
    <w:basedOn w:val="Domylnaczcionkaakapitu"/>
    <w:uiPriority w:val="99"/>
    <w:qFormat/>
    <w:rsid w:val="00E80F0A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Nagwek"/>
    <w:uiPriority w:val="99"/>
    <w:rsid w:val="00E80F0A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  <w:szCs w:val="18"/>
    </w:rPr>
  </w:style>
  <w:style w:type="paragraph" w:customStyle="1" w:styleId="JuAppQuestion">
    <w:name w:val="Ju_App_Question"/>
    <w:basedOn w:val="Normalny"/>
    <w:uiPriority w:val="99"/>
    <w:semiHidden/>
    <w:rsid w:val="00E80F0A"/>
    <w:pPr>
      <w:numPr>
        <w:numId w:val="12"/>
      </w:numPr>
      <w:tabs>
        <w:tab w:val="clear" w:pos="360"/>
        <w:tab w:val="num" w:pos="720"/>
        <w:tab w:val="num" w:pos="1492"/>
      </w:tabs>
      <w:ind w:left="720"/>
      <w:jc w:val="left"/>
    </w:pPr>
    <w:rPr>
      <w:b/>
      <w:bCs/>
    </w:rPr>
  </w:style>
  <w:style w:type="character" w:styleId="Pogrubienie">
    <w:name w:val="Strong"/>
    <w:basedOn w:val="Domylnaczcionkaakapitu"/>
    <w:uiPriority w:val="99"/>
    <w:qFormat/>
    <w:rsid w:val="00E80F0A"/>
    <w:rPr>
      <w:b/>
      <w:bCs/>
    </w:rPr>
  </w:style>
  <w:style w:type="paragraph" w:styleId="Bezodstpw">
    <w:name w:val="No Spacing"/>
    <w:basedOn w:val="Normalny"/>
    <w:link w:val="BezodstpwZnak"/>
    <w:uiPriority w:val="99"/>
    <w:qFormat/>
    <w:rsid w:val="00E80F0A"/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semiHidden/>
    <w:locked/>
    <w:rsid w:val="00E80F0A"/>
    <w:rPr>
      <w:rFonts w:eastAsia="MS Mincho"/>
    </w:rPr>
  </w:style>
  <w:style w:type="paragraph" w:customStyle="1" w:styleId="ECHRParaQuote">
    <w:name w:val="ECHR_Para_Quote"/>
    <w:aliases w:val="Ju_Quot"/>
    <w:basedOn w:val="Normalny"/>
    <w:uiPriority w:val="99"/>
    <w:rsid w:val="00E80F0A"/>
    <w:pPr>
      <w:spacing w:before="120" w:after="120"/>
      <w:ind w:left="425" w:firstLine="142"/>
    </w:pPr>
    <w:rPr>
      <w:sz w:val="20"/>
      <w:szCs w:val="20"/>
    </w:rPr>
  </w:style>
  <w:style w:type="paragraph" w:customStyle="1" w:styleId="OpiPara">
    <w:name w:val="Opi_Para"/>
    <w:basedOn w:val="ECHRPara"/>
    <w:uiPriority w:val="99"/>
    <w:rsid w:val="00E80F0A"/>
  </w:style>
  <w:style w:type="paragraph" w:customStyle="1" w:styleId="JuParaSub">
    <w:name w:val="Ju_Para_Sub"/>
    <w:basedOn w:val="ECHRPara"/>
    <w:uiPriority w:val="99"/>
    <w:rsid w:val="00E80F0A"/>
    <w:pPr>
      <w:ind w:left="284"/>
    </w:pPr>
  </w:style>
  <w:style w:type="paragraph" w:customStyle="1" w:styleId="OpiParaSub">
    <w:name w:val="Opi_Para_Sub"/>
    <w:basedOn w:val="JuParaSub"/>
    <w:uiPriority w:val="99"/>
    <w:rsid w:val="00E80F0A"/>
  </w:style>
  <w:style w:type="paragraph" w:customStyle="1" w:styleId="OpiQuot">
    <w:name w:val="Opi_Quot"/>
    <w:basedOn w:val="ECHRParaQuote"/>
    <w:uiPriority w:val="99"/>
    <w:rsid w:val="00E80F0A"/>
  </w:style>
  <w:style w:type="paragraph" w:customStyle="1" w:styleId="ECHRTitleCentre3">
    <w:name w:val="ECHR_Title_Centre_3"/>
    <w:aliases w:val="Ju_H_Article"/>
    <w:basedOn w:val="Normalny"/>
    <w:next w:val="ECHRParaQuote"/>
    <w:uiPriority w:val="99"/>
    <w:rsid w:val="00E80F0A"/>
    <w:pPr>
      <w:keepNext/>
      <w:keepLines/>
      <w:spacing w:before="240" w:after="120"/>
      <w:jc w:val="center"/>
      <w:outlineLvl w:val="3"/>
    </w:pPr>
    <w:rPr>
      <w:b/>
      <w:bCs/>
      <w:sz w:val="20"/>
      <w:szCs w:val="20"/>
    </w:rPr>
  </w:style>
  <w:style w:type="paragraph" w:customStyle="1" w:styleId="ECHRTitleCentre1">
    <w:name w:val="ECHR_Title_Centre_1"/>
    <w:aliases w:val="Opi_H_Head"/>
    <w:basedOn w:val="Normalny"/>
    <w:next w:val="OpiPara"/>
    <w:uiPriority w:val="99"/>
    <w:rsid w:val="00E80F0A"/>
    <w:pPr>
      <w:keepNext/>
      <w:keepLines/>
      <w:spacing w:after="240"/>
      <w:jc w:val="center"/>
      <w:outlineLvl w:val="0"/>
    </w:pPr>
    <w:rPr>
      <w:sz w:val="28"/>
      <w:szCs w:val="28"/>
    </w:rPr>
  </w:style>
  <w:style w:type="paragraph" w:customStyle="1" w:styleId="OpiQuotSub">
    <w:name w:val="Opi_Quot_Sub"/>
    <w:basedOn w:val="JuQuotSub"/>
    <w:uiPriority w:val="99"/>
    <w:rsid w:val="00E80F0A"/>
  </w:style>
  <w:style w:type="paragraph" w:customStyle="1" w:styleId="ECHRTitle1">
    <w:name w:val="ECHR_Title_1"/>
    <w:aliases w:val="Ju_H_Head"/>
    <w:basedOn w:val="Normalny"/>
    <w:next w:val="ECHRPara"/>
    <w:uiPriority w:val="99"/>
    <w:rsid w:val="00E80F0A"/>
    <w:pPr>
      <w:keepNext/>
      <w:keepLines/>
      <w:spacing w:before="720" w:after="240"/>
      <w:outlineLvl w:val="0"/>
    </w:pPr>
    <w:rPr>
      <w:sz w:val="28"/>
      <w:szCs w:val="28"/>
    </w:rPr>
  </w:style>
  <w:style w:type="paragraph" w:customStyle="1" w:styleId="JuTitle">
    <w:name w:val="Ju_Title"/>
    <w:basedOn w:val="Normalny"/>
    <w:next w:val="ECHRPara"/>
    <w:uiPriority w:val="99"/>
    <w:semiHidden/>
    <w:rsid w:val="00E80F0A"/>
    <w:pPr>
      <w:spacing w:before="720" w:after="240"/>
      <w:jc w:val="center"/>
      <w:outlineLvl w:val="0"/>
    </w:pPr>
    <w:rPr>
      <w:b/>
      <w:bCs/>
      <w:caps/>
    </w:rPr>
  </w:style>
  <w:style w:type="paragraph" w:customStyle="1" w:styleId="JuQuotSub">
    <w:name w:val="Ju_Quot_Sub"/>
    <w:basedOn w:val="ECHRParaQuote"/>
    <w:uiPriority w:val="99"/>
    <w:rsid w:val="00E80F0A"/>
    <w:pPr>
      <w:ind w:left="567"/>
    </w:pPr>
  </w:style>
  <w:style w:type="paragraph" w:styleId="Tytu">
    <w:name w:val="Title"/>
    <w:basedOn w:val="Normalny"/>
    <w:next w:val="Normalny"/>
    <w:link w:val="TytuZnak"/>
    <w:uiPriority w:val="99"/>
    <w:qFormat/>
    <w:rsid w:val="00E80F0A"/>
    <w:pPr>
      <w:pBdr>
        <w:bottom w:val="single" w:sz="4" w:space="1" w:color="auto"/>
      </w:pBdr>
    </w:pPr>
    <w:rPr>
      <w:rFonts w:eastAsia="MS Gothic"/>
      <w:spacing w:val="5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semiHidden/>
    <w:locked/>
    <w:rsid w:val="00E80F0A"/>
    <w:rPr>
      <w:rFonts w:ascii="Times New Roman" w:eastAsia="MS Gothic" w:hAnsi="Times New Roman" w:cs="Times New Roman"/>
      <w:spacing w:val="5"/>
      <w:sz w:val="52"/>
      <w:szCs w:val="52"/>
    </w:rPr>
  </w:style>
  <w:style w:type="paragraph" w:customStyle="1" w:styleId="JuInitialled">
    <w:name w:val="Ju_Initialled"/>
    <w:basedOn w:val="Normalny"/>
    <w:uiPriority w:val="99"/>
    <w:rsid w:val="00E80F0A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99"/>
    <w:rsid w:val="00E80F0A"/>
    <w:pPr>
      <w:tabs>
        <w:tab w:val="clear" w:pos="357"/>
      </w:tabs>
      <w:outlineLvl w:val="1"/>
    </w:pPr>
    <w:rPr>
      <w:b/>
      <w:bCs/>
    </w:rPr>
  </w:style>
  <w:style w:type="character" w:customStyle="1" w:styleId="JuITMark">
    <w:name w:val="Ju_ITMark"/>
    <w:uiPriority w:val="99"/>
    <w:rsid w:val="00E80F0A"/>
    <w:rPr>
      <w:color w:val="auto"/>
      <w:sz w:val="14"/>
      <w:szCs w:val="14"/>
      <w:shd w:val="clear" w:color="auto" w:fill="BEE5FF"/>
    </w:rPr>
  </w:style>
  <w:style w:type="paragraph" w:customStyle="1" w:styleId="JuSigned">
    <w:name w:val="Ju_Signed"/>
    <w:basedOn w:val="Normalny"/>
    <w:next w:val="JuParaLast"/>
    <w:uiPriority w:val="99"/>
    <w:rsid w:val="00E80F0A"/>
    <w:pPr>
      <w:tabs>
        <w:tab w:val="center" w:pos="851"/>
        <w:tab w:val="center" w:pos="6407"/>
      </w:tabs>
      <w:spacing w:before="720"/>
      <w:jc w:val="left"/>
    </w:pPr>
  </w:style>
  <w:style w:type="character" w:customStyle="1" w:styleId="JUNAMES">
    <w:name w:val="JU_NAMES"/>
    <w:uiPriority w:val="99"/>
    <w:rsid w:val="00E80F0A"/>
    <w:rPr>
      <w:smallCaps/>
    </w:rPr>
  </w:style>
  <w:style w:type="paragraph" w:customStyle="1" w:styleId="ECHRHeading1">
    <w:name w:val="ECHR_Heading_1"/>
    <w:aliases w:val="Ju_H_I_Roman"/>
    <w:basedOn w:val="Nagwek1"/>
    <w:next w:val="ECHRPara"/>
    <w:uiPriority w:val="99"/>
    <w:rsid w:val="00E80F0A"/>
    <w:pPr>
      <w:keepNext/>
      <w:keepLines/>
      <w:tabs>
        <w:tab w:val="left" w:pos="357"/>
      </w:tabs>
      <w:spacing w:before="360" w:after="240"/>
      <w:ind w:left="357" w:hanging="357"/>
    </w:pPr>
    <w:rPr>
      <w:b w:val="0"/>
      <w:bCs w:val="0"/>
      <w:color w:val="auto"/>
      <w:sz w:val="24"/>
      <w:szCs w:val="24"/>
    </w:rPr>
  </w:style>
  <w:style w:type="paragraph" w:customStyle="1" w:styleId="ECHRHeading2">
    <w:name w:val="ECHR_Heading_2"/>
    <w:aliases w:val="Ju_H_A"/>
    <w:basedOn w:val="Nagwek2"/>
    <w:next w:val="ECHRPara"/>
    <w:uiPriority w:val="99"/>
    <w:rsid w:val="00E80F0A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  <w:szCs w:val="24"/>
    </w:rPr>
  </w:style>
  <w:style w:type="paragraph" w:customStyle="1" w:styleId="ECHRHeading3">
    <w:name w:val="ECHR_Heading_3"/>
    <w:aliases w:val="Ju_H_1."/>
    <w:basedOn w:val="Nagwek3"/>
    <w:next w:val="ECHRPara"/>
    <w:uiPriority w:val="99"/>
    <w:rsid w:val="00E80F0A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bCs w:val="0"/>
      <w:i/>
      <w:iCs/>
      <w:color w:val="auto"/>
    </w:rPr>
  </w:style>
  <w:style w:type="paragraph" w:styleId="Nagwek">
    <w:name w:val="header"/>
    <w:basedOn w:val="Normalny"/>
    <w:link w:val="NagwekZnak"/>
    <w:uiPriority w:val="99"/>
    <w:semiHidden/>
    <w:rsid w:val="007C6DDC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C6DDC"/>
    <w:rPr>
      <w:sz w:val="24"/>
      <w:szCs w:val="24"/>
      <w:lang w:val="pl-PL"/>
    </w:rPr>
  </w:style>
  <w:style w:type="paragraph" w:customStyle="1" w:styleId="ECHRHeading4">
    <w:name w:val="ECHR_Heading_4"/>
    <w:aliases w:val="Ju_H_a"/>
    <w:basedOn w:val="Nagwek4"/>
    <w:next w:val="ECHRPara"/>
    <w:uiPriority w:val="99"/>
    <w:rsid w:val="00E80F0A"/>
    <w:pPr>
      <w:keepNext/>
      <w:keepLines/>
      <w:tabs>
        <w:tab w:val="left" w:pos="975"/>
      </w:tabs>
      <w:spacing w:before="240" w:after="120"/>
      <w:ind w:left="975" w:hanging="340"/>
    </w:pPr>
    <w:rPr>
      <w:i w:val="0"/>
      <w:iCs w:val="0"/>
      <w:color w:val="auto"/>
      <w:sz w:val="20"/>
      <w:szCs w:val="20"/>
    </w:rPr>
  </w:style>
  <w:style w:type="paragraph" w:customStyle="1" w:styleId="ECHRHeading5">
    <w:name w:val="ECHR_Heading_5"/>
    <w:aliases w:val="Ju_H_i"/>
    <w:basedOn w:val="Nagwek5"/>
    <w:next w:val="ECHRPara"/>
    <w:uiPriority w:val="99"/>
    <w:rsid w:val="00E80F0A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bCs w:val="0"/>
      <w:i/>
      <w:iCs/>
      <w:color w:val="auto"/>
    </w:rPr>
  </w:style>
  <w:style w:type="paragraph" w:customStyle="1" w:styleId="ECHRHeading6">
    <w:name w:val="ECHR_Heading_6"/>
    <w:aliases w:val="Ju_H_alpha"/>
    <w:basedOn w:val="Nagwek6"/>
    <w:next w:val="ECHRPara"/>
    <w:uiPriority w:val="99"/>
    <w:rsid w:val="00E80F0A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bCs w:val="0"/>
      <w:i w:val="0"/>
      <w:iCs w:val="0"/>
      <w:color w:val="auto"/>
      <w:sz w:val="20"/>
      <w:szCs w:val="20"/>
    </w:rPr>
  </w:style>
  <w:style w:type="paragraph" w:customStyle="1" w:styleId="ECHRHeading7">
    <w:name w:val="ECHR_Heading_7"/>
    <w:aliases w:val="Ju_H_–"/>
    <w:basedOn w:val="Nagwek7"/>
    <w:next w:val="ECHRPara"/>
    <w:uiPriority w:val="99"/>
    <w:rsid w:val="00E80F0A"/>
    <w:pPr>
      <w:keepNext/>
      <w:keepLines/>
      <w:spacing w:before="240" w:after="120"/>
      <w:ind w:left="1236"/>
    </w:pPr>
  </w:style>
  <w:style w:type="paragraph" w:customStyle="1" w:styleId="JuParaLast">
    <w:name w:val="Ju_Para_Last"/>
    <w:basedOn w:val="Normalny"/>
    <w:next w:val="ECHRPara"/>
    <w:uiPriority w:val="99"/>
    <w:rsid w:val="00E80F0A"/>
    <w:pPr>
      <w:keepNext/>
      <w:keepLines/>
      <w:spacing w:before="240"/>
      <w:ind w:firstLine="284"/>
    </w:pPr>
  </w:style>
  <w:style w:type="paragraph" w:customStyle="1" w:styleId="JuList">
    <w:name w:val="Ju_List"/>
    <w:basedOn w:val="Normalny"/>
    <w:uiPriority w:val="99"/>
    <w:rsid w:val="00E80F0A"/>
    <w:pPr>
      <w:ind w:left="340" w:hanging="340"/>
    </w:pPr>
  </w:style>
  <w:style w:type="paragraph" w:customStyle="1" w:styleId="JuLista">
    <w:name w:val="Ju_List_a"/>
    <w:basedOn w:val="JuList"/>
    <w:uiPriority w:val="99"/>
    <w:rsid w:val="00E80F0A"/>
    <w:pPr>
      <w:ind w:left="346" w:firstLine="0"/>
    </w:pPr>
  </w:style>
  <w:style w:type="paragraph" w:customStyle="1" w:styleId="OpiTranslation">
    <w:name w:val="Opi_Translation"/>
    <w:basedOn w:val="Normalny"/>
    <w:next w:val="OpiPara"/>
    <w:uiPriority w:val="99"/>
    <w:rsid w:val="00E80F0A"/>
    <w:pPr>
      <w:jc w:val="center"/>
      <w:outlineLvl w:val="0"/>
    </w:pPr>
    <w:rPr>
      <w:i/>
      <w:iCs/>
    </w:rPr>
  </w:style>
  <w:style w:type="paragraph" w:customStyle="1" w:styleId="DecHTitle">
    <w:name w:val="Dec_H_Title"/>
    <w:basedOn w:val="ECHRTitleCentre1"/>
    <w:uiPriority w:val="99"/>
    <w:semiHidden/>
    <w:rsid w:val="00E80F0A"/>
  </w:style>
  <w:style w:type="character" w:styleId="Wyrnieniedelikatne">
    <w:name w:val="Subtle Emphasis"/>
    <w:basedOn w:val="Domylnaczcionkaakapitu"/>
    <w:uiPriority w:val="99"/>
    <w:qFormat/>
    <w:rsid w:val="00E80F0A"/>
    <w:rPr>
      <w:i/>
      <w:iCs/>
    </w:rPr>
  </w:style>
  <w:style w:type="paragraph" w:customStyle="1" w:styleId="JuCourt">
    <w:name w:val="Ju_Court"/>
    <w:basedOn w:val="Normalny"/>
    <w:next w:val="Normalny"/>
    <w:uiPriority w:val="99"/>
    <w:rsid w:val="00E80F0A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table" w:customStyle="1" w:styleId="ECHRTable">
    <w:name w:val="ECHR_Table"/>
    <w:uiPriority w:val="99"/>
    <w:rsid w:val="00860B03"/>
    <w:rPr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ECHRTableBoxHeader">
    <w:name w:val="ECHR_Table_Box_Header"/>
    <w:uiPriority w:val="99"/>
    <w:rsid w:val="004C086C"/>
    <w:rPr>
      <w:rFonts w:ascii="Verdana" w:hAnsi="Verdana" w:cs="Verdana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</w:style>
  <w:style w:type="paragraph" w:customStyle="1" w:styleId="DecList">
    <w:name w:val="Dec_List"/>
    <w:basedOn w:val="Normalny"/>
    <w:uiPriority w:val="99"/>
    <w:semiHidden/>
    <w:rsid w:val="00E80F0A"/>
    <w:pPr>
      <w:spacing w:before="240"/>
      <w:ind w:left="284"/>
    </w:pPr>
  </w:style>
  <w:style w:type="paragraph" w:customStyle="1" w:styleId="JuListi">
    <w:name w:val="Ju_List_i"/>
    <w:basedOn w:val="Normalny"/>
    <w:next w:val="JuLista"/>
    <w:uiPriority w:val="99"/>
    <w:rsid w:val="00E80F0A"/>
    <w:pPr>
      <w:ind w:left="794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E80F0A"/>
    <w:pPr>
      <w:spacing w:after="600"/>
    </w:pPr>
    <w:rPr>
      <w:rFonts w:eastAsia="MS Gothic"/>
      <w:i/>
      <w:iCs/>
      <w:spacing w:val="13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semiHidden/>
    <w:locked/>
    <w:rsid w:val="00E80F0A"/>
    <w:rPr>
      <w:rFonts w:ascii="Times New Roman" w:eastAsia="MS Gothic" w:hAnsi="Times New Roman" w:cs="Times New Roman"/>
      <w:i/>
      <w:iCs/>
      <w:spacing w:val="13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E80F0A"/>
    <w:rPr>
      <w:b/>
      <w:bCs/>
      <w:i/>
      <w:iCs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semiHidden/>
    <w:rsid w:val="007C6DDC"/>
    <w:pPr>
      <w:tabs>
        <w:tab w:val="center" w:pos="4536"/>
        <w:tab w:val="right" w:pos="9696"/>
      </w:tabs>
      <w:ind w:left="-680" w:right="-68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C6DDC"/>
    <w:rPr>
      <w:sz w:val="24"/>
      <w:szCs w:val="24"/>
      <w:lang w:val="pl-PL"/>
    </w:rPr>
  </w:style>
  <w:style w:type="character" w:styleId="Odwoanieprzypisudolnego">
    <w:name w:val="footnote reference"/>
    <w:basedOn w:val="Domylnaczcionkaakapitu"/>
    <w:uiPriority w:val="99"/>
    <w:semiHidden/>
    <w:rsid w:val="007C6D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6DDC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6DDC"/>
    <w:rPr>
      <w:rFonts w:eastAsia="MS Mincho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semiHidden/>
    <w:rsid w:val="007C6DDC"/>
    <w:rPr>
      <w:color w:val="0072BC"/>
      <w:u w:val="single"/>
    </w:rPr>
  </w:style>
  <w:style w:type="character" w:styleId="Wyrnienieintensywne">
    <w:name w:val="Intense Emphasis"/>
    <w:basedOn w:val="Domylnaczcionkaakapitu"/>
    <w:uiPriority w:val="99"/>
    <w:qFormat/>
    <w:rsid w:val="00E80F0A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E80F0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locked/>
    <w:rsid w:val="00E80F0A"/>
    <w:rPr>
      <w:rFonts w:eastAsia="MS Mincho"/>
      <w:b/>
      <w:bCs/>
      <w:i/>
      <w:iCs/>
    </w:rPr>
  </w:style>
  <w:style w:type="character" w:styleId="Odwoanieintensywne">
    <w:name w:val="Intense Reference"/>
    <w:basedOn w:val="Domylnaczcionkaakapitu"/>
    <w:uiPriority w:val="99"/>
    <w:qFormat/>
    <w:rsid w:val="00E80F0A"/>
    <w:rPr>
      <w:smallCaps/>
      <w:spacing w:val="5"/>
      <w:u w:val="single"/>
    </w:rPr>
  </w:style>
  <w:style w:type="paragraph" w:styleId="Akapitzlist">
    <w:name w:val="List Paragraph"/>
    <w:basedOn w:val="Normalny"/>
    <w:uiPriority w:val="99"/>
    <w:qFormat/>
    <w:rsid w:val="00E80F0A"/>
    <w:pPr>
      <w:ind w:left="720"/>
    </w:pPr>
  </w:style>
  <w:style w:type="table" w:customStyle="1" w:styleId="LtrTableAddress">
    <w:name w:val="Ltr_Table_Address"/>
    <w:uiPriority w:val="99"/>
    <w:rsid w:val="001E6F32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99"/>
    <w:qFormat/>
    <w:rsid w:val="00E80F0A"/>
    <w:pPr>
      <w:spacing w:before="200"/>
      <w:ind w:left="360" w:right="360"/>
    </w:pPr>
    <w:rPr>
      <w:i/>
      <w:iCs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semiHidden/>
    <w:locked/>
    <w:rsid w:val="00E80F0A"/>
    <w:rPr>
      <w:rFonts w:eastAsia="MS Mincho"/>
      <w:i/>
      <w:iCs/>
    </w:rPr>
  </w:style>
  <w:style w:type="character" w:styleId="Odwoaniedelikatne">
    <w:name w:val="Subtle Reference"/>
    <w:basedOn w:val="Domylnaczcionkaakapitu"/>
    <w:uiPriority w:val="99"/>
    <w:qFormat/>
    <w:rsid w:val="00E80F0A"/>
    <w:rPr>
      <w:smallCaps/>
    </w:rPr>
  </w:style>
  <w:style w:type="table" w:styleId="Tabela-Siatka">
    <w:name w:val="Table Grid"/>
    <w:basedOn w:val="Standardowy"/>
    <w:uiPriority w:val="99"/>
    <w:semiHidden/>
    <w:rsid w:val="007C6DDC"/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99"/>
    <w:semiHidden/>
    <w:rsid w:val="007C6DDC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bCs/>
      <w:sz w:val="22"/>
      <w:szCs w:val="22"/>
    </w:rPr>
  </w:style>
  <w:style w:type="paragraph" w:styleId="Spistreci2">
    <w:name w:val="toc 2"/>
    <w:basedOn w:val="Normalny"/>
    <w:next w:val="Normalny"/>
    <w:autoRedefine/>
    <w:uiPriority w:val="99"/>
    <w:semiHidden/>
    <w:rsid w:val="007C6DDC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7C6DDC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C6DDC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7C6DDC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  <w:szCs w:val="20"/>
    </w:rPr>
  </w:style>
  <w:style w:type="paragraph" w:styleId="Nagwekspisutreci">
    <w:name w:val="TOC Heading"/>
    <w:basedOn w:val="Normalny"/>
    <w:next w:val="Normalny"/>
    <w:uiPriority w:val="99"/>
    <w:qFormat/>
    <w:rsid w:val="00E80F0A"/>
    <w:pPr>
      <w:keepNext/>
      <w:keepLines/>
      <w:spacing w:before="240"/>
      <w:jc w:val="center"/>
    </w:pPr>
    <w:rPr>
      <w:rFonts w:eastAsia="Times New Roman"/>
      <w:b/>
      <w:bCs/>
      <w:color w:val="474747"/>
      <w:sz w:val="28"/>
      <w:szCs w:val="28"/>
    </w:rPr>
  </w:style>
  <w:style w:type="table" w:customStyle="1" w:styleId="UGTable">
    <w:name w:val="UG_Table"/>
    <w:uiPriority w:val="99"/>
    <w:rsid w:val="00801300"/>
    <w:rPr>
      <w:rFonts w:eastAsia="MS Mincho"/>
      <w:sz w:val="20"/>
      <w:szCs w:val="20"/>
      <w:lang w:eastAsia="en-GB"/>
    </w:rPr>
    <w:tblPr>
      <w:tblCellMar>
        <w:top w:w="57" w:type="dxa"/>
        <w:left w:w="0" w:type="dxa"/>
        <w:bottom w:w="0" w:type="dxa"/>
        <w:right w:w="0" w:type="dxa"/>
      </w:tblCellMar>
    </w:tblPr>
  </w:style>
  <w:style w:type="table" w:customStyle="1" w:styleId="UGTableWhiteBox">
    <w:name w:val="UG_Table_White_Box"/>
    <w:uiPriority w:val="99"/>
    <w:rsid w:val="00801300"/>
    <w:rPr>
      <w:rFonts w:eastAsia="MS Mincho"/>
      <w:sz w:val="20"/>
      <w:szCs w:val="20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uiPriority w:val="99"/>
    <w:rsid w:val="00810B38"/>
    <w:rPr>
      <w:color w:val="000000"/>
      <w:sz w:val="18"/>
      <w:szCs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CHRTableFax">
    <w:name w:val="ECHR_Table_Fax"/>
    <w:uiPriority w:val="99"/>
    <w:rsid w:val="00893576"/>
    <w:rPr>
      <w:color w:val="000000"/>
      <w:sz w:val="20"/>
      <w:szCs w:val="20"/>
    </w:rPr>
    <w:tblPr>
      <w:tblBorders>
        <w:insideH w:val="single" w:sz="4" w:space="0" w:color="C6C6C6"/>
        <w:insideV w:val="single" w:sz="4" w:space="0" w:color="C6C6C6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uiPriority w:val="99"/>
    <w:rsid w:val="00210338"/>
    <w:rPr>
      <w:sz w:val="20"/>
      <w:szCs w:val="20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</w:style>
  <w:style w:type="table" w:customStyle="1" w:styleId="ECHRDNTable">
    <w:name w:val="ECHR_DN_Table"/>
    <w:aliases w:val="DN_Table"/>
    <w:uiPriority w:val="99"/>
    <w:rsid w:val="0090506B"/>
    <w:rPr>
      <w:sz w:val="20"/>
      <w:szCs w:val="20"/>
    </w:rPr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</w:style>
  <w:style w:type="paragraph" w:styleId="Nagwekwykazurde">
    <w:name w:val="toa heading"/>
    <w:basedOn w:val="Normalny"/>
    <w:next w:val="Normalny"/>
    <w:uiPriority w:val="99"/>
    <w:semiHidden/>
    <w:rsid w:val="007C6DDC"/>
    <w:pPr>
      <w:keepNext/>
      <w:keepLines/>
      <w:spacing w:before="240"/>
      <w:jc w:val="center"/>
    </w:pPr>
    <w:rPr>
      <w:rFonts w:eastAsia="MS Gothic"/>
      <w:b/>
      <w:bCs/>
      <w:color w:val="474747"/>
      <w:sz w:val="28"/>
      <w:szCs w:val="28"/>
    </w:rPr>
  </w:style>
  <w:style w:type="paragraph" w:customStyle="1" w:styleId="ECHRPara">
    <w:name w:val="ECHR_Para"/>
    <w:aliases w:val="Ju_Para,Left,First line:  0 cm,Para,N_Para,Ju_Para + Interligne : Double"/>
    <w:basedOn w:val="Normalny"/>
    <w:link w:val="ECHRParaChar"/>
    <w:uiPriority w:val="99"/>
    <w:rsid w:val="00E80F0A"/>
    <w:pPr>
      <w:ind w:firstLine="284"/>
    </w:pPr>
  </w:style>
  <w:style w:type="table" w:customStyle="1" w:styleId="ECHRTableSimpleBox">
    <w:name w:val="ECHR_Table_Simple_Box"/>
    <w:uiPriority w:val="99"/>
    <w:rsid w:val="00AE354C"/>
    <w:rPr>
      <w:sz w:val="20"/>
      <w:szCs w:val="20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uiPriority w:val="99"/>
    <w:rsid w:val="00F218EF"/>
    <w:rPr>
      <w:sz w:val="20"/>
      <w:szCs w:val="20"/>
    </w:rPr>
    <w:tblPr>
      <w:tblCellMar>
        <w:top w:w="85" w:type="dxa"/>
        <w:left w:w="142" w:type="dxa"/>
        <w:bottom w:w="28" w:type="dxa"/>
        <w:right w:w="142" w:type="dxa"/>
      </w:tblCellMar>
    </w:tblPr>
  </w:style>
  <w:style w:type="paragraph" w:styleId="Bibliografia">
    <w:name w:val="Bibliography"/>
    <w:basedOn w:val="Normalny"/>
    <w:next w:val="Normalny"/>
    <w:uiPriority w:val="99"/>
    <w:semiHidden/>
    <w:rsid w:val="002D2C99"/>
  </w:style>
  <w:style w:type="table" w:customStyle="1" w:styleId="ECHRTableForInternalUse">
    <w:name w:val="ECHR_Table_For_Internal_Use"/>
    <w:uiPriority w:val="99"/>
    <w:rsid w:val="005474E7"/>
    <w:rPr>
      <w:color w:val="636363"/>
      <w:sz w:val="18"/>
      <w:szCs w:val="18"/>
    </w:rPr>
    <w:tblPr>
      <w:tblStyleColBandSize w:val="1"/>
      <w:jc w:val="right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</w:style>
  <w:style w:type="table" w:customStyle="1" w:styleId="ECHRListTable">
    <w:name w:val="ECHR_List_Table"/>
    <w:uiPriority w:val="99"/>
    <w:rsid w:val="007C6DDC"/>
    <w:rPr>
      <w:sz w:val="20"/>
      <w:szCs w:val="20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rsid w:val="002D2C99"/>
    <w:pPr>
      <w:pBdr>
        <w:top w:val="single" w:sz="2" w:space="10" w:color="0072BC" w:shadow="1"/>
        <w:left w:val="single" w:sz="2" w:space="10" w:color="0072BC" w:shadow="1"/>
        <w:bottom w:val="single" w:sz="2" w:space="10" w:color="0072BC" w:shadow="1"/>
        <w:right w:val="single" w:sz="2" w:space="10" w:color="0072BC" w:shadow="1"/>
      </w:pBdr>
      <w:ind w:left="1152" w:right="1152"/>
    </w:pPr>
    <w:rPr>
      <w:i/>
      <w:iCs/>
      <w:color w:val="0072BC"/>
    </w:rPr>
  </w:style>
  <w:style w:type="paragraph" w:styleId="Tekstpodstawowy">
    <w:name w:val="Body Text"/>
    <w:basedOn w:val="Normalny"/>
    <w:link w:val="TekstpodstawowyZnak"/>
    <w:uiPriority w:val="99"/>
    <w:semiHidden/>
    <w:rsid w:val="002D2C99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2C99"/>
    <w:rPr>
      <w:rFonts w:eastAsia="MS Mincho"/>
      <w:sz w:val="24"/>
      <w:szCs w:val="24"/>
    </w:rPr>
  </w:style>
  <w:style w:type="table" w:customStyle="1" w:styleId="ECHRHeaderTable">
    <w:name w:val="ECHR_Header_Table"/>
    <w:uiPriority w:val="99"/>
    <w:rsid w:val="00661971"/>
    <w:rPr>
      <w:sz w:val="20"/>
      <w:szCs w:val="20"/>
    </w:rPr>
    <w:tblPr>
      <w:tblBorders>
        <w:bottom w:val="single" w:sz="6" w:space="0" w:color="949494"/>
      </w:tblBorders>
      <w:tblCellMar>
        <w:top w:w="0" w:type="dxa"/>
        <w:left w:w="0" w:type="dxa"/>
        <w:bottom w:w="28" w:type="dxa"/>
        <w:right w:w="0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rsid w:val="002D2C99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D2C99"/>
    <w:rPr>
      <w:rFonts w:eastAsia="MS Mincho"/>
      <w:sz w:val="24"/>
      <w:szCs w:val="24"/>
    </w:rPr>
  </w:style>
  <w:style w:type="table" w:customStyle="1" w:styleId="ECHRTableOddBanded">
    <w:name w:val="ECHR_Table_Odd_Banded"/>
    <w:uiPriority w:val="99"/>
    <w:rsid w:val="00860B03"/>
    <w:rPr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ECHRDecisionBody">
    <w:name w:val="ECHR_Decision_Body"/>
    <w:aliases w:val="Ju_Judges"/>
    <w:basedOn w:val="Normalny"/>
    <w:uiPriority w:val="99"/>
    <w:rsid w:val="00E80F0A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uiPriority w:val="99"/>
    <w:rsid w:val="00B52BE0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JuCase">
    <w:name w:val="Ju_Case"/>
    <w:basedOn w:val="Normalny"/>
    <w:next w:val="ECHRPara"/>
    <w:uiPriority w:val="99"/>
    <w:rsid w:val="007C6DDC"/>
    <w:pPr>
      <w:ind w:firstLine="284"/>
    </w:pPr>
    <w:rPr>
      <w:b/>
      <w:bCs/>
    </w:rPr>
  </w:style>
  <w:style w:type="character" w:styleId="Numerstrony">
    <w:name w:val="page number"/>
    <w:basedOn w:val="Domylnaczcionkaakapitu"/>
    <w:uiPriority w:val="99"/>
    <w:semiHidden/>
    <w:rsid w:val="002D2C99"/>
    <w:rPr>
      <w:rFonts w:ascii="Times New Roman" w:hAnsi="Times New Roman" w:cs="Times New Roman"/>
      <w:sz w:val="18"/>
      <w:szCs w:val="18"/>
    </w:rPr>
  </w:style>
  <w:style w:type="paragraph" w:styleId="Listapunktowana2">
    <w:name w:val="List Bullet 2"/>
    <w:basedOn w:val="Normalny"/>
    <w:uiPriority w:val="99"/>
    <w:semiHidden/>
    <w:rsid w:val="002D2C99"/>
    <w:pPr>
      <w:numPr>
        <w:numId w:val="11"/>
      </w:numPr>
    </w:pPr>
  </w:style>
  <w:style w:type="paragraph" w:styleId="Tekstpodstawowy3">
    <w:name w:val="Body Text 3"/>
    <w:basedOn w:val="Normalny"/>
    <w:link w:val="Tekstpodstawowy3Znak"/>
    <w:uiPriority w:val="99"/>
    <w:semiHidden/>
    <w:rsid w:val="002D2C99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D2C99"/>
    <w:rPr>
      <w:rFonts w:eastAsia="MS Mincho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2D2C9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D2C99"/>
  </w:style>
  <w:style w:type="paragraph" w:styleId="Tekstpodstawowywcity">
    <w:name w:val="Body Text Indent"/>
    <w:basedOn w:val="Normalny"/>
    <w:link w:val="TekstpodstawowywcityZnak"/>
    <w:uiPriority w:val="99"/>
    <w:semiHidden/>
    <w:rsid w:val="002D2C99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D2C99"/>
    <w:rPr>
      <w:rFonts w:eastAsia="MS Mincho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2D2C9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2D2C99"/>
  </w:style>
  <w:style w:type="paragraph" w:styleId="Tekstpodstawowywcity2">
    <w:name w:val="Body Text Indent 2"/>
    <w:basedOn w:val="Normalny"/>
    <w:link w:val="Tekstpodstawowywcity2Znak"/>
    <w:uiPriority w:val="99"/>
    <w:semiHidden/>
    <w:rsid w:val="002D2C99"/>
    <w:pPr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D2C99"/>
    <w:rPr>
      <w:rFonts w:eastAsia="MS Mincho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2D2C99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D2C99"/>
    <w:rPr>
      <w:rFonts w:eastAsia="MS Mincho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2D2C99"/>
    <w:pPr>
      <w:spacing w:after="200"/>
    </w:pPr>
    <w:rPr>
      <w:b/>
      <w:bCs/>
      <w:color w:val="0072BC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rsid w:val="002D2C99"/>
    <w:pPr>
      <w:ind w:left="4252"/>
    </w:pPr>
    <w:rPr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locked/>
    <w:rsid w:val="002D2C99"/>
    <w:rPr>
      <w:rFonts w:eastAsia="MS Mincho"/>
      <w:sz w:val="24"/>
      <w:szCs w:val="24"/>
    </w:rPr>
  </w:style>
  <w:style w:type="table" w:customStyle="1" w:styleId="Kolorowasiatka1">
    <w:name w:val="Kolorowa siatka1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Kolorowasiatkaakcent2">
    <w:name w:val="Colorful Grid Accent 2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Kolorowasiatkaakcent3">
    <w:name w:val="Colorful Grid Accent 3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Kolorowasiatkaakcent4">
    <w:name w:val="Colorful Grid Accent 4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Kolorowasiatkaakcent5">
    <w:name w:val="Colorful Grid Accent 5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Kolorowasiatkaakcent6">
    <w:name w:val="Colorful Grid Accent 6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Kolorowalista1">
    <w:name w:val="Kolorowa lista1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styleId="Kolorowalistaakcent2">
    <w:name w:val="Colorful List Accent 2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styleId="Kolorowalistaakcent3">
    <w:name w:val="Colorful List Accent 3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Kolorowalistaakcent4">
    <w:name w:val="Colorful List Accent 4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styleId="Kolorowalistaakcent5">
    <w:name w:val="Colorful List Accent 5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Kolorowalistaakcent6">
    <w:name w:val="Colorful List Accent 6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Kolorowecieniowanie1">
    <w:name w:val="Kolorowe cieniowanie1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styleId="Kolorowecieniowanieakcent4">
    <w:name w:val="Colorful Shading Accent 4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Odwoaniedokomentarza">
    <w:name w:val="annotation reference"/>
    <w:basedOn w:val="Domylnaczcionkaakapitu"/>
    <w:uiPriority w:val="99"/>
    <w:semiHidden/>
    <w:rsid w:val="002D2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D2C99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D2C99"/>
    <w:rPr>
      <w:rFonts w:eastAsia="MS Minch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2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2C99"/>
    <w:rPr>
      <w:b/>
      <w:bCs/>
    </w:rPr>
  </w:style>
  <w:style w:type="table" w:customStyle="1" w:styleId="Ciemnalista1">
    <w:name w:val="Ciemna lista1"/>
    <w:basedOn w:val="Standardowy"/>
    <w:uiPriority w:val="99"/>
    <w:semiHidden/>
    <w:rsid w:val="002D2C99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99"/>
    <w:semiHidden/>
    <w:rsid w:val="002D2C99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Ciemnalistaakcent2">
    <w:name w:val="Dark List Accent 2"/>
    <w:basedOn w:val="Standardowy"/>
    <w:uiPriority w:val="99"/>
    <w:semiHidden/>
    <w:rsid w:val="002D2C99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Ciemnalistaakcent3">
    <w:name w:val="Dark List Accent 3"/>
    <w:basedOn w:val="Standardowy"/>
    <w:uiPriority w:val="99"/>
    <w:semiHidden/>
    <w:rsid w:val="002D2C99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Ciemnalistaakcent4">
    <w:name w:val="Dark List Accent 4"/>
    <w:basedOn w:val="Standardowy"/>
    <w:uiPriority w:val="99"/>
    <w:semiHidden/>
    <w:rsid w:val="002D2C99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Ciemnalistaakcent5">
    <w:name w:val="Dark List Accent 5"/>
    <w:basedOn w:val="Standardowy"/>
    <w:uiPriority w:val="99"/>
    <w:semiHidden/>
    <w:rsid w:val="002D2C99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Ciemnalistaakcent6">
    <w:name w:val="Dark List Accent 6"/>
    <w:basedOn w:val="Standardowy"/>
    <w:uiPriority w:val="99"/>
    <w:semiHidden/>
    <w:rsid w:val="002D2C99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rsid w:val="002D2C99"/>
    <w:rPr>
      <w:lang w:eastAsia="pl-PL"/>
    </w:rPr>
  </w:style>
  <w:style w:type="character" w:customStyle="1" w:styleId="DataZnak">
    <w:name w:val="Data Znak"/>
    <w:basedOn w:val="Domylnaczcionkaakapitu"/>
    <w:link w:val="Data"/>
    <w:uiPriority w:val="99"/>
    <w:semiHidden/>
    <w:locked/>
    <w:rsid w:val="002D2C99"/>
    <w:rPr>
      <w:rFonts w:eastAsia="MS Mincho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2D2C99"/>
    <w:rPr>
      <w:rFonts w:ascii="Tahoma" w:hAnsi="Tahoma" w:cs="Tahom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2D2C99"/>
    <w:rPr>
      <w:rFonts w:ascii="Tahoma" w:eastAsia="MS Mincho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rsid w:val="002D2C99"/>
    <w:rPr>
      <w:lang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sid w:val="002D2C99"/>
    <w:rPr>
      <w:rFonts w:eastAsia="MS Mincho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rsid w:val="007C6DD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C6DDC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C6DDC"/>
    <w:rPr>
      <w:rFonts w:eastAsia="MS Mincho"/>
      <w:sz w:val="20"/>
      <w:szCs w:val="20"/>
      <w:lang w:val="pl-PL"/>
    </w:rPr>
  </w:style>
  <w:style w:type="paragraph" w:styleId="Adresnakopercie">
    <w:name w:val="envelope address"/>
    <w:basedOn w:val="Normalny"/>
    <w:uiPriority w:val="99"/>
    <w:semiHidden/>
    <w:rsid w:val="002D2C99"/>
    <w:pPr>
      <w:framePr w:w="7938" w:h="1985" w:hRule="exact" w:hSpace="141" w:wrap="auto" w:hAnchor="page" w:xAlign="center" w:yAlign="bottom"/>
      <w:ind w:left="2835"/>
    </w:pPr>
    <w:rPr>
      <w:rFonts w:eastAsia="MS Gothic"/>
    </w:rPr>
  </w:style>
  <w:style w:type="paragraph" w:styleId="Adreszwrotnynakopercie">
    <w:name w:val="envelope return"/>
    <w:basedOn w:val="Normalny"/>
    <w:uiPriority w:val="99"/>
    <w:semiHidden/>
    <w:rsid w:val="002D2C99"/>
    <w:rPr>
      <w:rFonts w:eastAsia="MS Gothic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rsid w:val="002D2C99"/>
    <w:rPr>
      <w:color w:val="auto"/>
      <w:u w:val="single"/>
    </w:rPr>
  </w:style>
  <w:style w:type="character" w:styleId="HTML-akronim">
    <w:name w:val="HTML Acronym"/>
    <w:basedOn w:val="Domylnaczcionkaakapitu"/>
    <w:uiPriority w:val="99"/>
    <w:semiHidden/>
    <w:rsid w:val="002D2C99"/>
  </w:style>
  <w:style w:type="paragraph" w:styleId="HTML-adres">
    <w:name w:val="HTML Address"/>
    <w:basedOn w:val="Normalny"/>
    <w:link w:val="HTML-adresZnak"/>
    <w:uiPriority w:val="99"/>
    <w:semiHidden/>
    <w:rsid w:val="002D2C99"/>
    <w:rPr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locked/>
    <w:rsid w:val="002D2C99"/>
    <w:rPr>
      <w:rFonts w:eastAsia="MS Mincho"/>
      <w:i/>
      <w:iCs/>
      <w:sz w:val="24"/>
      <w:szCs w:val="24"/>
    </w:rPr>
  </w:style>
  <w:style w:type="character" w:styleId="HTML-cytat">
    <w:name w:val="HTML Cite"/>
    <w:basedOn w:val="Domylnaczcionkaakapitu"/>
    <w:uiPriority w:val="99"/>
    <w:semiHidden/>
    <w:rsid w:val="002D2C99"/>
    <w:rPr>
      <w:i/>
      <w:iCs/>
    </w:rPr>
  </w:style>
  <w:style w:type="character" w:styleId="HTML-kod">
    <w:name w:val="HTML Code"/>
    <w:basedOn w:val="Domylnaczcionkaakapitu"/>
    <w:uiPriority w:val="99"/>
    <w:semiHidden/>
    <w:rsid w:val="002D2C99"/>
    <w:rPr>
      <w:rFonts w:ascii="Consolas" w:hAnsi="Consolas" w:cs="Consolas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rsid w:val="002D2C99"/>
    <w:rPr>
      <w:i/>
      <w:iCs/>
    </w:rPr>
  </w:style>
  <w:style w:type="character" w:styleId="HTML-klawiatura">
    <w:name w:val="HTML Keyboard"/>
    <w:basedOn w:val="Domylnaczcionkaakapitu"/>
    <w:uiPriority w:val="99"/>
    <w:semiHidden/>
    <w:rsid w:val="002D2C99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2D2C99"/>
    <w:rPr>
      <w:rFonts w:ascii="Consolas" w:hAnsi="Consolas" w:cs="Consola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2D2C99"/>
    <w:rPr>
      <w:rFonts w:ascii="Consolas" w:eastAsia="MS Mincho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rsid w:val="002D2C99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rsid w:val="002D2C99"/>
    <w:rPr>
      <w:rFonts w:ascii="Consolas" w:hAnsi="Consolas" w:cs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rsid w:val="002D2C99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rsid w:val="002D2C99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2D2C99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2D2C99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2D2C99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2D2C99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2D2C99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2D2C99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2D2C99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2D2C99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2D2C99"/>
    <w:rPr>
      <w:rFonts w:eastAsia="MS Gothic"/>
      <w:b/>
      <w:bCs/>
    </w:rPr>
  </w:style>
  <w:style w:type="table" w:customStyle="1" w:styleId="Jasnasiatka1">
    <w:name w:val="Jasna siatka1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siatkaakcent11">
    <w:name w:val="Jasna siatka — akcent 11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Jasnasiatkaakcent2">
    <w:name w:val="Light Grid Accent 2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Jasnasiatkaakcent3">
    <w:name w:val="Light Grid Accent 3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Jasnasiatkaakcent4">
    <w:name w:val="Light Grid Accent 4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Jasnasiatkaakcent5">
    <w:name w:val="Light Grid Accent 5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Jasnasiatkaakcent6">
    <w:name w:val="Light Grid Accent 6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Jasnalista1">
    <w:name w:val="Jasna lista1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akcent11">
    <w:name w:val="Jasna lista — akcent 11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Jasnalistaakcent2">
    <w:name w:val="Light List Accent 2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Jasnalistaakcent3">
    <w:name w:val="Light List Accent 3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Jasnalistaakcent4">
    <w:name w:val="Light List Accent 4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Jasnalistaakcent5">
    <w:name w:val="Light List Accent 5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Jasnalistaakcent6">
    <w:name w:val="Light List Accent 6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Jasnecieniowanie1">
    <w:name w:val="Jasne cieniowanie1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99"/>
    <w:semiHidden/>
    <w:rsid w:val="002D2C99"/>
    <w:rPr>
      <w:color w:val="00548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bottom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Jasnecieniowanieakcent2">
    <w:name w:val="Light Shading Accent 2"/>
    <w:basedOn w:val="Standardowy"/>
    <w:uiPriority w:val="99"/>
    <w:semiHidden/>
    <w:rsid w:val="002D2C99"/>
    <w:rPr>
      <w:color w:val="8F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bottom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Jasnecieniowanieakcent3">
    <w:name w:val="Light Shading Accent 3"/>
    <w:basedOn w:val="Standardowy"/>
    <w:uiPriority w:val="99"/>
    <w:semiHidden/>
    <w:rsid w:val="002D2C99"/>
    <w:rPr>
      <w:color w:val="474747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Jasnecieniowanieakcent4">
    <w:name w:val="Light Shading Accent 4"/>
    <w:basedOn w:val="Standardowy"/>
    <w:uiPriority w:val="99"/>
    <w:semiHidden/>
    <w:rsid w:val="002D2C99"/>
    <w:rPr>
      <w:color w:val="70707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bottom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Jasnecieniowanieakcent5">
    <w:name w:val="Light Shading Accent 5"/>
    <w:basedOn w:val="Standardowy"/>
    <w:uiPriority w:val="99"/>
    <w:semiHidden/>
    <w:rsid w:val="002D2C99"/>
    <w:rPr>
      <w:color w:val="474747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Jasnecieniowanieakcent6">
    <w:name w:val="Light Shading Accent 6"/>
    <w:basedOn w:val="Standardowy"/>
    <w:uiPriority w:val="99"/>
    <w:semiHidden/>
    <w:rsid w:val="002D2C99"/>
    <w:rPr>
      <w:color w:val="393939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bottom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Numerwiersza">
    <w:name w:val="line number"/>
    <w:basedOn w:val="Domylnaczcionkaakapitu"/>
    <w:uiPriority w:val="99"/>
    <w:semiHidden/>
    <w:rsid w:val="002D2C99"/>
  </w:style>
  <w:style w:type="paragraph" w:styleId="Lista">
    <w:name w:val="List"/>
    <w:basedOn w:val="Normalny"/>
    <w:uiPriority w:val="99"/>
    <w:semiHidden/>
    <w:rsid w:val="002D2C99"/>
    <w:pPr>
      <w:ind w:left="283" w:hanging="283"/>
    </w:pPr>
  </w:style>
  <w:style w:type="paragraph" w:styleId="Lista2">
    <w:name w:val="List 2"/>
    <w:basedOn w:val="Normalny"/>
    <w:uiPriority w:val="99"/>
    <w:semiHidden/>
    <w:rsid w:val="002D2C99"/>
    <w:pPr>
      <w:ind w:left="566" w:hanging="283"/>
    </w:pPr>
  </w:style>
  <w:style w:type="paragraph" w:styleId="Lista3">
    <w:name w:val="List 3"/>
    <w:basedOn w:val="Normalny"/>
    <w:uiPriority w:val="99"/>
    <w:semiHidden/>
    <w:rsid w:val="002D2C99"/>
    <w:pPr>
      <w:ind w:left="849" w:hanging="283"/>
    </w:pPr>
  </w:style>
  <w:style w:type="paragraph" w:styleId="Lista4">
    <w:name w:val="List 4"/>
    <w:basedOn w:val="Normalny"/>
    <w:uiPriority w:val="99"/>
    <w:semiHidden/>
    <w:rsid w:val="002D2C99"/>
    <w:pPr>
      <w:ind w:left="1132" w:hanging="283"/>
    </w:pPr>
  </w:style>
  <w:style w:type="paragraph" w:styleId="Lista5">
    <w:name w:val="List 5"/>
    <w:basedOn w:val="Normalny"/>
    <w:uiPriority w:val="99"/>
    <w:semiHidden/>
    <w:rsid w:val="002D2C99"/>
    <w:pPr>
      <w:ind w:left="1415" w:hanging="283"/>
    </w:pPr>
  </w:style>
  <w:style w:type="paragraph" w:styleId="Listapunktowana">
    <w:name w:val="List Bullet"/>
    <w:basedOn w:val="Normalny"/>
    <w:uiPriority w:val="99"/>
    <w:semiHidden/>
    <w:rsid w:val="002D2C99"/>
    <w:pPr>
      <w:tabs>
        <w:tab w:val="num" w:pos="1492"/>
      </w:tabs>
      <w:ind w:left="360" w:hanging="360"/>
    </w:pPr>
  </w:style>
  <w:style w:type="paragraph" w:styleId="Listapunktowana3">
    <w:name w:val="List Bullet 3"/>
    <w:basedOn w:val="Normalny"/>
    <w:uiPriority w:val="99"/>
    <w:semiHidden/>
    <w:rsid w:val="002D2C99"/>
    <w:pPr>
      <w:numPr>
        <w:numId w:val="13"/>
      </w:numPr>
    </w:pPr>
  </w:style>
  <w:style w:type="paragraph" w:styleId="Listapunktowana4">
    <w:name w:val="List Bullet 4"/>
    <w:basedOn w:val="Normalny"/>
    <w:uiPriority w:val="99"/>
    <w:semiHidden/>
    <w:rsid w:val="002D2C99"/>
    <w:pPr>
      <w:numPr>
        <w:numId w:val="14"/>
      </w:numPr>
      <w:tabs>
        <w:tab w:val="num" w:pos="643"/>
      </w:tabs>
    </w:pPr>
  </w:style>
  <w:style w:type="paragraph" w:styleId="Listapunktowana5">
    <w:name w:val="List Bullet 5"/>
    <w:basedOn w:val="Normalny"/>
    <w:uiPriority w:val="99"/>
    <w:semiHidden/>
    <w:rsid w:val="002D2C99"/>
    <w:pPr>
      <w:numPr>
        <w:numId w:val="15"/>
      </w:numPr>
      <w:tabs>
        <w:tab w:val="num" w:pos="926"/>
      </w:tabs>
    </w:pPr>
  </w:style>
  <w:style w:type="paragraph" w:styleId="Lista-kontynuacja">
    <w:name w:val="List Continue"/>
    <w:basedOn w:val="Normalny"/>
    <w:uiPriority w:val="99"/>
    <w:semiHidden/>
    <w:rsid w:val="002D2C99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rsid w:val="002D2C99"/>
    <w:pPr>
      <w:spacing w:after="120"/>
      <w:ind w:left="566"/>
    </w:pPr>
  </w:style>
  <w:style w:type="paragraph" w:styleId="Lista-kontynuacja3">
    <w:name w:val="List Continue 3"/>
    <w:basedOn w:val="Normalny"/>
    <w:uiPriority w:val="99"/>
    <w:semiHidden/>
    <w:rsid w:val="002D2C99"/>
    <w:pPr>
      <w:spacing w:after="120"/>
      <w:ind w:left="849"/>
    </w:pPr>
  </w:style>
  <w:style w:type="paragraph" w:styleId="Lista-kontynuacja4">
    <w:name w:val="List Continue 4"/>
    <w:basedOn w:val="Normalny"/>
    <w:uiPriority w:val="99"/>
    <w:semiHidden/>
    <w:rsid w:val="002D2C99"/>
    <w:pPr>
      <w:spacing w:after="120"/>
      <w:ind w:left="1132"/>
    </w:pPr>
  </w:style>
  <w:style w:type="paragraph" w:styleId="Lista-kontynuacja5">
    <w:name w:val="List Continue 5"/>
    <w:basedOn w:val="Normalny"/>
    <w:uiPriority w:val="99"/>
    <w:semiHidden/>
    <w:rsid w:val="002D2C99"/>
    <w:pPr>
      <w:spacing w:after="120"/>
      <w:ind w:left="1415"/>
    </w:pPr>
  </w:style>
  <w:style w:type="paragraph" w:styleId="Listanumerowana">
    <w:name w:val="List Number"/>
    <w:basedOn w:val="Normalny"/>
    <w:uiPriority w:val="99"/>
    <w:semiHidden/>
    <w:rsid w:val="002D2C99"/>
    <w:pPr>
      <w:numPr>
        <w:numId w:val="16"/>
      </w:numPr>
      <w:tabs>
        <w:tab w:val="clear" w:pos="360"/>
        <w:tab w:val="num" w:pos="1209"/>
      </w:tabs>
    </w:pPr>
  </w:style>
  <w:style w:type="paragraph" w:styleId="Listanumerowana2">
    <w:name w:val="List Number 2"/>
    <w:basedOn w:val="Normalny"/>
    <w:uiPriority w:val="99"/>
    <w:semiHidden/>
    <w:rsid w:val="002D2C99"/>
    <w:pPr>
      <w:numPr>
        <w:numId w:val="17"/>
      </w:numPr>
      <w:tabs>
        <w:tab w:val="num" w:pos="1492"/>
      </w:tabs>
    </w:pPr>
  </w:style>
  <w:style w:type="paragraph" w:styleId="Listanumerowana3">
    <w:name w:val="List Number 3"/>
    <w:basedOn w:val="Normalny"/>
    <w:uiPriority w:val="99"/>
    <w:semiHidden/>
    <w:rsid w:val="002D2C99"/>
    <w:pPr>
      <w:tabs>
        <w:tab w:val="num" w:pos="643"/>
        <w:tab w:val="num" w:pos="926"/>
      </w:tabs>
      <w:ind w:left="926" w:hanging="360"/>
    </w:pPr>
  </w:style>
  <w:style w:type="paragraph" w:styleId="Listanumerowana4">
    <w:name w:val="List Number 4"/>
    <w:basedOn w:val="Normalny"/>
    <w:uiPriority w:val="99"/>
    <w:semiHidden/>
    <w:rsid w:val="002D2C99"/>
    <w:pPr>
      <w:numPr>
        <w:numId w:val="18"/>
      </w:numPr>
      <w:tabs>
        <w:tab w:val="clear" w:pos="926"/>
        <w:tab w:val="num" w:pos="1209"/>
      </w:tabs>
      <w:ind w:left="1209"/>
    </w:pPr>
  </w:style>
  <w:style w:type="paragraph" w:styleId="Listanumerowana5">
    <w:name w:val="List Number 5"/>
    <w:basedOn w:val="Normalny"/>
    <w:uiPriority w:val="99"/>
    <w:semiHidden/>
    <w:rsid w:val="002D2C99"/>
    <w:pPr>
      <w:numPr>
        <w:numId w:val="19"/>
      </w:numPr>
      <w:tabs>
        <w:tab w:val="clear" w:pos="1209"/>
        <w:tab w:val="num" w:pos="1492"/>
      </w:tabs>
      <w:ind w:left="1492"/>
    </w:pPr>
  </w:style>
  <w:style w:type="paragraph" w:styleId="Tekstmakra">
    <w:name w:val="macro"/>
    <w:link w:val="TekstmakraZnak"/>
    <w:uiPriority w:val="99"/>
    <w:semiHidden/>
    <w:rsid w:val="002D2C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MS Mincho" w:hAnsi="Consolas" w:cs="Consolas"/>
      <w:sz w:val="20"/>
      <w:szCs w:val="20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locked/>
    <w:rsid w:val="002D2C99"/>
    <w:rPr>
      <w:rFonts w:ascii="Consolas" w:eastAsia="MS Mincho" w:hAnsi="Consolas" w:cs="Consolas"/>
      <w:lang w:val="pl-PL" w:eastAsia="en-US"/>
    </w:rPr>
  </w:style>
  <w:style w:type="table" w:customStyle="1" w:styleId="redniasiatka11">
    <w:name w:val="Średnia siatka 11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redniasiatka1akcent2">
    <w:name w:val="Medium Grid 1 Accent 2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redniasiatka1akcent3">
    <w:name w:val="Medium Grid 1 Accent 3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redniasiatka1akcent4">
    <w:name w:val="Medium Grid 1 Accent 4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redniasiatka1akcent5">
    <w:name w:val="Medium Grid 1 Accent 5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redniasiatka1akcent6">
    <w:name w:val="Medium Grid 1 Accent 6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redniasiatka21">
    <w:name w:val="Średnia siatka 21"/>
    <w:basedOn w:val="Standardowy"/>
    <w:uiPriority w:val="99"/>
    <w:semiHidden/>
    <w:rsid w:val="002D2C99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styleId="redniasiatka2akcent1">
    <w:name w:val="Medium Grid 2 Accent 1"/>
    <w:basedOn w:val="Standardowy"/>
    <w:uiPriority w:val="99"/>
    <w:semiHidden/>
    <w:rsid w:val="002D2C99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styleId="redniasiatka2akcent2">
    <w:name w:val="Medium Grid 2 Accent 2"/>
    <w:basedOn w:val="Standardowy"/>
    <w:uiPriority w:val="99"/>
    <w:semiHidden/>
    <w:rsid w:val="002D2C99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styleId="redniasiatka2akcent3">
    <w:name w:val="Medium Grid 2 Accent 3"/>
    <w:basedOn w:val="Standardowy"/>
    <w:uiPriority w:val="99"/>
    <w:semiHidden/>
    <w:rsid w:val="002D2C99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redniasiatka2akcent4">
    <w:name w:val="Medium Grid 2 Accent 4"/>
    <w:basedOn w:val="Standardowy"/>
    <w:uiPriority w:val="99"/>
    <w:semiHidden/>
    <w:rsid w:val="002D2C99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styleId="redniasiatka2akcent5">
    <w:name w:val="Medium Grid 2 Accent 5"/>
    <w:basedOn w:val="Standardowy"/>
    <w:uiPriority w:val="99"/>
    <w:semiHidden/>
    <w:rsid w:val="002D2C99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redniasiatka2akcent6">
    <w:name w:val="Medium Grid 2 Accent 6"/>
    <w:basedOn w:val="Standardowy"/>
    <w:uiPriority w:val="99"/>
    <w:semiHidden/>
    <w:rsid w:val="002D2C99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redniasiatka31">
    <w:name w:val="Średnia siatka 31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redniasiatka3akcent2">
    <w:name w:val="Medium Grid 3 Accent 2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redniasiatka3akcent3">
    <w:name w:val="Medium Grid 3 Accent 3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redniasiatka3akcent4">
    <w:name w:val="Medium Grid 3 Accent 4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redniasiatka3akcent5">
    <w:name w:val="Medium Grid 3 Accent 5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redniasiatka3akcent6">
    <w:name w:val="Medium Grid 3 Accent 6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rednialista11">
    <w:name w:val="Średnia lista 11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rednialista1akcent11">
    <w:name w:val="Średnia lista 1 — akcent 11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bottom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styleId="rednialista1akcent2">
    <w:name w:val="Medium List 1 Accent 2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bottom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styleId="rednialista1akcent3">
    <w:name w:val="Medium List 1 Accent 3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rednialista1akcent4">
    <w:name w:val="Medium List 1 Accent 4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bottom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styleId="rednialista1akcent5">
    <w:name w:val="Medium List 1 Accent 5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rednialista1akcent6">
    <w:name w:val="Medium List 1 Accent 6"/>
    <w:basedOn w:val="Standardowy"/>
    <w:uiPriority w:val="99"/>
    <w:semiHidden/>
    <w:rsid w:val="002D2C9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bottom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rednialista21">
    <w:name w:val="Średnia lista 21"/>
    <w:basedOn w:val="Standardowy"/>
    <w:uiPriority w:val="99"/>
    <w:semiHidden/>
    <w:rsid w:val="002D2C99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99"/>
    <w:semiHidden/>
    <w:rsid w:val="002D2C99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99"/>
    <w:semiHidden/>
    <w:rsid w:val="002D2C99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99"/>
    <w:semiHidden/>
    <w:rsid w:val="002D2C99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99"/>
    <w:semiHidden/>
    <w:rsid w:val="002D2C99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99"/>
    <w:semiHidden/>
    <w:rsid w:val="002D2C99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99"/>
    <w:semiHidden/>
    <w:rsid w:val="002D2C99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99"/>
    <w:semiHidden/>
    <w:rsid w:val="002D2C99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rsid w:val="002D2C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locked/>
    <w:rsid w:val="002D2C99"/>
    <w:rPr>
      <w:rFonts w:ascii="Times New Roman" w:eastAsia="MS Gothic" w:hAnsi="Times New Roman" w:cs="Times New Roman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rsid w:val="002D2C99"/>
  </w:style>
  <w:style w:type="paragraph" w:styleId="Wcicienormalne">
    <w:name w:val="Normal Indent"/>
    <w:basedOn w:val="Normalny"/>
    <w:uiPriority w:val="99"/>
    <w:semiHidden/>
    <w:rsid w:val="002D2C99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2D2C99"/>
    <w:rPr>
      <w:lang w:eastAsia="pl-PL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locked/>
    <w:rsid w:val="002D2C99"/>
    <w:rPr>
      <w:rFonts w:eastAsia="MS Mincho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C6DDC"/>
    <w:rPr>
      <w:color w:val="auto"/>
      <w:shd w:val="clear" w:color="auto" w:fill="DFDFDF"/>
    </w:rPr>
  </w:style>
  <w:style w:type="paragraph" w:styleId="Zwykytekst">
    <w:name w:val="Plain Text"/>
    <w:basedOn w:val="Normalny"/>
    <w:link w:val="ZwykytekstZnak"/>
    <w:uiPriority w:val="99"/>
    <w:semiHidden/>
    <w:rsid w:val="002D2C99"/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2D2C99"/>
    <w:rPr>
      <w:rFonts w:ascii="Consolas" w:eastAsia="MS Mincho" w:hAnsi="Consolas" w:cs="Consolas"/>
      <w:sz w:val="21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2D2C99"/>
    <w:rPr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2D2C99"/>
    <w:rPr>
      <w:rFonts w:eastAsia="MS Mincho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rsid w:val="002D2C99"/>
    <w:pPr>
      <w:ind w:left="4252"/>
    </w:pPr>
    <w:rPr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2D2C99"/>
    <w:rPr>
      <w:rFonts w:eastAsia="MS Mincho"/>
      <w:sz w:val="24"/>
      <w:szCs w:val="24"/>
    </w:rPr>
  </w:style>
  <w:style w:type="table" w:styleId="Tabela-Efekty3W1">
    <w:name w:val="Table 3D effects 1"/>
    <w:basedOn w:val="Standardowy"/>
    <w:uiPriority w:val="99"/>
    <w:semiHidden/>
    <w:rsid w:val="002D2C99"/>
    <w:pPr>
      <w:jc w:val="both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rsid w:val="002D2C99"/>
    <w:pPr>
      <w:jc w:val="both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rsid w:val="002D2C99"/>
    <w:pPr>
      <w:jc w:val="both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rsid w:val="002D2C99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rsid w:val="002D2C99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rsid w:val="002D2C99"/>
    <w:pPr>
      <w:jc w:val="both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rsid w:val="002D2C99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rsid w:val="002D2C99"/>
    <w:pPr>
      <w:jc w:val="both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rsid w:val="002D2C99"/>
    <w:pPr>
      <w:jc w:val="both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rsid w:val="002D2C99"/>
    <w:pPr>
      <w:jc w:val="both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rsid w:val="002D2C99"/>
    <w:pPr>
      <w:jc w:val="both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rsid w:val="002D2C99"/>
    <w:pPr>
      <w:jc w:val="both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rsid w:val="002D2C99"/>
    <w:pPr>
      <w:jc w:val="both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rsid w:val="002D2C99"/>
    <w:pPr>
      <w:jc w:val="both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rsid w:val="002D2C99"/>
    <w:pPr>
      <w:jc w:val="both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rsid w:val="002D2C99"/>
    <w:pPr>
      <w:jc w:val="both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rsid w:val="002D2C99"/>
    <w:pPr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rsid w:val="002D2C99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rsid w:val="002D2C99"/>
    <w:pPr>
      <w:jc w:val="both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rsid w:val="002D2C99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rsid w:val="002D2C99"/>
    <w:pPr>
      <w:jc w:val="both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rsid w:val="002D2C99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rsid w:val="002D2C99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rsid w:val="002D2C99"/>
    <w:pPr>
      <w:jc w:val="both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rsid w:val="002D2C99"/>
    <w:pPr>
      <w:jc w:val="both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rsid w:val="002D2C99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rsid w:val="002D2C99"/>
    <w:pPr>
      <w:jc w:val="both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rsid w:val="002D2C99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rsid w:val="002D2C99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rsid w:val="002D2C99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rsid w:val="002D2C99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rsid w:val="002D2C99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rsid w:val="002D2C99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rsid w:val="002D2C99"/>
    <w:pPr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rsid w:val="002D2C99"/>
  </w:style>
  <w:style w:type="table" w:styleId="Tabela-Profesjonalny">
    <w:name w:val="Table Professional"/>
    <w:basedOn w:val="Standardowy"/>
    <w:uiPriority w:val="99"/>
    <w:semiHidden/>
    <w:rsid w:val="002D2C99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rsid w:val="002D2C99"/>
    <w:pPr>
      <w:jc w:val="both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rsid w:val="002D2C99"/>
    <w:pPr>
      <w:jc w:val="both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rsid w:val="002D2C99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rsid w:val="002D2C99"/>
    <w:pPr>
      <w:jc w:val="both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rsid w:val="002D2C99"/>
    <w:pPr>
      <w:jc w:val="both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rsid w:val="002D2C99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eWeb1">
    <w:name w:val="Table Web 1"/>
    <w:basedOn w:val="Standardowy"/>
    <w:uiPriority w:val="99"/>
    <w:semiHidden/>
    <w:rsid w:val="002D2C99"/>
    <w:pPr>
      <w:jc w:val="both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rsid w:val="002D2C99"/>
    <w:pPr>
      <w:jc w:val="both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rsid w:val="002D2C99"/>
    <w:pPr>
      <w:jc w:val="both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6">
    <w:name w:val="toc 6"/>
    <w:basedOn w:val="Normalny"/>
    <w:next w:val="Normalny"/>
    <w:autoRedefine/>
    <w:uiPriority w:val="99"/>
    <w:semiHidden/>
    <w:rsid w:val="007C6DDC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7C6DDC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2D2C99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2D2C99"/>
    <w:pPr>
      <w:spacing w:after="100"/>
      <w:ind w:left="1920"/>
    </w:pPr>
  </w:style>
  <w:style w:type="paragraph" w:customStyle="1" w:styleId="OpiH1">
    <w:name w:val="Opi_H_1"/>
    <w:basedOn w:val="ECHRHeading2"/>
    <w:uiPriority w:val="99"/>
    <w:rsid w:val="00E80F0A"/>
    <w:pPr>
      <w:ind w:left="635" w:hanging="357"/>
      <w:outlineLvl w:val="2"/>
    </w:pPr>
  </w:style>
  <w:style w:type="paragraph" w:customStyle="1" w:styleId="OpiHa0">
    <w:name w:val="Opi_H_a"/>
    <w:basedOn w:val="ECHRHeading3"/>
    <w:uiPriority w:val="99"/>
    <w:rsid w:val="00E80F0A"/>
    <w:pPr>
      <w:ind w:left="833" w:hanging="357"/>
      <w:outlineLvl w:val="3"/>
    </w:pPr>
    <w:rPr>
      <w:b/>
      <w:bCs/>
      <w:i w:val="0"/>
      <w:iCs w:val="0"/>
      <w:sz w:val="20"/>
      <w:szCs w:val="20"/>
    </w:rPr>
  </w:style>
  <w:style w:type="paragraph" w:customStyle="1" w:styleId="ECHRFooter">
    <w:name w:val="ECHR_Footer"/>
    <w:aliases w:val="Footer_ECHR"/>
    <w:basedOn w:val="Stopka"/>
    <w:uiPriority w:val="99"/>
    <w:semiHidden/>
    <w:rsid w:val="007C6DDC"/>
    <w:pPr>
      <w:jc w:val="left"/>
    </w:pPr>
    <w:rPr>
      <w:sz w:val="8"/>
      <w:szCs w:val="8"/>
    </w:rPr>
  </w:style>
  <w:style w:type="paragraph" w:customStyle="1" w:styleId="ECHRFooterLine">
    <w:name w:val="ECHR_Footer_Line"/>
    <w:aliases w:val="Footer_Line"/>
    <w:basedOn w:val="Normalny"/>
    <w:next w:val="ECHRFooter"/>
    <w:uiPriority w:val="99"/>
    <w:semiHidden/>
    <w:rsid w:val="007C6DDC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TitleCentre2">
    <w:name w:val="ECHR_Title_Centre_2"/>
    <w:aliases w:val="Dec_H_Case"/>
    <w:basedOn w:val="Normalny"/>
    <w:next w:val="ECHRPara"/>
    <w:uiPriority w:val="99"/>
    <w:rsid w:val="00E80F0A"/>
    <w:pPr>
      <w:spacing w:after="240"/>
      <w:jc w:val="center"/>
      <w:outlineLvl w:val="0"/>
    </w:pPr>
  </w:style>
  <w:style w:type="paragraph" w:customStyle="1" w:styleId="OpiHi">
    <w:name w:val="Opi_H_i"/>
    <w:basedOn w:val="ECHRHeading4"/>
    <w:uiPriority w:val="99"/>
    <w:rsid w:val="00E80F0A"/>
    <w:pPr>
      <w:ind w:left="1037" w:hanging="357"/>
      <w:outlineLvl w:val="4"/>
    </w:pPr>
    <w:rPr>
      <w:b w:val="0"/>
      <w:bCs w:val="0"/>
      <w:i/>
      <w:iCs/>
    </w:rPr>
  </w:style>
  <w:style w:type="paragraph" w:customStyle="1" w:styleId="JuHeaderLandscape">
    <w:name w:val="Ju_Header_Landscape"/>
    <w:basedOn w:val="ECHRHeader"/>
    <w:uiPriority w:val="99"/>
    <w:rsid w:val="00E80F0A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DummyStyle">
    <w:name w:val="Dummy_Style"/>
    <w:basedOn w:val="Normalny"/>
    <w:uiPriority w:val="99"/>
    <w:semiHidden/>
    <w:rsid w:val="00E80F0A"/>
    <w:rPr>
      <w:color w:val="00B050"/>
    </w:rPr>
  </w:style>
  <w:style w:type="paragraph" w:customStyle="1" w:styleId="ECHRSpacer">
    <w:name w:val="ECHR_Spacer"/>
    <w:basedOn w:val="Normalny"/>
    <w:uiPriority w:val="99"/>
    <w:rsid w:val="00A90EAF"/>
    <w:pPr>
      <w:jc w:val="left"/>
    </w:pPr>
    <w:rPr>
      <w:rFonts w:eastAsia="Times New Roman"/>
      <w:sz w:val="4"/>
      <w:szCs w:val="4"/>
    </w:rPr>
  </w:style>
  <w:style w:type="paragraph" w:customStyle="1" w:styleId="jupara">
    <w:name w:val="jupara"/>
    <w:basedOn w:val="Normalny"/>
    <w:uiPriority w:val="99"/>
    <w:rsid w:val="00E53B37"/>
    <w:pPr>
      <w:ind w:firstLine="284"/>
    </w:pPr>
    <w:rPr>
      <w:rFonts w:eastAsia="Times New Roman"/>
      <w:lang w:eastAsia="en-GB"/>
    </w:rPr>
  </w:style>
  <w:style w:type="paragraph" w:customStyle="1" w:styleId="jucase0">
    <w:name w:val="jucase"/>
    <w:basedOn w:val="Normalny"/>
    <w:uiPriority w:val="99"/>
    <w:rsid w:val="00E53B37"/>
    <w:pPr>
      <w:ind w:firstLine="284"/>
    </w:pPr>
    <w:rPr>
      <w:rFonts w:eastAsia="Times New Roman"/>
      <w:b/>
      <w:bCs/>
      <w:lang w:eastAsia="en-GB"/>
    </w:rPr>
  </w:style>
  <w:style w:type="character" w:customStyle="1" w:styleId="ECHRParaChar">
    <w:name w:val="ECHR_Para Char"/>
    <w:aliases w:val="Ju_Para Char"/>
    <w:link w:val="ECHRPara"/>
    <w:uiPriority w:val="99"/>
    <w:locked/>
    <w:rsid w:val="001A7286"/>
    <w:rPr>
      <w:rFonts w:eastAsia="MS Mincho"/>
      <w:sz w:val="24"/>
      <w:szCs w:val="24"/>
      <w:lang w:val="pl-PL" w:eastAsia="en-US"/>
    </w:rPr>
  </w:style>
  <w:style w:type="paragraph" w:customStyle="1" w:styleId="s50c0b1c7">
    <w:name w:val="s50c0b1c7"/>
    <w:basedOn w:val="Normalny"/>
    <w:uiPriority w:val="99"/>
    <w:rsid w:val="001A7286"/>
    <w:pPr>
      <w:spacing w:before="100" w:beforeAutospacing="1" w:after="100" w:afterAutospacing="1"/>
      <w:jc w:val="left"/>
    </w:pPr>
    <w:rPr>
      <w:rFonts w:eastAsia="Times New Roman"/>
      <w:lang w:eastAsia="en-GB"/>
    </w:rPr>
  </w:style>
  <w:style w:type="character" w:customStyle="1" w:styleId="s3aeeab2">
    <w:name w:val="s3aeeab2"/>
    <w:basedOn w:val="Domylnaczcionkaakapitu"/>
    <w:uiPriority w:val="99"/>
    <w:rsid w:val="001A7286"/>
  </w:style>
  <w:style w:type="character" w:customStyle="1" w:styleId="sfbbfee58">
    <w:name w:val="sfbbfee58"/>
    <w:basedOn w:val="Domylnaczcionkaakapitu"/>
    <w:uiPriority w:val="99"/>
    <w:rsid w:val="001A7286"/>
  </w:style>
  <w:style w:type="character" w:customStyle="1" w:styleId="s4f807e54">
    <w:name w:val="s4f807e54"/>
    <w:uiPriority w:val="99"/>
    <w:rsid w:val="00EA528C"/>
  </w:style>
  <w:style w:type="numbering" w:styleId="Artykusekcja">
    <w:name w:val="Outline List 3"/>
    <w:basedOn w:val="Bezlisty"/>
    <w:uiPriority w:val="99"/>
    <w:semiHidden/>
    <w:unhideWhenUsed/>
    <w:locked/>
    <w:rsid w:val="00EE6654"/>
    <w:pPr>
      <w:numPr>
        <w:numId w:val="32"/>
      </w:numPr>
    </w:pPr>
  </w:style>
  <w:style w:type="numbering" w:styleId="1ai">
    <w:name w:val="Outline List 1"/>
    <w:basedOn w:val="Bezlisty"/>
    <w:uiPriority w:val="99"/>
    <w:semiHidden/>
    <w:unhideWhenUsed/>
    <w:locked/>
    <w:rsid w:val="00EE6654"/>
    <w:pPr>
      <w:numPr>
        <w:numId w:val="31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EE6654"/>
    <w:pPr>
      <w:numPr>
        <w:numId w:val="30"/>
      </w:numPr>
    </w:pPr>
  </w:style>
  <w:style w:type="table" w:styleId="Kolorowasiatka">
    <w:name w:val="Colorful Grid"/>
    <w:basedOn w:val="Standardowy"/>
    <w:uiPriority w:val="99"/>
    <w:rsid w:val="00A31C03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lista">
    <w:name w:val="Colorful List"/>
    <w:basedOn w:val="Standardowy"/>
    <w:uiPriority w:val="99"/>
    <w:rsid w:val="00A31C03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ecieniowanie">
    <w:name w:val="Colorful Shading"/>
    <w:basedOn w:val="Standardowy"/>
    <w:uiPriority w:val="99"/>
    <w:rsid w:val="00A31C03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iemnalista">
    <w:name w:val="Dark List"/>
    <w:basedOn w:val="Standardowy"/>
    <w:uiPriority w:val="99"/>
    <w:rsid w:val="00A31C03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Jasnasiatka">
    <w:name w:val="Light Grid"/>
    <w:basedOn w:val="Standardowy"/>
    <w:uiPriority w:val="99"/>
    <w:rsid w:val="00A31C0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Jasnasiatkaakcent1">
    <w:name w:val="Light Grid Accent 1"/>
    <w:basedOn w:val="Standardowy"/>
    <w:uiPriority w:val="99"/>
    <w:rsid w:val="00A31C0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Jasnalista">
    <w:name w:val="Light List"/>
    <w:basedOn w:val="Standardowy"/>
    <w:uiPriority w:val="99"/>
    <w:rsid w:val="00A31C0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99"/>
    <w:rsid w:val="00A31C0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Jasnecieniowanie">
    <w:name w:val="Light Shading"/>
    <w:basedOn w:val="Standardowy"/>
    <w:uiPriority w:val="99"/>
    <w:rsid w:val="00A31C03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99"/>
    <w:rsid w:val="00A31C03"/>
    <w:rPr>
      <w:color w:val="00548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bottom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redniasiatka1">
    <w:name w:val="Medium Grid 1"/>
    <w:basedOn w:val="Standardowy"/>
    <w:uiPriority w:val="99"/>
    <w:rsid w:val="00A31C0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2">
    <w:name w:val="Medium Grid 2"/>
    <w:basedOn w:val="Standardowy"/>
    <w:uiPriority w:val="99"/>
    <w:rsid w:val="00A31C03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styleId="redniasiatka3">
    <w:name w:val="Medium Grid 3"/>
    <w:basedOn w:val="Standardowy"/>
    <w:uiPriority w:val="99"/>
    <w:rsid w:val="00A31C0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rednialista1">
    <w:name w:val="Medium List 1"/>
    <w:basedOn w:val="Standardowy"/>
    <w:uiPriority w:val="99"/>
    <w:rsid w:val="00A31C03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99"/>
    <w:rsid w:val="00A31C03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bottom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styleId="rednialista2">
    <w:name w:val="Medium List 2"/>
    <w:basedOn w:val="Standardowy"/>
    <w:uiPriority w:val="99"/>
    <w:rsid w:val="00A31C03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99"/>
    <w:rsid w:val="00A31C0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99"/>
    <w:rsid w:val="00A31C0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99"/>
    <w:rsid w:val="00A31C03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99"/>
    <w:rsid w:val="00A31C03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2E6E4-AF5D-4B58-A66B-907055991E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228E90-E0FE-4FA9-8B31-C1019DA1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6266</Words>
  <Characters>37596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2020-10-02T12:57:00Z</dcterms:created>
  <dcterms:modified xsi:type="dcterms:W3CDTF">2020-10-02T13:25:00Z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54490/10</vt:lpwstr>
  </property>
  <property fmtid="{D5CDD505-2E9C-101B-9397-08002B2CF9AE}" pid="4" name="CASEID">
    <vt:lpwstr>668478</vt:lpwstr>
  </property>
  <property fmtid="{D5CDD505-2E9C-101B-9397-08002B2CF9AE}" pid="5" name="ContentTypeId">
    <vt:lpwstr>0x010100558EB02BDB9E204AB350EDD385B68E10</vt:lpwstr>
  </property>
</Properties>
</file>