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34D52" w14:textId="77777777" w:rsidR="008E4DD7" w:rsidRPr="00C025DA" w:rsidRDefault="008E4DD7" w:rsidP="00C025DA">
      <w:pPr>
        <w:jc w:val="center"/>
        <w:rPr>
          <w:sz w:val="18"/>
          <w:szCs w:val="18"/>
        </w:rPr>
      </w:pPr>
      <w:r>
        <w:rPr>
          <w:rStyle w:val="s4f807e54"/>
          <w:rFonts w:ascii="Arial" w:hAnsi="Arial" w:cs="Arial"/>
          <w:sz w:val="18"/>
          <w:szCs w:val="18"/>
        </w:rPr>
        <w:t>© Copyright for the Polish translation by Naczelny Sąd Administracyjny, Warszawa 2018</w:t>
      </w:r>
    </w:p>
    <w:p w14:paraId="0819E69C" w14:textId="77777777" w:rsidR="008E4DD7" w:rsidRPr="00C025DA" w:rsidRDefault="008E4DD7" w:rsidP="00C025DA">
      <w:pPr>
        <w:jc w:val="center"/>
      </w:pPr>
    </w:p>
    <w:p w14:paraId="64B09B68" w14:textId="77777777" w:rsidR="00DD075B" w:rsidRDefault="00DD075B" w:rsidP="00C025DA">
      <w:pPr>
        <w:jc w:val="center"/>
      </w:pPr>
    </w:p>
    <w:p w14:paraId="6646C01C" w14:textId="77777777" w:rsidR="008E4DD7" w:rsidRPr="00FB770D" w:rsidRDefault="008E4DD7" w:rsidP="00C025DA">
      <w:pPr>
        <w:jc w:val="center"/>
      </w:pPr>
      <w:r>
        <w:t>EUROPEJSKI TRYBUNAŁ PRAW CZŁOWIEKA</w:t>
      </w:r>
    </w:p>
    <w:p w14:paraId="4344CCD6" w14:textId="77777777" w:rsidR="008E4DD7" w:rsidRPr="00FB770D" w:rsidRDefault="008E4DD7" w:rsidP="00C025DA"/>
    <w:p w14:paraId="4172FF57" w14:textId="77777777" w:rsidR="008E4DD7" w:rsidRPr="00C025DA" w:rsidRDefault="008E4DD7" w:rsidP="00C025DA">
      <w:pPr>
        <w:tabs>
          <w:tab w:val="left" w:pos="5529"/>
        </w:tabs>
        <w:jc w:val="center"/>
      </w:pPr>
      <w:r>
        <w:t>WIELKA IZBA</w:t>
      </w:r>
    </w:p>
    <w:p w14:paraId="73BA7F06" w14:textId="77777777" w:rsidR="008E4DD7" w:rsidRPr="00C025DA" w:rsidRDefault="008E4DD7" w:rsidP="00DC4033">
      <w:pPr>
        <w:jc w:val="center"/>
      </w:pPr>
    </w:p>
    <w:p w14:paraId="54A801E3" w14:textId="77777777" w:rsidR="008E4DD7" w:rsidRPr="00007C9B" w:rsidRDefault="008E4DD7" w:rsidP="00DC4033">
      <w:pPr>
        <w:jc w:val="center"/>
      </w:pPr>
    </w:p>
    <w:p w14:paraId="4C5D5348" w14:textId="77777777" w:rsidR="008E4DD7" w:rsidRPr="00007C9B" w:rsidRDefault="008E4DD7" w:rsidP="00DC4033">
      <w:pPr>
        <w:jc w:val="center"/>
      </w:pPr>
    </w:p>
    <w:p w14:paraId="3350C7A0" w14:textId="77777777" w:rsidR="008E4DD7" w:rsidRPr="00007C9B" w:rsidRDefault="008E4DD7" w:rsidP="00DC4033">
      <w:pPr>
        <w:jc w:val="center"/>
      </w:pPr>
    </w:p>
    <w:p w14:paraId="3D071021" w14:textId="77777777" w:rsidR="008E4DD7" w:rsidRPr="00007C9B" w:rsidRDefault="008E4DD7" w:rsidP="00DC4033">
      <w:pPr>
        <w:jc w:val="center"/>
      </w:pPr>
    </w:p>
    <w:p w14:paraId="53029502" w14:textId="77777777" w:rsidR="008E4DD7" w:rsidRPr="00C025DA" w:rsidRDefault="008E4DD7" w:rsidP="00DC4033">
      <w:pPr>
        <w:jc w:val="center"/>
        <w:rPr>
          <w:b/>
          <w:bCs/>
        </w:rPr>
      </w:pPr>
      <w:bookmarkStart w:id="0" w:name="To"/>
      <w:r>
        <w:rPr>
          <w:b/>
          <w:bCs/>
        </w:rPr>
        <w:t xml:space="preserve">SPRAWA </w:t>
      </w:r>
      <w:bookmarkEnd w:id="0"/>
      <w:r>
        <w:rPr>
          <w:b/>
          <w:bCs/>
        </w:rPr>
        <w:t>SATAKUNNAN MARKKINAPÖRSSI OY I SATAMEDIA OY przeciwko FINLANDII</w:t>
      </w:r>
    </w:p>
    <w:p w14:paraId="251B5175" w14:textId="77777777" w:rsidR="008E4DD7" w:rsidRPr="00C025DA" w:rsidRDefault="008E4DD7" w:rsidP="00DC4033">
      <w:pPr>
        <w:jc w:val="center"/>
      </w:pPr>
    </w:p>
    <w:p w14:paraId="2410C647" w14:textId="77777777" w:rsidR="008E4DD7" w:rsidRPr="00C025DA" w:rsidRDefault="008E4DD7" w:rsidP="00DC4033">
      <w:pPr>
        <w:jc w:val="center"/>
        <w:rPr>
          <w:i/>
          <w:iCs/>
        </w:rPr>
      </w:pPr>
      <w:r>
        <w:rPr>
          <w:i/>
          <w:iCs/>
        </w:rPr>
        <w:t>(Skarga nr 931/13)</w:t>
      </w:r>
    </w:p>
    <w:p w14:paraId="3293644A" w14:textId="77777777" w:rsidR="008E4DD7" w:rsidRPr="00C025DA" w:rsidRDefault="008E4DD7" w:rsidP="00DC4033">
      <w:pPr>
        <w:jc w:val="center"/>
      </w:pPr>
    </w:p>
    <w:p w14:paraId="5B7B4432" w14:textId="77777777" w:rsidR="008E4DD7" w:rsidRPr="00C025DA" w:rsidRDefault="008E4DD7" w:rsidP="00DC4033">
      <w:pPr>
        <w:jc w:val="center"/>
      </w:pPr>
    </w:p>
    <w:p w14:paraId="22F41FC9" w14:textId="77777777" w:rsidR="008E4DD7" w:rsidRPr="00C025DA" w:rsidRDefault="008E4DD7" w:rsidP="00DC4033">
      <w:pPr>
        <w:jc w:val="center"/>
      </w:pPr>
    </w:p>
    <w:p w14:paraId="0A7431E6" w14:textId="77777777" w:rsidR="008E4DD7" w:rsidRPr="00C025DA" w:rsidRDefault="008E4DD7" w:rsidP="00DC4033">
      <w:pPr>
        <w:jc w:val="center"/>
      </w:pPr>
    </w:p>
    <w:p w14:paraId="26AAE9CC" w14:textId="77777777" w:rsidR="008E4DD7" w:rsidRPr="00C025DA" w:rsidRDefault="008E4DD7" w:rsidP="00DC4033">
      <w:pPr>
        <w:jc w:val="center"/>
      </w:pPr>
    </w:p>
    <w:p w14:paraId="05D7F527" w14:textId="77777777" w:rsidR="008E4DD7" w:rsidRPr="00C025DA" w:rsidRDefault="008E4DD7" w:rsidP="00DC4033">
      <w:pPr>
        <w:jc w:val="center"/>
      </w:pPr>
    </w:p>
    <w:p w14:paraId="48E49BEE" w14:textId="77777777" w:rsidR="008E4DD7" w:rsidRPr="00C025DA" w:rsidRDefault="008E4DD7" w:rsidP="00DC4033">
      <w:pPr>
        <w:jc w:val="center"/>
      </w:pPr>
    </w:p>
    <w:p w14:paraId="053ECD3C" w14:textId="77777777" w:rsidR="008E4DD7" w:rsidRPr="00C025DA" w:rsidRDefault="008E4DD7" w:rsidP="00DC4033">
      <w:pPr>
        <w:jc w:val="center"/>
      </w:pPr>
    </w:p>
    <w:p w14:paraId="55542D1E" w14:textId="77777777" w:rsidR="008E4DD7" w:rsidRPr="00C025DA" w:rsidRDefault="008E4DD7" w:rsidP="00DC4033">
      <w:pPr>
        <w:jc w:val="center"/>
      </w:pPr>
    </w:p>
    <w:p w14:paraId="1953CC31" w14:textId="77777777" w:rsidR="008E4DD7" w:rsidRPr="00C025DA" w:rsidRDefault="008E4DD7" w:rsidP="00DC4033">
      <w:pPr>
        <w:jc w:val="center"/>
      </w:pPr>
    </w:p>
    <w:p w14:paraId="3ECD23AE" w14:textId="77777777" w:rsidR="008E4DD7" w:rsidRDefault="008E4DD7" w:rsidP="00DC4033">
      <w:pPr>
        <w:jc w:val="center"/>
      </w:pPr>
      <w:r>
        <w:t>WYROK</w:t>
      </w:r>
    </w:p>
    <w:p w14:paraId="52C4AA56" w14:textId="79F4D55C" w:rsidR="00465EA7" w:rsidRPr="00C025DA" w:rsidRDefault="00465EA7" w:rsidP="00DC4033">
      <w:pPr>
        <w:jc w:val="center"/>
      </w:pPr>
      <w:r>
        <w:t>[wyciąg]</w:t>
      </w:r>
    </w:p>
    <w:p w14:paraId="5EDEA6AC" w14:textId="77777777" w:rsidR="008E4DD7" w:rsidRPr="00C025DA" w:rsidRDefault="008E4DD7" w:rsidP="00DC4033">
      <w:pPr>
        <w:jc w:val="center"/>
      </w:pPr>
    </w:p>
    <w:p w14:paraId="1EACF3DF" w14:textId="77777777" w:rsidR="008E4DD7" w:rsidRPr="00C025DA" w:rsidRDefault="008E4DD7" w:rsidP="00DC4033">
      <w:pPr>
        <w:jc w:val="center"/>
      </w:pPr>
    </w:p>
    <w:p w14:paraId="6C146E40" w14:textId="77777777" w:rsidR="008E4DD7" w:rsidRPr="00C025DA" w:rsidRDefault="008E4DD7" w:rsidP="00DC4033">
      <w:pPr>
        <w:jc w:val="center"/>
      </w:pPr>
      <w:r>
        <w:t>STRASBURG</w:t>
      </w:r>
    </w:p>
    <w:p w14:paraId="66D68EF3" w14:textId="77777777" w:rsidR="008E4DD7" w:rsidRPr="00C025DA" w:rsidRDefault="008E4DD7" w:rsidP="00DC4033">
      <w:pPr>
        <w:jc w:val="center"/>
      </w:pPr>
    </w:p>
    <w:p w14:paraId="5036EA4D" w14:textId="77777777" w:rsidR="008E4DD7" w:rsidRPr="00C025DA" w:rsidRDefault="008E4DD7" w:rsidP="00DC4033">
      <w:pPr>
        <w:jc w:val="center"/>
      </w:pPr>
      <w:r>
        <w:t>27 czerwca 2017</w:t>
      </w:r>
      <w:r w:rsidR="00574C8E">
        <w:t xml:space="preserve"> r.</w:t>
      </w:r>
    </w:p>
    <w:p w14:paraId="65C766A2" w14:textId="77777777" w:rsidR="008E4DD7" w:rsidRPr="00C025DA" w:rsidRDefault="008E4DD7" w:rsidP="00DC4033">
      <w:pPr>
        <w:jc w:val="center"/>
      </w:pPr>
    </w:p>
    <w:p w14:paraId="2DB94CD0" w14:textId="77777777" w:rsidR="008E4DD7" w:rsidRPr="00C025DA" w:rsidRDefault="008E4DD7" w:rsidP="00DC4033">
      <w:pPr>
        <w:jc w:val="center"/>
      </w:pPr>
    </w:p>
    <w:p w14:paraId="38C499FC" w14:textId="77777777" w:rsidR="008E4DD7" w:rsidRPr="00C025DA" w:rsidRDefault="008E4DD7" w:rsidP="00DC4033">
      <w:pPr>
        <w:jc w:val="center"/>
      </w:pPr>
    </w:p>
    <w:p w14:paraId="69542AE4" w14:textId="77777777" w:rsidR="008E4DD7" w:rsidRPr="00C025DA" w:rsidRDefault="008E4DD7" w:rsidP="00DE2C4C">
      <w:pPr>
        <w:jc w:val="center"/>
        <w:rPr>
          <w:i/>
          <w:iCs/>
          <w:sz w:val="22"/>
          <w:szCs w:val="22"/>
        </w:rPr>
      </w:pPr>
      <w:r>
        <w:rPr>
          <w:i/>
          <w:iCs/>
        </w:rPr>
        <w:t>Niniejszy wyrok jest ostateczny, ale może podlegać korekcie wydawniczej</w:t>
      </w:r>
      <w:r>
        <w:rPr>
          <w:i/>
          <w:iCs/>
          <w:sz w:val="22"/>
          <w:szCs w:val="22"/>
        </w:rPr>
        <w:t>.</w:t>
      </w:r>
    </w:p>
    <w:p w14:paraId="5CFE5E91" w14:textId="77777777" w:rsidR="008E4DD7" w:rsidRDefault="008E4DD7" w:rsidP="00DC4033">
      <w:pPr>
        <w:rPr>
          <w:sz w:val="22"/>
          <w:szCs w:val="22"/>
        </w:rPr>
      </w:pPr>
    </w:p>
    <w:p w14:paraId="257ED68A" w14:textId="77777777" w:rsidR="00DD075B" w:rsidRPr="00C025DA" w:rsidRDefault="00DD075B" w:rsidP="00DD075B">
      <w:pPr>
        <w:jc w:val="center"/>
        <w:rPr>
          <w:sz w:val="22"/>
          <w:szCs w:val="22"/>
        </w:rPr>
        <w:sectPr w:rsidR="00DD075B" w:rsidRPr="00C025DA" w:rsidSect="00DD075B">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2274" w:right="2274" w:bottom="2274" w:left="2274" w:header="1701" w:footer="708" w:gutter="0"/>
          <w:pgNumType w:start="1"/>
          <w:cols w:space="708"/>
          <w:noEndnote/>
          <w:titlePg/>
          <w:docGrid w:linePitch="326"/>
        </w:sectPr>
      </w:pPr>
    </w:p>
    <w:p w14:paraId="0DF93B43" w14:textId="77777777" w:rsidR="008E4DD7" w:rsidRPr="00841658" w:rsidRDefault="008E4DD7" w:rsidP="00DC4033">
      <w:pPr>
        <w:pStyle w:val="JuCase"/>
      </w:pPr>
      <w:r>
        <w:lastRenderedPageBreak/>
        <w:t xml:space="preserve">W sprawie </w:t>
      </w:r>
      <w:proofErr w:type="spellStart"/>
      <w:r>
        <w:t>Satakunnan</w:t>
      </w:r>
      <w:proofErr w:type="spellEnd"/>
      <w:r>
        <w:t xml:space="preserve"> </w:t>
      </w:r>
      <w:proofErr w:type="spellStart"/>
      <w:r>
        <w:t>Markkinapörssi</w:t>
      </w:r>
      <w:proofErr w:type="spellEnd"/>
      <w:r>
        <w:t xml:space="preserve"> </w:t>
      </w:r>
      <w:proofErr w:type="spellStart"/>
      <w:r>
        <w:t>Oy</w:t>
      </w:r>
      <w:proofErr w:type="spellEnd"/>
      <w:r>
        <w:t xml:space="preserve"> i </w:t>
      </w:r>
      <w:proofErr w:type="spellStart"/>
      <w:r>
        <w:t>Satamedia</w:t>
      </w:r>
      <w:proofErr w:type="spellEnd"/>
      <w:r>
        <w:t xml:space="preserve"> </w:t>
      </w:r>
      <w:proofErr w:type="spellStart"/>
      <w:r>
        <w:t>Oy</w:t>
      </w:r>
      <w:proofErr w:type="spellEnd"/>
      <w:r>
        <w:t xml:space="preserve"> przeciwko Finlandii,</w:t>
      </w:r>
    </w:p>
    <w:p w14:paraId="2D6325A0" w14:textId="3B6808FF" w:rsidR="008E4DD7" w:rsidRPr="00841658" w:rsidRDefault="008E4DD7" w:rsidP="00077C8E">
      <w:pPr>
        <w:pStyle w:val="ECHRPara"/>
      </w:pPr>
      <w:r>
        <w:t>Europejski Trybunał Praw Człowieka, zasiadając jako Wielka Izba w</w:t>
      </w:r>
      <w:r w:rsidR="00E91B95">
        <w:t> </w:t>
      </w:r>
      <w:r>
        <w:t>składzie:</w:t>
      </w:r>
    </w:p>
    <w:p w14:paraId="4FA72C03" w14:textId="77777777" w:rsidR="008E4DD7" w:rsidRPr="00841658" w:rsidRDefault="008E4DD7" w:rsidP="00991B69">
      <w:pPr>
        <w:pStyle w:val="ECHRDecisionBody"/>
      </w:pPr>
      <w:r>
        <w:tab/>
        <w:t xml:space="preserve">András Sajó, </w:t>
      </w:r>
      <w:r>
        <w:rPr>
          <w:i/>
          <w:iCs/>
        </w:rPr>
        <w:t>Przewodniczący,</w:t>
      </w:r>
      <w:r>
        <w:tab/>
      </w:r>
      <w:r>
        <w:br/>
      </w:r>
      <w:r>
        <w:tab/>
        <w:t>Işıl Karakaş,</w:t>
      </w:r>
      <w:r>
        <w:br/>
      </w:r>
      <w:r>
        <w:tab/>
        <w:t xml:space="preserve">Angelika </w:t>
      </w:r>
      <w:proofErr w:type="spellStart"/>
      <w:r>
        <w:t>Nußberger</w:t>
      </w:r>
      <w:proofErr w:type="spellEnd"/>
      <w:r>
        <w:t>,</w:t>
      </w:r>
      <w:r>
        <w:br/>
      </w:r>
      <w:r>
        <w:tab/>
      </w:r>
      <w:proofErr w:type="spellStart"/>
      <w:r>
        <w:t>Ganna</w:t>
      </w:r>
      <w:proofErr w:type="spellEnd"/>
      <w:r>
        <w:t xml:space="preserve"> </w:t>
      </w:r>
      <w:proofErr w:type="spellStart"/>
      <w:r>
        <w:t>Yudkivska</w:t>
      </w:r>
      <w:proofErr w:type="spellEnd"/>
      <w:r>
        <w:t>,</w:t>
      </w:r>
      <w:r>
        <w:br/>
      </w:r>
      <w:r>
        <w:tab/>
        <w:t>Luis López Guerra,</w:t>
      </w:r>
      <w:r>
        <w:br/>
      </w:r>
      <w:r>
        <w:tab/>
        <w:t>Mirjana Lazarova Trajkovska,</w:t>
      </w:r>
      <w:r>
        <w:br/>
      </w:r>
      <w:r>
        <w:tab/>
      </w:r>
      <w:proofErr w:type="spellStart"/>
      <w:r>
        <w:t>Kristina</w:t>
      </w:r>
      <w:proofErr w:type="spellEnd"/>
      <w:r>
        <w:t xml:space="preserve"> </w:t>
      </w:r>
      <w:proofErr w:type="spellStart"/>
      <w:r>
        <w:t>Pardalos</w:t>
      </w:r>
      <w:proofErr w:type="spellEnd"/>
      <w:r>
        <w:t>,</w:t>
      </w:r>
      <w:r>
        <w:br/>
      </w:r>
      <w:r>
        <w:tab/>
        <w:t>Vincent A. De Gaetano,</w:t>
      </w:r>
      <w:r>
        <w:br/>
      </w:r>
      <w:r>
        <w:tab/>
        <w:t xml:space="preserve">Paulo </w:t>
      </w:r>
      <w:proofErr w:type="spellStart"/>
      <w:r>
        <w:t>Pinto</w:t>
      </w:r>
      <w:proofErr w:type="spellEnd"/>
      <w:r>
        <w:t xml:space="preserve"> de Albuquerque,</w:t>
      </w:r>
      <w:r>
        <w:br/>
      </w:r>
      <w:r>
        <w:tab/>
        <w:t>Helen Keller,</w:t>
      </w:r>
      <w:r>
        <w:br/>
      </w:r>
      <w:r>
        <w:tab/>
        <w:t>Aleš Pejchal,</w:t>
      </w:r>
      <w:r>
        <w:br/>
      </w:r>
      <w:r>
        <w:tab/>
        <w:t xml:space="preserve">Jon </w:t>
      </w:r>
      <w:proofErr w:type="spellStart"/>
      <w:r>
        <w:t>Fridrik</w:t>
      </w:r>
      <w:proofErr w:type="spellEnd"/>
      <w:r>
        <w:t xml:space="preserve"> </w:t>
      </w:r>
      <w:proofErr w:type="spellStart"/>
      <w:r>
        <w:t>Kjølbro</w:t>
      </w:r>
      <w:proofErr w:type="spellEnd"/>
      <w:r>
        <w:t>,</w:t>
      </w:r>
      <w:r>
        <w:br/>
      </w:r>
      <w:r>
        <w:tab/>
      </w:r>
      <w:proofErr w:type="spellStart"/>
      <w:r>
        <w:t>Síofra</w:t>
      </w:r>
      <w:proofErr w:type="spellEnd"/>
      <w:r>
        <w:t xml:space="preserve"> </w:t>
      </w:r>
      <w:proofErr w:type="spellStart"/>
      <w:r>
        <w:t>O’Leary</w:t>
      </w:r>
      <w:proofErr w:type="spellEnd"/>
      <w:r>
        <w:t>,</w:t>
      </w:r>
      <w:r>
        <w:br/>
      </w:r>
      <w:r>
        <w:tab/>
        <w:t xml:space="preserve">Carlo </w:t>
      </w:r>
      <w:proofErr w:type="spellStart"/>
      <w:r>
        <w:t>Ranzoni</w:t>
      </w:r>
      <w:proofErr w:type="spellEnd"/>
      <w:r>
        <w:t>,</w:t>
      </w:r>
      <w:r>
        <w:br/>
      </w:r>
      <w:r>
        <w:tab/>
      </w:r>
      <w:proofErr w:type="spellStart"/>
      <w:r>
        <w:t>Armen</w:t>
      </w:r>
      <w:proofErr w:type="spellEnd"/>
      <w:r>
        <w:t xml:space="preserve"> </w:t>
      </w:r>
      <w:proofErr w:type="spellStart"/>
      <w:r>
        <w:t>Harutyunyan</w:t>
      </w:r>
      <w:proofErr w:type="spellEnd"/>
      <w:r>
        <w:t>,</w:t>
      </w:r>
      <w:r>
        <w:br/>
      </w:r>
      <w:r>
        <w:tab/>
      </w:r>
      <w:proofErr w:type="spellStart"/>
      <w:r>
        <w:t>Pauliine</w:t>
      </w:r>
      <w:proofErr w:type="spellEnd"/>
      <w:r>
        <w:t xml:space="preserve"> </w:t>
      </w:r>
      <w:proofErr w:type="spellStart"/>
      <w:r>
        <w:t>Koskelo</w:t>
      </w:r>
      <w:proofErr w:type="spellEnd"/>
      <w:r>
        <w:t>,</w:t>
      </w:r>
      <w:r>
        <w:br/>
      </w:r>
      <w:r>
        <w:tab/>
        <w:t xml:space="preserve">Marko </w:t>
      </w:r>
      <w:proofErr w:type="spellStart"/>
      <w:r>
        <w:t>Bošnjak</w:t>
      </w:r>
      <w:proofErr w:type="spellEnd"/>
      <w:r>
        <w:t xml:space="preserve">, </w:t>
      </w:r>
      <w:r>
        <w:rPr>
          <w:i/>
          <w:iCs/>
        </w:rPr>
        <w:t>sędziowie,</w:t>
      </w:r>
      <w:r>
        <w:br/>
        <w:t xml:space="preserve">oraz Lawrence </w:t>
      </w:r>
      <w:proofErr w:type="spellStart"/>
      <w:r>
        <w:t>Early</w:t>
      </w:r>
      <w:proofErr w:type="spellEnd"/>
      <w:r>
        <w:t>, Radca prawny [</w:t>
      </w:r>
      <w:proofErr w:type="spellStart"/>
      <w:r w:rsidRPr="00841658">
        <w:rPr>
          <w:i/>
          <w:iCs/>
        </w:rPr>
        <w:t>Jurisconsult</w:t>
      </w:r>
      <w:proofErr w:type="spellEnd"/>
      <w:r>
        <w:t>]</w:t>
      </w:r>
      <w:r w:rsidDel="000D5C26">
        <w:rPr>
          <w:i/>
          <w:iCs/>
        </w:rPr>
        <w:t xml:space="preserve"> </w:t>
      </w:r>
      <w:r>
        <w:rPr>
          <w:i/>
          <w:iCs/>
        </w:rPr>
        <w:t>,</w:t>
      </w:r>
    </w:p>
    <w:p w14:paraId="5B505477" w14:textId="257DD1BA" w:rsidR="008E4DD7" w:rsidRPr="00841658" w:rsidRDefault="00D9277A" w:rsidP="00991B69">
      <w:pPr>
        <w:pStyle w:val="ECHRPara"/>
      </w:pPr>
      <w:r>
        <w:t>po obradach</w:t>
      </w:r>
      <w:r w:rsidR="008E4DD7">
        <w:t xml:space="preserve"> na posiedzeniach </w:t>
      </w:r>
      <w:r>
        <w:t xml:space="preserve">niejawnych </w:t>
      </w:r>
      <w:r w:rsidR="008E4DD7">
        <w:t xml:space="preserve">w dniach 14 września 2016 </w:t>
      </w:r>
      <w:r w:rsidR="003F6D4E">
        <w:t xml:space="preserve">r. </w:t>
      </w:r>
      <w:r w:rsidR="008E4DD7">
        <w:t>i</w:t>
      </w:r>
      <w:r w:rsidR="003F6D4E">
        <w:t> </w:t>
      </w:r>
      <w:r w:rsidR="008E4DD7">
        <w:t>5 kwietnia 2017 r.,</w:t>
      </w:r>
    </w:p>
    <w:p w14:paraId="33C55038" w14:textId="66E3958C" w:rsidR="008E4DD7" w:rsidRPr="00841658" w:rsidRDefault="008E4DD7" w:rsidP="00991B69">
      <w:pPr>
        <w:pStyle w:val="ECHRPara"/>
      </w:pPr>
      <w:r>
        <w:t>wydaje następujący wyrok, który został przyjęty w drugiej z</w:t>
      </w:r>
      <w:r w:rsidR="00E91B95">
        <w:t> </w:t>
      </w:r>
      <w:r>
        <w:t>wymienionych dat:</w:t>
      </w:r>
    </w:p>
    <w:p w14:paraId="33A338E7" w14:textId="77777777" w:rsidR="008E4DD7" w:rsidRPr="00002A99" w:rsidRDefault="008E4DD7" w:rsidP="00E9349C">
      <w:pPr>
        <w:pStyle w:val="ECHRTitle1"/>
      </w:pPr>
      <w:r>
        <w:t>POSTĘPOWANIE</w:t>
      </w:r>
    </w:p>
    <w:p w14:paraId="17CAD77A" w14:textId="77777777" w:rsidR="008E4DD7" w:rsidRPr="00002A99" w:rsidRDefault="008E4DD7" w:rsidP="00002A99">
      <w:pPr>
        <w:pStyle w:val="ECHRPara"/>
        <w:ind w:firstLine="0"/>
      </w:pPr>
      <w:r>
        <w:rPr>
          <w:i/>
          <w:iCs/>
        </w:rPr>
        <w:t>[Paragrafy 1- 7 wyroku pominięto]</w:t>
      </w:r>
    </w:p>
    <w:p w14:paraId="5BB929D4" w14:textId="77777777" w:rsidR="008E4DD7" w:rsidRPr="00002A99" w:rsidRDefault="008E4DD7" w:rsidP="0080172E">
      <w:pPr>
        <w:pStyle w:val="ECHRPara"/>
        <w:keepNext/>
        <w:keepLines/>
      </w:pPr>
    </w:p>
    <w:p w14:paraId="698680EE" w14:textId="77777777" w:rsidR="008E4DD7" w:rsidRPr="00002A99" w:rsidRDefault="008E4DD7" w:rsidP="00672ABC">
      <w:pPr>
        <w:pStyle w:val="ECHRTitle1"/>
      </w:pPr>
      <w:r>
        <w:t>FAKTY</w:t>
      </w:r>
    </w:p>
    <w:p w14:paraId="680D1F46" w14:textId="77777777" w:rsidR="008E4DD7" w:rsidRDefault="008E4DD7" w:rsidP="00002A99">
      <w:pPr>
        <w:pStyle w:val="ECHRPara"/>
        <w:ind w:firstLine="0"/>
        <w:rPr>
          <w:i/>
          <w:iCs/>
        </w:rPr>
      </w:pPr>
      <w:r>
        <w:rPr>
          <w:i/>
          <w:iCs/>
        </w:rPr>
        <w:t>[Paragrafy 8-82 wyroku pominięte i zastąpione tłumaczeniem poniższego streszczenia przygotowanego przez Kancelarię Europejskiego Trybunału Praw Człowieka</w:t>
      </w:r>
    </w:p>
    <w:p w14:paraId="5A75A116" w14:textId="77777777" w:rsidR="008E4DD7" w:rsidRPr="00185AE1" w:rsidRDefault="008E4DD7" w:rsidP="00002A99">
      <w:pPr>
        <w:pStyle w:val="ECHRPara"/>
        <w:ind w:firstLine="0"/>
        <w:rPr>
          <w:i/>
          <w:iCs/>
        </w:rPr>
      </w:pPr>
    </w:p>
    <w:p w14:paraId="6DB1AEF8" w14:textId="77777777" w:rsidR="008E4DD7" w:rsidRDefault="008E4DD7" w:rsidP="00002A99">
      <w:pPr>
        <w:pStyle w:val="ECHRHeading2"/>
        <w:rPr>
          <w:b w:val="0"/>
          <w:bCs w:val="0"/>
          <w:sz w:val="24"/>
          <w:szCs w:val="24"/>
          <w:u w:val="single"/>
        </w:rPr>
      </w:pPr>
      <w:r>
        <w:rPr>
          <w:b w:val="0"/>
          <w:bCs w:val="0"/>
          <w:i/>
          <w:iCs/>
          <w:sz w:val="24"/>
          <w:szCs w:val="24"/>
          <w:u w:val="single"/>
        </w:rPr>
        <w:lastRenderedPageBreak/>
        <w:t>Streszczenie stanu faktycznego</w:t>
      </w:r>
      <w:r w:rsidRPr="00002A99">
        <w:rPr>
          <w:rStyle w:val="Odwoanieprzypisudolnego"/>
          <w:b w:val="0"/>
          <w:bCs w:val="0"/>
          <w:i/>
          <w:iCs/>
          <w:sz w:val="24"/>
          <w:szCs w:val="24"/>
          <w:u w:val="single"/>
        </w:rPr>
        <w:footnoteReference w:id="2"/>
      </w:r>
      <w:r>
        <w:rPr>
          <w:b w:val="0"/>
          <w:bCs w:val="0"/>
          <w:sz w:val="24"/>
          <w:szCs w:val="24"/>
          <w:u w:val="single"/>
        </w:rPr>
        <w:t>:</w:t>
      </w:r>
    </w:p>
    <w:p w14:paraId="54924219" w14:textId="68D93A3B" w:rsidR="008E4DD7" w:rsidRPr="00002A99" w:rsidRDefault="008E4DD7" w:rsidP="00002A99">
      <w:pPr>
        <w:pStyle w:val="Pa16"/>
        <w:spacing w:after="100"/>
        <w:ind w:firstLine="232"/>
        <w:jc w:val="both"/>
        <w:rPr>
          <w:rFonts w:ascii="Times New Roman" w:hAnsi="Times New Roman" w:cs="Times New Roman"/>
          <w:color w:val="000000"/>
        </w:rPr>
      </w:pPr>
      <w:r>
        <w:rPr>
          <w:rFonts w:ascii="Times New Roman" w:hAnsi="Times New Roman" w:cs="Times New Roman"/>
          <w:color w:val="000000"/>
        </w:rPr>
        <w:t>Pierwsza skarżąca spółka (</w:t>
      </w:r>
      <w:proofErr w:type="spellStart"/>
      <w:r>
        <w:rPr>
          <w:rFonts w:ascii="Times New Roman" w:hAnsi="Times New Roman" w:cs="Times New Roman"/>
          <w:color w:val="000000"/>
        </w:rPr>
        <w:t>Satakunnan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Markkinapörssi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Oy</w:t>
      </w:r>
      <w:proofErr w:type="spellEnd"/>
      <w:r>
        <w:rPr>
          <w:rFonts w:ascii="Times New Roman" w:hAnsi="Times New Roman" w:cs="Times New Roman"/>
          <w:color w:val="000000"/>
        </w:rPr>
        <w:t>) wydała dziennik przedstawiający informacje na temat</w:t>
      </w:r>
      <w:r w:rsidR="00CF15BD">
        <w:rPr>
          <w:rFonts w:ascii="Times New Roman" w:hAnsi="Times New Roman" w:cs="Times New Roman"/>
          <w:color w:val="000000"/>
        </w:rPr>
        <w:t xml:space="preserve"> podlegających opodatkowaniu dochodach</w:t>
      </w:r>
      <w:r>
        <w:rPr>
          <w:rFonts w:ascii="Times New Roman" w:hAnsi="Times New Roman" w:cs="Times New Roman"/>
          <w:color w:val="000000"/>
        </w:rPr>
        <w:t xml:space="preserve"> i majątku podatników fińskich. Informacje te, zgodnie z prawem, były informacją publiczną. Druga skarżąca spółka (</w:t>
      </w:r>
      <w:proofErr w:type="spellStart"/>
      <w:r>
        <w:rPr>
          <w:rFonts w:ascii="Times New Roman" w:hAnsi="Times New Roman" w:cs="Times New Roman"/>
          <w:color w:val="000000"/>
        </w:rPr>
        <w:t>Satamedia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Oy</w:t>
      </w:r>
      <w:proofErr w:type="spellEnd"/>
      <w:r>
        <w:rPr>
          <w:rFonts w:ascii="Times New Roman" w:hAnsi="Times New Roman" w:cs="Times New Roman"/>
          <w:color w:val="000000"/>
        </w:rPr>
        <w:t xml:space="preserve">) oferowała usługę przekazywania </w:t>
      </w:r>
      <w:r w:rsidRPr="00F933C1">
        <w:rPr>
          <w:rFonts w:ascii="Times New Roman" w:hAnsi="Times New Roman" w:cs="Times New Roman"/>
          <w:color w:val="000000"/>
        </w:rPr>
        <w:t>informacji o</w:t>
      </w:r>
      <w:r w:rsidR="00E91B95" w:rsidRPr="00F933C1">
        <w:rPr>
          <w:rFonts w:ascii="Times New Roman" w:hAnsi="Times New Roman" w:cs="Times New Roman"/>
          <w:color w:val="000000"/>
        </w:rPr>
        <w:t> </w:t>
      </w:r>
      <w:r w:rsidRPr="00F933C1">
        <w:rPr>
          <w:rFonts w:ascii="Times New Roman" w:hAnsi="Times New Roman" w:cs="Times New Roman"/>
          <w:color w:val="000000"/>
        </w:rPr>
        <w:t>opodatkowaniu w postaci wiadomości tekstowych (SMS).</w:t>
      </w:r>
      <w:r>
        <w:rPr>
          <w:rFonts w:ascii="Times New Roman" w:hAnsi="Times New Roman" w:cs="Times New Roman"/>
          <w:color w:val="000000"/>
        </w:rPr>
        <w:t xml:space="preserve"> </w:t>
      </w:r>
    </w:p>
    <w:p w14:paraId="09FEA967" w14:textId="21E513F4" w:rsidR="008E4DD7" w:rsidRPr="00002A99" w:rsidRDefault="008E4DD7" w:rsidP="00002A99">
      <w:pPr>
        <w:pStyle w:val="Pa16"/>
        <w:spacing w:after="100"/>
        <w:ind w:firstLine="284"/>
        <w:jc w:val="both"/>
        <w:rPr>
          <w:rFonts w:ascii="Times New Roman" w:hAnsi="Times New Roman" w:cs="Times New Roman"/>
          <w:color w:val="000000"/>
        </w:rPr>
      </w:pPr>
      <w:r>
        <w:rPr>
          <w:rFonts w:ascii="Times New Roman" w:hAnsi="Times New Roman" w:cs="Times New Roman"/>
          <w:color w:val="000000"/>
        </w:rPr>
        <w:t xml:space="preserve">W kwietniu 2003 r. Rzecznik ds. Ochrony Danych wniósł do Rady Ochrony Danych o ograniczenie skarżącym spółkom [możliwości] przetwarzania danych podatkowych w sposób oraz w zakresie, w jakim tego dokonywały w roku 2002 oraz przesyłania takich danych w postaci usługi tekstowej (SMS). Rada Ochrony Danych oddaliła wniosek Rzecznika, uzasadniając </w:t>
      </w:r>
      <w:r w:rsidR="00CF15BD">
        <w:rPr>
          <w:rFonts w:ascii="Times New Roman" w:hAnsi="Times New Roman" w:cs="Times New Roman"/>
          <w:color w:val="000000"/>
        </w:rPr>
        <w:t>to</w:t>
      </w:r>
      <w:r>
        <w:rPr>
          <w:rFonts w:ascii="Times New Roman" w:hAnsi="Times New Roman" w:cs="Times New Roman"/>
          <w:color w:val="000000"/>
        </w:rPr>
        <w:t xml:space="preserve"> tym, iż skarżące spółki angażowały się w działalność dziennikarską, a zatem przysługiwała im </w:t>
      </w:r>
      <w:r w:rsidRPr="009F5365">
        <w:rPr>
          <w:rFonts w:ascii="Times New Roman" w:hAnsi="Times New Roman" w:cs="Times New Roman"/>
          <w:color w:val="000000"/>
        </w:rPr>
        <w:t>derogacja na</w:t>
      </w:r>
      <w:r>
        <w:rPr>
          <w:rFonts w:ascii="Times New Roman" w:hAnsi="Times New Roman" w:cs="Times New Roman"/>
          <w:color w:val="000000"/>
        </w:rPr>
        <w:t xml:space="preserve"> mocy art. 2 ust. 5 </w:t>
      </w:r>
      <w:r w:rsidR="009C4D21">
        <w:rPr>
          <w:rFonts w:ascii="Times New Roman" w:hAnsi="Times New Roman" w:cs="Times New Roman"/>
          <w:color w:val="000000"/>
        </w:rPr>
        <w:t xml:space="preserve">ustawy </w:t>
      </w:r>
      <w:r>
        <w:rPr>
          <w:rFonts w:ascii="Times New Roman" w:hAnsi="Times New Roman" w:cs="Times New Roman"/>
          <w:color w:val="000000"/>
        </w:rPr>
        <w:t>o danych osobowych. Sprawa ta następnie została wniesiona przed Najwyższy Sąd Administracyjny, który w lutym 2007 r. wniósł o wydanie orzeczenia w trybie prejudycjalnym do Trybunału Sprawiedliwości Unii Europejskiej (TSUE) w sprawie interpretacji unijnej dyrektywy o ochronie danych</w:t>
      </w:r>
      <w:r w:rsidR="009F5365">
        <w:rPr>
          <w:rStyle w:val="Odwoanieprzypisudolnego"/>
          <w:rFonts w:ascii="Times New Roman" w:hAnsi="Times New Roman" w:cs="Times New Roman"/>
          <w:color w:val="000000"/>
        </w:rPr>
        <w:footnoteReference w:id="3"/>
      </w:r>
      <w:r>
        <w:rPr>
          <w:rFonts w:ascii="Times New Roman" w:hAnsi="Times New Roman" w:cs="Times New Roman"/>
          <w:color w:val="000000"/>
        </w:rPr>
        <w:t>. W swoim wyroku z dnia 16 grudnia 2008 r. TSUE orzekł, że</w:t>
      </w:r>
      <w:r w:rsidR="00E91B95">
        <w:rPr>
          <w:rFonts w:ascii="Times New Roman" w:hAnsi="Times New Roman" w:cs="Times New Roman"/>
          <w:color w:val="000000"/>
        </w:rPr>
        <w:t> </w:t>
      </w:r>
      <w:r>
        <w:rPr>
          <w:rFonts w:ascii="Times New Roman" w:hAnsi="Times New Roman" w:cs="Times New Roman"/>
          <w:color w:val="000000"/>
        </w:rPr>
        <w:t xml:space="preserve">działania dotyczące danych z dokumentów znajdujących się w domenie publicznej zgodnie z prawem krajowym mogą być </w:t>
      </w:r>
      <w:r w:rsidR="00CF15BD">
        <w:rPr>
          <w:rFonts w:ascii="Times New Roman" w:hAnsi="Times New Roman" w:cs="Times New Roman"/>
          <w:color w:val="000000"/>
        </w:rPr>
        <w:t>zakwalifikowane</w:t>
      </w:r>
      <w:r>
        <w:rPr>
          <w:rFonts w:ascii="Times New Roman" w:hAnsi="Times New Roman" w:cs="Times New Roman"/>
          <w:color w:val="000000"/>
        </w:rPr>
        <w:t xml:space="preserve"> jako „działalność dziennikarska”, jeżeli ich przedmiotem </w:t>
      </w:r>
      <w:r w:rsidR="00CF15BD">
        <w:rPr>
          <w:rFonts w:ascii="Times New Roman" w:hAnsi="Times New Roman" w:cs="Times New Roman"/>
          <w:color w:val="000000"/>
        </w:rPr>
        <w:t>jest</w:t>
      </w:r>
      <w:r>
        <w:rPr>
          <w:rFonts w:ascii="Times New Roman" w:hAnsi="Times New Roman" w:cs="Times New Roman"/>
          <w:color w:val="000000"/>
        </w:rPr>
        <w:t xml:space="preserve"> ujawnienie opinii publicznej informacji, opinii lub idei, niezależnie od medium użytego do</w:t>
      </w:r>
      <w:r w:rsidR="00E91B95">
        <w:rPr>
          <w:rFonts w:ascii="Times New Roman" w:hAnsi="Times New Roman" w:cs="Times New Roman"/>
          <w:color w:val="000000"/>
        </w:rPr>
        <w:t> </w:t>
      </w:r>
      <w:r w:rsidRPr="009F5365">
        <w:rPr>
          <w:rFonts w:ascii="Times New Roman" w:hAnsi="Times New Roman" w:cs="Times New Roman"/>
          <w:color w:val="000000"/>
        </w:rPr>
        <w:t>przesyłu.</w:t>
      </w:r>
      <w:r>
        <w:rPr>
          <w:rFonts w:ascii="Times New Roman" w:hAnsi="Times New Roman" w:cs="Times New Roman"/>
          <w:color w:val="000000"/>
        </w:rPr>
        <w:t xml:space="preserve"> We wrześniu 2009 r. Najwyższy Sąd Administracyjny nakazał Radzie Ochrony Danych</w:t>
      </w:r>
      <w:r w:rsidR="00CF15BD">
        <w:rPr>
          <w:rFonts w:ascii="Times New Roman" w:hAnsi="Times New Roman" w:cs="Times New Roman"/>
          <w:color w:val="000000"/>
        </w:rPr>
        <w:t>,</w:t>
      </w:r>
      <w:r>
        <w:rPr>
          <w:rFonts w:ascii="Times New Roman" w:hAnsi="Times New Roman" w:cs="Times New Roman"/>
          <w:color w:val="000000"/>
        </w:rPr>
        <w:t xml:space="preserve"> by zakazała przetwarzania danych podatkowych w</w:t>
      </w:r>
      <w:r w:rsidR="00E91B95">
        <w:rPr>
          <w:rFonts w:ascii="Times New Roman" w:hAnsi="Times New Roman" w:cs="Times New Roman"/>
          <w:color w:val="000000"/>
        </w:rPr>
        <w:t> </w:t>
      </w:r>
      <w:r>
        <w:rPr>
          <w:rFonts w:ascii="Times New Roman" w:hAnsi="Times New Roman" w:cs="Times New Roman"/>
          <w:color w:val="000000"/>
        </w:rPr>
        <w:t>sposób oraz w zakresie, w jakim realizowały to skarżące spółki w 2002 r. Odnotowując, że TSUE stwierdził, że czynnikiem decydującym było ocenienie, czy publikacja była elementem debaty publicznej lub też czy jej celem było zaspokojenie ciekawości czytelników, Najwyższy Sąd Administracyjny uznał, że publikacja całej bazy danych zebranej na</w:t>
      </w:r>
      <w:r w:rsidR="00E91B95">
        <w:rPr>
          <w:rFonts w:ascii="Times New Roman" w:hAnsi="Times New Roman" w:cs="Times New Roman"/>
          <w:color w:val="000000"/>
        </w:rPr>
        <w:t> </w:t>
      </w:r>
      <w:r>
        <w:rPr>
          <w:rFonts w:ascii="Times New Roman" w:hAnsi="Times New Roman" w:cs="Times New Roman"/>
          <w:color w:val="000000"/>
        </w:rPr>
        <w:t xml:space="preserve">potrzeby dziennikarskie oraz przesyłanie informacji </w:t>
      </w:r>
      <w:r w:rsidR="00CF15BD">
        <w:rPr>
          <w:rFonts w:ascii="Times New Roman" w:hAnsi="Times New Roman" w:cs="Times New Roman"/>
          <w:color w:val="000000"/>
        </w:rPr>
        <w:t xml:space="preserve">w </w:t>
      </w:r>
      <w:r>
        <w:rPr>
          <w:rFonts w:ascii="Times New Roman" w:hAnsi="Times New Roman" w:cs="Times New Roman"/>
          <w:color w:val="000000"/>
        </w:rPr>
        <w:t xml:space="preserve">usłudze tekstowej (SMS) nie mogła być uznana za działalność dziennikarską. </w:t>
      </w:r>
    </w:p>
    <w:p w14:paraId="09B5929D" w14:textId="3A0814FD" w:rsidR="008E4DD7" w:rsidRPr="00002A99" w:rsidRDefault="008E4DD7" w:rsidP="00002A99">
      <w:pPr>
        <w:pStyle w:val="ECHRPara"/>
      </w:pPr>
      <w:r>
        <w:rPr>
          <w:color w:val="000000"/>
        </w:rPr>
        <w:t xml:space="preserve">W postępowaniu na podstawie Konwencji </w:t>
      </w:r>
      <w:r w:rsidR="009C4D21">
        <w:rPr>
          <w:color w:val="000000"/>
        </w:rPr>
        <w:t>[o ochronie praw człowieka i</w:t>
      </w:r>
      <w:r w:rsidR="00E91B95">
        <w:rPr>
          <w:color w:val="000000"/>
        </w:rPr>
        <w:t> </w:t>
      </w:r>
      <w:r w:rsidR="009C4D21">
        <w:rPr>
          <w:color w:val="000000"/>
        </w:rPr>
        <w:t xml:space="preserve">podstawowych wolności] </w:t>
      </w:r>
      <w:r>
        <w:rPr>
          <w:color w:val="000000"/>
        </w:rPr>
        <w:t xml:space="preserve">skarżące spółki zarzucały, między innymi, naruszenie </w:t>
      </w:r>
      <w:r w:rsidR="00F6710B">
        <w:rPr>
          <w:color w:val="000000"/>
        </w:rPr>
        <w:t>art.</w:t>
      </w:r>
      <w:r>
        <w:rPr>
          <w:color w:val="000000"/>
        </w:rPr>
        <w:t xml:space="preserve"> 10 Konwencji. W wyroku z dnia 21 lipca 2015 r. Izby Trybunał uznał, liczbą głosów sześciu do jednego, że nie miało miejsca </w:t>
      </w:r>
      <w:r>
        <w:rPr>
          <w:color w:val="000000"/>
        </w:rPr>
        <w:lastRenderedPageBreak/>
        <w:t xml:space="preserve">naruszenie wspomnianego postanowienia. W dniu 14 grudnia 2015 r. sprawę </w:t>
      </w:r>
      <w:r w:rsidR="00CF15BD">
        <w:rPr>
          <w:color w:val="000000"/>
        </w:rPr>
        <w:t>przekazan</w:t>
      </w:r>
      <w:r>
        <w:rPr>
          <w:color w:val="000000"/>
        </w:rPr>
        <w:t>o do Wielkiej Izby na wniosek skarżących.]</w:t>
      </w:r>
    </w:p>
    <w:p w14:paraId="15C63B5F" w14:textId="77777777" w:rsidR="008E4DD7" w:rsidRPr="00841658" w:rsidRDefault="008E4DD7" w:rsidP="00C95348">
      <w:pPr>
        <w:pStyle w:val="ECHRTitle1"/>
      </w:pPr>
      <w:r w:rsidRPr="00463E62">
        <w:t>PRAWO</w:t>
      </w:r>
    </w:p>
    <w:p w14:paraId="70E07709" w14:textId="6319EDF9" w:rsidR="008E4DD7" w:rsidRPr="00841658" w:rsidRDefault="008E4DD7" w:rsidP="00C95348">
      <w:pPr>
        <w:pStyle w:val="ECHRHeading1"/>
      </w:pPr>
      <w:r>
        <w:t xml:space="preserve">I. </w:t>
      </w:r>
      <w:r w:rsidR="009C4D21">
        <w:t xml:space="preserve">ZASTRZEŻENIA </w:t>
      </w:r>
      <w:r>
        <w:t>WSTĘPNE RZĄDU</w:t>
      </w:r>
    </w:p>
    <w:p w14:paraId="6E439811" w14:textId="6382A3D4" w:rsidR="008E4DD7" w:rsidRPr="00841658" w:rsidRDefault="005A22F3" w:rsidP="008C4721">
      <w:pPr>
        <w:pStyle w:val="ECHRPara"/>
      </w:pPr>
      <w:r>
        <w:t>83</w:t>
      </w:r>
      <w:r w:rsidR="008E4DD7">
        <w:t>.</w:t>
      </w:r>
      <w:r>
        <w:t xml:space="preserve"> </w:t>
      </w:r>
      <w:r w:rsidR="008E4DD7">
        <w:t xml:space="preserve">Rząd podniósł dwa </w:t>
      </w:r>
      <w:r w:rsidR="009C4D21">
        <w:t xml:space="preserve">zastrzeżenia </w:t>
      </w:r>
      <w:r w:rsidR="008E4DD7">
        <w:t xml:space="preserve">wstępne dotyczące rzekomego przekroczenia przez skarżące spółki </w:t>
      </w:r>
      <w:r w:rsidR="00A020C4">
        <w:t xml:space="preserve">sześciomiesięcznego </w:t>
      </w:r>
      <w:r w:rsidR="008E4DD7">
        <w:t>terminu na</w:t>
      </w:r>
      <w:r w:rsidR="00E91B95">
        <w:t> </w:t>
      </w:r>
      <w:r w:rsidR="008E4DD7">
        <w:t>złożenie skargi oraz braku ich statusu ofiary.</w:t>
      </w:r>
    </w:p>
    <w:p w14:paraId="322DB17F" w14:textId="77777777" w:rsidR="008E4DD7" w:rsidRPr="009C4D21" w:rsidRDefault="008E4DD7" w:rsidP="009C4D21">
      <w:pPr>
        <w:pStyle w:val="ECHRHeading2"/>
        <w:tabs>
          <w:tab w:val="left" w:pos="3912"/>
        </w:tabs>
        <w:rPr>
          <w:sz w:val="24"/>
        </w:rPr>
      </w:pPr>
      <w:r w:rsidRPr="009C4D21">
        <w:rPr>
          <w:sz w:val="24"/>
        </w:rPr>
        <w:t>A. Termin sześciomiesięczny</w:t>
      </w:r>
      <w:r w:rsidR="009C4D21" w:rsidRPr="009C4D21">
        <w:rPr>
          <w:sz w:val="24"/>
        </w:rPr>
        <w:tab/>
      </w:r>
    </w:p>
    <w:p w14:paraId="1DFF2F94" w14:textId="66CEBA67" w:rsidR="008E4DD7" w:rsidRPr="00841658" w:rsidRDefault="005A22F3" w:rsidP="008C4721">
      <w:pPr>
        <w:pStyle w:val="ECHRPara"/>
      </w:pPr>
      <w:r>
        <w:t>84</w:t>
      </w:r>
      <w:r w:rsidR="008E4DD7">
        <w:t>.</w:t>
      </w:r>
      <w:r>
        <w:t xml:space="preserve"> </w:t>
      </w:r>
      <w:r w:rsidR="008E4DD7">
        <w:t>Przed Wielką Izbą Rząd powtórzył</w:t>
      </w:r>
      <w:r w:rsidR="00A020C4">
        <w:t xml:space="preserve"> zastrzeżenie wstępne</w:t>
      </w:r>
      <w:r w:rsidR="008E4DD7">
        <w:t xml:space="preserve"> </w:t>
      </w:r>
      <w:r w:rsidR="00A020C4">
        <w:t>podniesione przed Izbą, a mianowicie</w:t>
      </w:r>
      <w:r w:rsidR="008E4DD7">
        <w:t xml:space="preserve">, że skargi z </w:t>
      </w:r>
      <w:r w:rsidR="00F6710B">
        <w:t>art.</w:t>
      </w:r>
      <w:r w:rsidR="008E4DD7">
        <w:t xml:space="preserve"> 6 ust. 1 i </w:t>
      </w:r>
      <w:r w:rsidR="00F6710B">
        <w:t>art.</w:t>
      </w:r>
      <w:r w:rsidR="008E4DD7">
        <w:t xml:space="preserve"> 10 Konwencji nie</w:t>
      </w:r>
      <w:r w:rsidR="00E91B95">
        <w:t> </w:t>
      </w:r>
      <w:r w:rsidR="008E4DD7">
        <w:t>zostały złożone w terminie sześciu miesięcy w odniesieniu do</w:t>
      </w:r>
      <w:r w:rsidR="00E91B95">
        <w:t> </w:t>
      </w:r>
      <w:r w:rsidR="008E4DD7">
        <w:t xml:space="preserve">pierwszego </w:t>
      </w:r>
      <w:r w:rsidR="00A020C4">
        <w:t>postępowania</w:t>
      </w:r>
      <w:r w:rsidR="008E4DD7">
        <w:t xml:space="preserve">, zgodnie z wymogiem </w:t>
      </w:r>
      <w:r w:rsidR="00F6710B">
        <w:t>art.</w:t>
      </w:r>
      <w:r w:rsidR="008E4DD7">
        <w:t xml:space="preserve"> 35 ust. 1 Konwencji (zob. paragrafy 13-22 powyżej). Ponieważ przedmiot dwóch postępowań nie był taki sam, niniejsza sprawa w konsekwencji obejmowała </w:t>
      </w:r>
      <w:r w:rsidR="00007C9B" w:rsidRPr="00007C9B">
        <w:t>dw</w:t>
      </w:r>
      <w:r w:rsidR="00A020C4">
        <w:t>a</w:t>
      </w:r>
      <w:r w:rsidR="008E4DD7" w:rsidRPr="00007C9B">
        <w:t xml:space="preserve"> odrębne</w:t>
      </w:r>
      <w:r w:rsidR="00A020C4">
        <w:t xml:space="preserve"> postępowania</w:t>
      </w:r>
      <w:r w:rsidR="008E4DD7" w:rsidRPr="00007C9B">
        <w:t>:</w:t>
      </w:r>
      <w:r w:rsidR="00A020C4">
        <w:t xml:space="preserve"> pierwsze postępowanie dotyczące kwestii,</w:t>
      </w:r>
      <w:r w:rsidR="008E4DD7">
        <w:t xml:space="preserve"> czy</w:t>
      </w:r>
      <w:r w:rsidR="00E91B95">
        <w:t> </w:t>
      </w:r>
      <w:r w:rsidR="008E4DD7">
        <w:t>skarżące spółki przetwarzały dane osobowe dotyczące opodatkowania niezgodnie z prawem</w:t>
      </w:r>
      <w:r w:rsidR="00A020C4">
        <w:t>,</w:t>
      </w:r>
      <w:r w:rsidR="008E4DD7">
        <w:t xml:space="preserve"> i dr</w:t>
      </w:r>
      <w:r w:rsidR="00A020C4">
        <w:t>ugie postępowanie</w:t>
      </w:r>
      <w:r w:rsidR="008E4DD7">
        <w:t xml:space="preserve"> </w:t>
      </w:r>
      <w:r w:rsidR="00A020C4">
        <w:t>dotyczące</w:t>
      </w:r>
      <w:r w:rsidR="008E4DD7">
        <w:t xml:space="preserve"> wydania nakazów </w:t>
      </w:r>
      <w:r w:rsidR="00E37321">
        <w:t>w sprawie</w:t>
      </w:r>
      <w:r w:rsidR="008E4DD7">
        <w:t xml:space="preserve"> przetwarzania danych osobowych. W rezultacie, w opinii R</w:t>
      </w:r>
      <w:r w:rsidR="00A020C4">
        <w:t>ządu, w odniesieniu do pierwszego postępowania</w:t>
      </w:r>
      <w:r w:rsidR="008E4DD7">
        <w:t xml:space="preserve"> skarga powinna być uznana za</w:t>
      </w:r>
      <w:r w:rsidR="006346F5">
        <w:t> </w:t>
      </w:r>
      <w:r w:rsidR="008E4DD7">
        <w:t xml:space="preserve">niedopuszczalną na podstawie </w:t>
      </w:r>
      <w:r w:rsidR="00F6710B">
        <w:t>art.</w:t>
      </w:r>
      <w:r w:rsidR="008E4DD7">
        <w:t xml:space="preserve"> 35 </w:t>
      </w:r>
      <w:r w:rsidR="00F6710B">
        <w:t>ust.</w:t>
      </w:r>
      <w:r w:rsidR="008E4DD7">
        <w:t xml:space="preserve"> 1 i 4 Konwencji.</w:t>
      </w:r>
    </w:p>
    <w:p w14:paraId="61D0FD75" w14:textId="79C94D1C" w:rsidR="008E4DD7" w:rsidRPr="00841658" w:rsidRDefault="005A22F3" w:rsidP="008C4721">
      <w:pPr>
        <w:pStyle w:val="ECHRPara"/>
      </w:pPr>
      <w:r>
        <w:t>85</w:t>
      </w:r>
      <w:r w:rsidR="008E4DD7">
        <w:t>.</w:t>
      </w:r>
      <w:r>
        <w:t xml:space="preserve"> </w:t>
      </w:r>
      <w:r w:rsidR="008E4DD7">
        <w:t>Skarżące spółki argumentowały, że pierwotnym celem Rzecznika ds.</w:t>
      </w:r>
      <w:r w:rsidR="00E91B95">
        <w:t> </w:t>
      </w:r>
      <w:r w:rsidR="008E4DD7">
        <w:t xml:space="preserve">Ochrony Danych było uzyskanie nakazu uniemożliwiającego skarżącym spółkom publikowanie </w:t>
      </w:r>
      <w:r w:rsidR="008E4DD7">
        <w:rPr>
          <w:i/>
          <w:iCs/>
        </w:rPr>
        <w:t>Veropörssi</w:t>
      </w:r>
      <w:r w:rsidR="008E4DD7">
        <w:t xml:space="preserve">. </w:t>
      </w:r>
      <w:r w:rsidR="00D9277A">
        <w:t xml:space="preserve">Jako że nie </w:t>
      </w:r>
      <w:r w:rsidR="002300F8">
        <w:t>zostało to osiągnięte do</w:t>
      </w:r>
      <w:r w:rsidR="00E91B95">
        <w:t> </w:t>
      </w:r>
      <w:r w:rsidR="002300F8">
        <w:t>drugiego etapu</w:t>
      </w:r>
      <w:r w:rsidR="00D9277A">
        <w:t xml:space="preserve">, postępowań nie można rozdzielić na dwa oddzielne, każde z odrębnymi i niezależnymi środkami krajowymi. </w:t>
      </w:r>
      <w:r w:rsidR="00F33C79">
        <w:t>Podczas gdy</w:t>
      </w:r>
      <w:r w:rsidR="003D33F8">
        <w:t xml:space="preserve"> </w:t>
      </w:r>
      <w:r w:rsidR="008E4DD7">
        <w:t xml:space="preserve">Najwyższy Sąd Administracyjny skierował sprawę z powrotem do Rady Ochrony Danych we wrześniu 2009 r., mógł zamiast tego wydać nakaz bezpośrednio, bez takiego skierowania sprawy. Skarżące spółki argumentowały zatem, że ich skargi z </w:t>
      </w:r>
      <w:r w:rsidR="00F6710B">
        <w:t>art.</w:t>
      </w:r>
      <w:r w:rsidR="008E4DD7">
        <w:t xml:space="preserve"> 6 </w:t>
      </w:r>
      <w:r w:rsidR="00F6710B">
        <w:t>ust.</w:t>
      </w:r>
      <w:r w:rsidR="008E4DD7">
        <w:t xml:space="preserve"> 1 i </w:t>
      </w:r>
      <w:r w:rsidR="00F6710B">
        <w:t>art.</w:t>
      </w:r>
      <w:r w:rsidR="008E4DD7">
        <w:t xml:space="preserve"> 10 Konwencji zostały wniesione w przepisanym terminie sześciu miesięcy.</w:t>
      </w:r>
    </w:p>
    <w:p w14:paraId="2998504A" w14:textId="37171A75" w:rsidR="008E4DD7" w:rsidRPr="00841658" w:rsidRDefault="005A22F3" w:rsidP="008C4721">
      <w:pPr>
        <w:pStyle w:val="ECHRPara"/>
      </w:pPr>
      <w:r>
        <w:t>86</w:t>
      </w:r>
      <w:r w:rsidR="008E4DD7">
        <w:t>.</w:t>
      </w:r>
      <w:r>
        <w:t xml:space="preserve"> </w:t>
      </w:r>
      <w:r w:rsidR="002300F8">
        <w:t>J</w:t>
      </w:r>
      <w:r w:rsidR="008E4DD7">
        <w:t>ak odnotowała Izba, pierwszy etap postępowania zakończył się 23</w:t>
      </w:r>
      <w:r w:rsidR="00E91B95">
        <w:t> </w:t>
      </w:r>
      <w:r w:rsidR="008E4DD7">
        <w:t xml:space="preserve">września 2009 r., kiedy to Najwyższy Sąd Administracyjny uchylił </w:t>
      </w:r>
      <w:r w:rsidR="002300F8">
        <w:t xml:space="preserve">orzeczenia </w:t>
      </w:r>
      <w:r w:rsidR="008E4DD7">
        <w:t xml:space="preserve">sądów niższej instancji i skierował sprawę z powrotem do Rady Ochrony Danych. Jako że sprawa została z powrotem skierowana do Rady Ochrony Danych, nie wydano prawomocnego orzeczenia, </w:t>
      </w:r>
      <w:r w:rsidR="002300F8">
        <w:t xml:space="preserve">ale </w:t>
      </w:r>
      <w:r w:rsidR="008E4DD7">
        <w:t xml:space="preserve">trwała druga tura postępowania. Postępowanie krajowe zakończyło się </w:t>
      </w:r>
      <w:r w:rsidR="002300F8">
        <w:t>prawomocnie</w:t>
      </w:r>
      <w:r w:rsidR="008E4DD7">
        <w:t xml:space="preserve"> </w:t>
      </w:r>
      <w:r w:rsidR="008E4DD7">
        <w:lastRenderedPageBreak/>
        <w:t>w</w:t>
      </w:r>
      <w:r w:rsidR="00E91B95">
        <w:t> </w:t>
      </w:r>
      <w:r w:rsidR="008E4DD7">
        <w:t>dniu 18 czerwca 2012 r., kiedy to Najwyższy Sąd Administracyjny wydał drugie i ostateczne orzeczenie w sprawie (zob. paragraf 28 powyżej).</w:t>
      </w:r>
    </w:p>
    <w:p w14:paraId="534CF81B" w14:textId="09640993" w:rsidR="008E4DD7" w:rsidRPr="00841658" w:rsidRDefault="005A22F3" w:rsidP="008C4721">
      <w:pPr>
        <w:pStyle w:val="ECHRPara"/>
      </w:pPr>
      <w:r>
        <w:t>87</w:t>
      </w:r>
      <w:r w:rsidR="008E4DD7">
        <w:t>.</w:t>
      </w:r>
      <w:r>
        <w:t xml:space="preserve"> </w:t>
      </w:r>
      <w:r w:rsidR="008E4DD7">
        <w:t xml:space="preserve">Podobnie jak Izba, Wielka Izba uważa, że </w:t>
      </w:r>
      <w:r w:rsidR="002300F8">
        <w:t xml:space="preserve">ponieważ </w:t>
      </w:r>
      <w:r w:rsidR="008E4DD7">
        <w:t>w sprawie wydano tylko jedno prawomocne orzecz</w:t>
      </w:r>
      <w:r w:rsidR="002300F8">
        <w:t>enie, przeprowadzono tylko jedno postępowanie</w:t>
      </w:r>
      <w:r w:rsidR="008E4DD7">
        <w:t xml:space="preserve"> na potrzeby określ</w:t>
      </w:r>
      <w:r w:rsidR="002300F8">
        <w:t>e</w:t>
      </w:r>
      <w:r w:rsidR="008E4DD7">
        <w:t xml:space="preserve">nia sześciomiesięcznego </w:t>
      </w:r>
      <w:r w:rsidR="002300F8">
        <w:t xml:space="preserve">terminu </w:t>
      </w:r>
      <w:r w:rsidR="008E4DD7">
        <w:t xml:space="preserve">składania skarg z </w:t>
      </w:r>
      <w:r w:rsidR="00F6710B">
        <w:t>art.</w:t>
      </w:r>
      <w:r w:rsidR="008E4DD7">
        <w:t xml:space="preserve"> 35 </w:t>
      </w:r>
      <w:r w:rsidR="00F6710B">
        <w:t>ust.</w:t>
      </w:r>
      <w:r w:rsidR="008E4DD7">
        <w:t xml:space="preserve"> 1, mimo że sprawę rozpatrywano dwa razy na</w:t>
      </w:r>
      <w:r w:rsidR="00E91B95">
        <w:t> </w:t>
      </w:r>
      <w:r w:rsidR="008E4DD7">
        <w:t>różnych poziomach wymiaru sprawiedliwości.</w:t>
      </w:r>
    </w:p>
    <w:p w14:paraId="4AD6F9C0" w14:textId="5A9C0EE2" w:rsidR="008E4DD7" w:rsidRPr="00841658" w:rsidRDefault="005A22F3" w:rsidP="008C4721">
      <w:pPr>
        <w:pStyle w:val="ECHRPara"/>
      </w:pPr>
      <w:r>
        <w:t>88</w:t>
      </w:r>
      <w:r w:rsidR="008E4DD7">
        <w:t>.</w:t>
      </w:r>
      <w:r>
        <w:t xml:space="preserve"> </w:t>
      </w:r>
      <w:r w:rsidR="008E4DD7">
        <w:t>W tych okolicznościach</w:t>
      </w:r>
      <w:r w:rsidR="002300F8">
        <w:t xml:space="preserve"> pierwsze zastrzeżenie wstępne</w:t>
      </w:r>
      <w:r w:rsidR="008E4DD7">
        <w:t xml:space="preserve"> </w:t>
      </w:r>
      <w:r w:rsidR="002300F8">
        <w:t>Rządu musi zostać oddalone</w:t>
      </w:r>
      <w:r w:rsidR="008E4DD7">
        <w:t xml:space="preserve">, a skargi z </w:t>
      </w:r>
      <w:r w:rsidR="00F6710B">
        <w:t>art.</w:t>
      </w:r>
      <w:r w:rsidR="008E4DD7">
        <w:t xml:space="preserve"> 6 </w:t>
      </w:r>
      <w:r w:rsidR="00F6710B">
        <w:t>ust.</w:t>
      </w:r>
      <w:r w:rsidR="008E4DD7">
        <w:t xml:space="preserve"> 1 i </w:t>
      </w:r>
      <w:r w:rsidR="00F6710B">
        <w:t>art.</w:t>
      </w:r>
      <w:r w:rsidR="008E4DD7">
        <w:t xml:space="preserve"> 10 Konwencji muszą być uznane za złożone w terminie.</w:t>
      </w:r>
    </w:p>
    <w:p w14:paraId="343821B4" w14:textId="77777777" w:rsidR="008E4DD7" w:rsidRPr="009C4D21" w:rsidRDefault="008E4DD7" w:rsidP="00F4061E">
      <w:pPr>
        <w:pStyle w:val="ECHRHeading2"/>
        <w:rPr>
          <w:sz w:val="24"/>
        </w:rPr>
      </w:pPr>
      <w:r w:rsidRPr="009C4D21">
        <w:rPr>
          <w:sz w:val="24"/>
        </w:rPr>
        <w:t>B. Brak statusu ofiary</w:t>
      </w:r>
    </w:p>
    <w:p w14:paraId="6871BFE5" w14:textId="1055F0CC" w:rsidR="008E4DD7" w:rsidRPr="00841658" w:rsidRDefault="005A22F3" w:rsidP="008C4721">
      <w:pPr>
        <w:pStyle w:val="ECHRPara"/>
      </w:pPr>
      <w:r>
        <w:t>89</w:t>
      </w:r>
      <w:r w:rsidR="008E4DD7">
        <w:t>.</w:t>
      </w:r>
      <w:r>
        <w:t xml:space="preserve"> </w:t>
      </w:r>
      <w:r w:rsidR="008E4DD7">
        <w:t xml:space="preserve">W trakcie </w:t>
      </w:r>
      <w:r w:rsidR="002300F8">
        <w:t xml:space="preserve">rozprawy </w:t>
      </w:r>
      <w:r w:rsidR="008E4DD7">
        <w:t>przed Wielką Izbą Rząd podniósł,</w:t>
      </w:r>
      <w:r w:rsidR="002300F8">
        <w:t xml:space="preserve"> po raz pierwszy, dodatkowe zastrzeżenie wstępne</w:t>
      </w:r>
      <w:r w:rsidR="008E4DD7">
        <w:t xml:space="preserve"> </w:t>
      </w:r>
      <w:r w:rsidR="002300F8">
        <w:t xml:space="preserve">oparte </w:t>
      </w:r>
      <w:r w:rsidR="008E4DD7">
        <w:t xml:space="preserve">na fakcie, że </w:t>
      </w:r>
      <w:r w:rsidR="002300F8">
        <w:t>w dniu 15</w:t>
      </w:r>
      <w:r w:rsidR="00E91B95">
        <w:t> </w:t>
      </w:r>
      <w:r w:rsidR="002300F8">
        <w:t xml:space="preserve">marca 2016 r., po tym jak sprawę przekazano do Wielkiej Izby, </w:t>
      </w:r>
      <w:r w:rsidR="008E4DD7">
        <w:t xml:space="preserve">ogłoszono upadłość pierwszej skarżącej spółki ze skutkiem takim, iż nie ma ona statusu ofiary na potrzeby </w:t>
      </w:r>
      <w:r w:rsidR="00F6710B">
        <w:t>art.</w:t>
      </w:r>
      <w:r w:rsidR="008E4DD7">
        <w:t xml:space="preserve"> 34 Konwencji.</w:t>
      </w:r>
    </w:p>
    <w:p w14:paraId="6EDB954C" w14:textId="04C3A12D" w:rsidR="008E4DD7" w:rsidRPr="00841658" w:rsidRDefault="005A22F3" w:rsidP="008C4721">
      <w:pPr>
        <w:pStyle w:val="ECHRPara"/>
      </w:pPr>
      <w:r>
        <w:t>90</w:t>
      </w:r>
      <w:r w:rsidR="008E4DD7">
        <w:t>.</w:t>
      </w:r>
      <w:r>
        <w:t xml:space="preserve"> </w:t>
      </w:r>
      <w:r w:rsidR="008E4DD7">
        <w:t xml:space="preserve">Trybunał zauważa, że </w:t>
      </w:r>
      <w:r w:rsidR="002300F8">
        <w:t xml:space="preserve">zastrzeżenie </w:t>
      </w:r>
      <w:r w:rsidR="008E4DD7">
        <w:t>Rządu opiera się na założeniu, że</w:t>
      </w:r>
      <w:r w:rsidR="00E91B95">
        <w:t> </w:t>
      </w:r>
      <w:r w:rsidR="008E4DD7">
        <w:t>pierwsza s</w:t>
      </w:r>
      <w:r w:rsidR="002300F8">
        <w:t>karżąca spółka oraz jej majątek</w:t>
      </w:r>
      <w:r w:rsidR="008E4DD7">
        <w:t xml:space="preserve"> były </w:t>
      </w:r>
      <w:r w:rsidR="002300F8">
        <w:t xml:space="preserve">od tej daty </w:t>
      </w:r>
      <w:r w:rsidR="008E4DD7">
        <w:t>zarządzane przez syndyka oraz że ta zmiana statusu prawnego pozbawiła spółkę statusu ofiary.</w:t>
      </w:r>
    </w:p>
    <w:p w14:paraId="78FB6E08" w14:textId="2AB96E96" w:rsidR="008E4DD7" w:rsidRPr="00841658" w:rsidRDefault="005A22F3" w:rsidP="008C4721">
      <w:pPr>
        <w:pStyle w:val="ECHRPara"/>
      </w:pPr>
      <w:r>
        <w:t>91</w:t>
      </w:r>
      <w:r w:rsidR="008E4DD7">
        <w:t>.</w:t>
      </w:r>
      <w:r>
        <w:t xml:space="preserve"> </w:t>
      </w:r>
      <w:r w:rsidR="008E4DD7">
        <w:t>Należy zauważyć, że dopiero we wrześniu 2016 r</w:t>
      </w:r>
      <w:r w:rsidR="00F6710B">
        <w:t>.</w:t>
      </w:r>
      <w:r w:rsidR="008E4DD7">
        <w:t xml:space="preserve"> Rząd poinformował Trybunał o tej kwestii. Skarżące spółki, ze swojej strony, poinformowały Trybunał dopiero na dzień przed rozprawą </w:t>
      </w:r>
      <w:r w:rsidR="002300F8">
        <w:t>o</w:t>
      </w:r>
      <w:r w:rsidR="008E4DD7">
        <w:t xml:space="preserve"> postępowaniu upadłościowym</w:t>
      </w:r>
      <w:r w:rsidR="002300F8">
        <w:t xml:space="preserve"> i o zdolności ich pełnomocnika</w:t>
      </w:r>
      <w:r w:rsidR="008E4DD7">
        <w:t xml:space="preserve"> do reprezentowania ich na</w:t>
      </w:r>
      <w:r w:rsidR="00E91B95">
        <w:t> </w:t>
      </w:r>
      <w:r w:rsidR="008E4DD7">
        <w:t>rozprawie, która odbyła się 14 września 2016 r.</w:t>
      </w:r>
    </w:p>
    <w:p w14:paraId="60B9189F" w14:textId="174A9AE5" w:rsidR="008E4DD7" w:rsidRPr="00841658" w:rsidRDefault="005A22F3" w:rsidP="008C4721">
      <w:pPr>
        <w:pStyle w:val="ECHRPara"/>
      </w:pPr>
      <w:r>
        <w:t>92</w:t>
      </w:r>
      <w:r w:rsidR="008E4DD7">
        <w:t>.</w:t>
      </w:r>
      <w:r>
        <w:t xml:space="preserve"> </w:t>
      </w:r>
      <w:r w:rsidR="002300F8">
        <w:t>Trybunał wskazuje</w:t>
      </w:r>
      <w:r w:rsidR="008E4DD7">
        <w:t xml:space="preserve">, zgodnie z </w:t>
      </w:r>
      <w:r w:rsidR="002300F8">
        <w:t xml:space="preserve">Regułą </w:t>
      </w:r>
      <w:r w:rsidR="008E4DD7">
        <w:t>55 Regulaminu Trybunału, że</w:t>
      </w:r>
      <w:r w:rsidR="00E91B95">
        <w:t> </w:t>
      </w:r>
      <w:r w:rsidR="008E4DD7">
        <w:t>„wszelkie zarzuty niedopuszczalności muszą, w zakresie, w jakim pozwala na to ich charakter i okoliczności, być podniesione przez pozwaną U</w:t>
      </w:r>
      <w:r w:rsidR="002300F8">
        <w:t>kładającą</w:t>
      </w:r>
      <w:r w:rsidR="008E4DD7">
        <w:t xml:space="preserve"> się Stronę w uwagach wniesionych na piśmie lub ustnie na</w:t>
      </w:r>
      <w:r w:rsidR="00E91B95">
        <w:t> </w:t>
      </w:r>
      <w:r w:rsidR="008E4DD7">
        <w:t>temat dopus</w:t>
      </w:r>
      <w:r w:rsidR="00842037">
        <w:t>zczalności skargi...”. Jednakże</w:t>
      </w:r>
      <w:r w:rsidR="008E4DD7">
        <w:t xml:space="preserve"> decyzję o dopuszczalności skargi przyjęto w dniu 21 lipca 2015 r., kiedy to fakt, na którym opiera się </w:t>
      </w:r>
      <w:r w:rsidR="00842037">
        <w:t>zastrzeżenie</w:t>
      </w:r>
      <w:r w:rsidR="008E4DD7">
        <w:t xml:space="preserve"> Rządu, nie miał jeszcze miej</w:t>
      </w:r>
      <w:r w:rsidR="00842037">
        <w:t>sca. A zatem</w:t>
      </w:r>
      <w:r w:rsidR="008E4DD7">
        <w:t xml:space="preserve"> Rząd nie miał możliwości przestrzegać terminu określonego w </w:t>
      </w:r>
      <w:r w:rsidR="00503FBB">
        <w:t xml:space="preserve">Regule </w:t>
      </w:r>
      <w:r w:rsidR="008E4DD7">
        <w:t>55.</w:t>
      </w:r>
    </w:p>
    <w:p w14:paraId="37F2855F" w14:textId="56BA2DEA" w:rsidR="008E4DD7" w:rsidRPr="00C025DA" w:rsidRDefault="005A22F3" w:rsidP="008C4721">
      <w:pPr>
        <w:pStyle w:val="ECHRPara"/>
        <w:rPr>
          <w:snapToGrid w:val="0"/>
        </w:rPr>
      </w:pPr>
      <w:r>
        <w:t>93</w:t>
      </w:r>
      <w:r w:rsidR="008E4DD7">
        <w:t>.</w:t>
      </w:r>
      <w:r>
        <w:t xml:space="preserve"> </w:t>
      </w:r>
      <w:r w:rsidR="00D9277A">
        <w:t xml:space="preserve">Trybunał nie widzi potrzeby ustalania, czy Rząd został pozbawiony możliwości </w:t>
      </w:r>
      <w:r w:rsidR="00503FBB">
        <w:t>(</w:t>
      </w:r>
      <w:r w:rsidR="00503FBB">
        <w:rPr>
          <w:i/>
        </w:rPr>
        <w:t xml:space="preserve">estoppel) </w:t>
      </w:r>
      <w:r w:rsidR="00D9277A">
        <w:t xml:space="preserve">wniesienia tego </w:t>
      </w:r>
      <w:r w:rsidR="00503FBB">
        <w:t xml:space="preserve">zastrzeżenia </w:t>
      </w:r>
      <w:r w:rsidR="00D9277A">
        <w:t>teraz wskutek opóźnienia we</w:t>
      </w:r>
      <w:r w:rsidR="00E91B95">
        <w:t> </w:t>
      </w:r>
      <w:r w:rsidR="00D9277A">
        <w:t>wniesieniu go (zob. paragrafy 89-91 powyżej), jako że w</w:t>
      </w:r>
      <w:r w:rsidR="00E91B95">
        <w:t> </w:t>
      </w:r>
      <w:r w:rsidR="00D9277A">
        <w:t>każdym</w:t>
      </w:r>
      <w:r w:rsidR="00842037">
        <w:t xml:space="preserve"> razie</w:t>
      </w:r>
      <w:r w:rsidR="00A1737A" w:rsidRPr="00A1737A">
        <w:t xml:space="preserve"> </w:t>
      </w:r>
      <w:r w:rsidR="00A1737A">
        <w:t>stwierdza</w:t>
      </w:r>
      <w:r w:rsidR="00D9277A">
        <w:t xml:space="preserve">, że dotyczy to </w:t>
      </w:r>
      <w:r w:rsidR="00A1737A">
        <w:t>kwestii</w:t>
      </w:r>
      <w:r w:rsidR="00D9277A">
        <w:t>, która mieści się</w:t>
      </w:r>
      <w:r w:rsidR="00842037">
        <w:t xml:space="preserve"> w</w:t>
      </w:r>
      <w:r w:rsidR="00F933C1">
        <w:t> </w:t>
      </w:r>
      <w:r w:rsidR="00842037">
        <w:t>kompetencji Trybunału i nic nie stoi na przeszkodzie, by zbadał</w:t>
      </w:r>
      <w:r w:rsidR="00E37321" w:rsidRPr="00E37321">
        <w:t xml:space="preserve"> </w:t>
      </w:r>
      <w:r w:rsidR="00E37321">
        <w:t>on</w:t>
      </w:r>
      <w:r w:rsidR="00842037">
        <w:t xml:space="preserve"> ją z</w:t>
      </w:r>
      <w:r w:rsidR="00F933C1">
        <w:t> </w:t>
      </w:r>
      <w:r w:rsidR="00842037">
        <w:t>urzędu</w:t>
      </w:r>
      <w:r w:rsidR="00D9277A">
        <w:t xml:space="preserve"> (zob. n</w:t>
      </w:r>
      <w:r w:rsidR="00E91B95">
        <w:t>p</w:t>
      </w:r>
      <w:r w:rsidR="00D9277A">
        <w:t xml:space="preserve">. </w:t>
      </w:r>
      <w:r w:rsidR="008E4DD7">
        <w:rPr>
          <w:i/>
          <w:iCs/>
        </w:rPr>
        <w:t xml:space="preserve">R.P. </w:t>
      </w:r>
      <w:r>
        <w:rPr>
          <w:i/>
          <w:iCs/>
        </w:rPr>
        <w:t xml:space="preserve">i Inni </w:t>
      </w:r>
      <w:r w:rsidR="008E4DD7">
        <w:rPr>
          <w:i/>
          <w:iCs/>
        </w:rPr>
        <w:t>przeciwko Wielkiej Brytanii</w:t>
      </w:r>
      <w:r w:rsidR="008E4DD7">
        <w:t>, nr 38245/08</w:t>
      </w:r>
      <w:r w:rsidR="008E4DD7">
        <w:rPr>
          <w:snapToGrid w:val="0"/>
        </w:rPr>
        <w:t>, §</w:t>
      </w:r>
      <w:r w:rsidR="00F933C1">
        <w:rPr>
          <w:snapToGrid w:val="0"/>
        </w:rPr>
        <w:t> </w:t>
      </w:r>
      <w:r w:rsidR="008E4DD7">
        <w:rPr>
          <w:snapToGrid w:val="0"/>
        </w:rPr>
        <w:t xml:space="preserve">47, 9 października 2012 r.; oraz </w:t>
      </w:r>
      <w:r w:rsidR="008E4DD7">
        <w:rPr>
          <w:i/>
          <w:iCs/>
        </w:rPr>
        <w:t xml:space="preserve">Buzadji przeciwko Republice Mołdawii </w:t>
      </w:r>
      <w:r w:rsidR="008E4DD7">
        <w:t>[WI], nr 23755/07</w:t>
      </w:r>
      <w:r w:rsidR="008E4DD7">
        <w:rPr>
          <w:snapToGrid w:val="0"/>
        </w:rPr>
        <w:t>, §</w:t>
      </w:r>
      <w:r w:rsidR="00E91B95">
        <w:rPr>
          <w:snapToGrid w:val="0"/>
        </w:rPr>
        <w:t> </w:t>
      </w:r>
      <w:r w:rsidR="008E4DD7">
        <w:rPr>
          <w:snapToGrid w:val="0"/>
        </w:rPr>
        <w:t xml:space="preserve">70, </w:t>
      </w:r>
      <w:r w:rsidR="008E4DD7">
        <w:t>ECHR</w:t>
      </w:r>
      <w:r w:rsidR="008E4DD7">
        <w:rPr>
          <w:snapToGrid w:val="0"/>
        </w:rPr>
        <w:t xml:space="preserve"> 2016</w:t>
      </w:r>
      <w:r w:rsidR="008E4DD7">
        <w:rPr>
          <w:i/>
          <w:iCs/>
        </w:rPr>
        <w:t xml:space="preserve"> </w:t>
      </w:r>
      <w:r w:rsidR="008E4DD7">
        <w:t>(fragmenty)</w:t>
      </w:r>
      <w:r w:rsidR="008E4DD7">
        <w:rPr>
          <w:snapToGrid w:val="0"/>
        </w:rPr>
        <w:t>)</w:t>
      </w:r>
      <w:r w:rsidR="008E4DD7">
        <w:t>.</w:t>
      </w:r>
    </w:p>
    <w:p w14:paraId="6DF35FC8" w14:textId="3F805648" w:rsidR="008E4DD7" w:rsidRPr="00841658" w:rsidRDefault="005A22F3" w:rsidP="008C4721">
      <w:pPr>
        <w:pStyle w:val="ECHRPara"/>
      </w:pPr>
      <w:r>
        <w:lastRenderedPageBreak/>
        <w:t>94</w:t>
      </w:r>
      <w:r w:rsidR="008E4DD7">
        <w:t>.</w:t>
      </w:r>
      <w:r>
        <w:t xml:space="preserve"> </w:t>
      </w:r>
      <w:r w:rsidR="008E4DD7">
        <w:t>Syndyk masy upadłościowej nie sprzeciwiał się kontynuowaniu przez spółkę prowadzenia sporu przed Trybunałem, jak wskazał w piśmie przekazanym do Trybunału w dzień poprzedzający rozprawę. Mając na</w:t>
      </w:r>
      <w:r w:rsidR="00E91B95">
        <w:t> </w:t>
      </w:r>
      <w:r w:rsidR="00D9277A">
        <w:t>uwadze</w:t>
      </w:r>
      <w:r w:rsidR="008E4DD7">
        <w:t xml:space="preserve"> fakt, iż </w:t>
      </w:r>
      <w:r w:rsidR="00842037">
        <w:t xml:space="preserve">zgodnie z prawem fińskim </w:t>
      </w:r>
      <w:r w:rsidR="008E4DD7">
        <w:t xml:space="preserve">pierwsza </w:t>
      </w:r>
      <w:r w:rsidR="00842037">
        <w:t xml:space="preserve">skarżąca </w:t>
      </w:r>
      <w:r w:rsidR="008E4DD7">
        <w:t>spółka nadal istnieje</w:t>
      </w:r>
      <w:r w:rsidR="00842037">
        <w:t xml:space="preserve"> </w:t>
      </w:r>
      <w:r w:rsidR="008E4DD7">
        <w:t xml:space="preserve">jako odrębna osoba prawna, choć znajduje się w zarządzie upadłościowym, Trybunał uważa, że nadal może </w:t>
      </w:r>
      <w:r w:rsidR="00842037">
        <w:t xml:space="preserve">ona </w:t>
      </w:r>
      <w:r w:rsidR="008E4DD7">
        <w:t xml:space="preserve">rościć sobie </w:t>
      </w:r>
      <w:r w:rsidR="00842037">
        <w:t>prawo do</w:t>
      </w:r>
      <w:r w:rsidR="00E91B95">
        <w:t> </w:t>
      </w:r>
      <w:r w:rsidR="00842037">
        <w:t>statusu ofiary zarzucanego</w:t>
      </w:r>
      <w:r w:rsidR="008E4DD7">
        <w:t xml:space="preserve"> naruszenia </w:t>
      </w:r>
      <w:r w:rsidR="00F6710B">
        <w:t>art.</w:t>
      </w:r>
      <w:r w:rsidR="008E4DD7">
        <w:t xml:space="preserve"> 6 </w:t>
      </w:r>
      <w:r w:rsidR="00F6710B">
        <w:t>ust.</w:t>
      </w:r>
      <w:r w:rsidR="008E4DD7">
        <w:t xml:space="preserve"> 1 i </w:t>
      </w:r>
      <w:r w:rsidR="00F6710B">
        <w:t>art.</w:t>
      </w:r>
      <w:r w:rsidR="008E4DD7">
        <w:t xml:space="preserve"> 10 Konwencji.</w:t>
      </w:r>
    </w:p>
    <w:p w14:paraId="2CAE666E" w14:textId="253CA22F" w:rsidR="008E4DD7" w:rsidRPr="00841658" w:rsidRDefault="005A22F3" w:rsidP="008C4721">
      <w:pPr>
        <w:pStyle w:val="ECHRPara"/>
      </w:pPr>
      <w:r>
        <w:t>95</w:t>
      </w:r>
      <w:r w:rsidR="008E4DD7">
        <w:t>.</w:t>
      </w:r>
      <w:r>
        <w:t xml:space="preserve"> </w:t>
      </w:r>
      <w:r w:rsidR="008E4DD7">
        <w:t>W rezultacie, drugi</w:t>
      </w:r>
      <w:r w:rsidR="00F60784">
        <w:t>e</w:t>
      </w:r>
      <w:r w:rsidR="008E4DD7">
        <w:t xml:space="preserve"> </w:t>
      </w:r>
      <w:r w:rsidR="00842037">
        <w:t>zastrzeżenie wstępne Rządu również zostaje oddalone</w:t>
      </w:r>
      <w:r w:rsidR="008E4DD7">
        <w:t>.</w:t>
      </w:r>
    </w:p>
    <w:p w14:paraId="399C5DA8" w14:textId="4362C996" w:rsidR="008E4DD7" w:rsidRPr="00841658" w:rsidRDefault="008E4DD7" w:rsidP="00B73153">
      <w:pPr>
        <w:pStyle w:val="ECHRHeading1"/>
      </w:pPr>
      <w:r>
        <w:t>II.</w:t>
      </w:r>
      <w:r w:rsidR="005A22F3">
        <w:t xml:space="preserve"> </w:t>
      </w:r>
      <w:r>
        <w:t xml:space="preserve">ZARZUT NARUSZENIA </w:t>
      </w:r>
      <w:r w:rsidR="00F6710B">
        <w:t>ART.</w:t>
      </w:r>
      <w:r>
        <w:t xml:space="preserve"> 10 KONWENCJI</w:t>
      </w:r>
    </w:p>
    <w:p w14:paraId="3EC1CBC0" w14:textId="46BAA305" w:rsidR="008E4DD7" w:rsidRPr="00841658" w:rsidRDefault="005A22F3" w:rsidP="008C4721">
      <w:pPr>
        <w:pStyle w:val="ECHRPara"/>
      </w:pPr>
      <w:r>
        <w:t>96</w:t>
      </w:r>
      <w:r w:rsidR="008E4DD7">
        <w:t>.</w:t>
      </w:r>
      <w:r>
        <w:t xml:space="preserve"> </w:t>
      </w:r>
      <w:r w:rsidR="008E4DD7">
        <w:t xml:space="preserve">Skarżące spółki skarżyły się, że ich prawo do wolności wyrażania opinii chronione </w:t>
      </w:r>
      <w:r w:rsidR="00842037">
        <w:t xml:space="preserve">przez </w:t>
      </w:r>
      <w:r w:rsidR="00F6710B">
        <w:t>art.</w:t>
      </w:r>
      <w:r w:rsidR="008E4DD7">
        <w:t xml:space="preserve"> 10 </w:t>
      </w:r>
      <w:r w:rsidR="00842037">
        <w:t xml:space="preserve">ust. 1 </w:t>
      </w:r>
      <w:r w:rsidR="008E4DD7">
        <w:t xml:space="preserve">Konwencji zostało naruszone w sposób, który nie jest uzasadniony zgodnie z ustępem 2 wspomnianego </w:t>
      </w:r>
      <w:r w:rsidR="00F6710B">
        <w:t>art</w:t>
      </w:r>
      <w:r w:rsidR="00842037">
        <w:t>ykułu</w:t>
      </w:r>
      <w:r w:rsidR="008E4DD7">
        <w:t>. Zbiór danych podatkowych nie był nielegalny sam w sobie</w:t>
      </w:r>
      <w:r w:rsidR="00842037">
        <w:t>,</w:t>
      </w:r>
      <w:r w:rsidR="008E4DD7">
        <w:t xml:space="preserve"> a zbierane i</w:t>
      </w:r>
      <w:r w:rsidR="00E91B95">
        <w:t> </w:t>
      </w:r>
      <w:r w:rsidR="008E4DD7">
        <w:t>publikowane informacje były dostępne publicznie. Nie naruszono prawa do prywatności osób indywidualnych.</w:t>
      </w:r>
    </w:p>
    <w:p w14:paraId="2BB256CC" w14:textId="62BEF96F" w:rsidR="008E4DD7" w:rsidRPr="00841658" w:rsidRDefault="005A22F3" w:rsidP="008C4721">
      <w:pPr>
        <w:pStyle w:val="ECHRPara"/>
      </w:pPr>
      <w:r>
        <w:t>97</w:t>
      </w:r>
      <w:r w:rsidR="008E4DD7">
        <w:t>.</w:t>
      </w:r>
      <w:r>
        <w:t xml:space="preserve"> </w:t>
      </w:r>
      <w:r w:rsidR="00F6710B">
        <w:t xml:space="preserve">Art. </w:t>
      </w:r>
      <w:r w:rsidR="008E4DD7">
        <w:t>10 Konwencji brzmi następująco:</w:t>
      </w:r>
    </w:p>
    <w:p w14:paraId="73B8A5F9" w14:textId="272A9985" w:rsidR="008E4DD7" w:rsidRPr="00841658" w:rsidRDefault="008E4DD7" w:rsidP="008C4721">
      <w:pPr>
        <w:pStyle w:val="ECHRParaQuote"/>
      </w:pPr>
      <w:r>
        <w:t>„1.</w:t>
      </w:r>
      <w:r w:rsidR="005A22F3">
        <w:t xml:space="preserve"> </w:t>
      </w:r>
      <w:r>
        <w:t>Każdy ma prawo do wolności wyrażania opinii. Prawo to obejmuje wolność posiadania poglądów oraz otrzymywania i przekazywania informacji i idei bez</w:t>
      </w:r>
      <w:r w:rsidR="00E91B95">
        <w:t> </w:t>
      </w:r>
      <w:r>
        <w:t>ingerencji władz publicznych i bez względu na granice państwowe. Niniejszy przepis nie wyklucza prawa Państw do poddania procedurze zezwoleń przedsiębiorstw radiowych, telewizyjnych lub kinematograficznych.</w:t>
      </w:r>
    </w:p>
    <w:p w14:paraId="0DC447CF" w14:textId="07C58ADC" w:rsidR="008E4DD7" w:rsidRPr="00841658" w:rsidRDefault="008E4DD7" w:rsidP="008C4721">
      <w:pPr>
        <w:pStyle w:val="ECHRParaQuote"/>
      </w:pPr>
      <w:r>
        <w:t>2.</w:t>
      </w:r>
      <w:r w:rsidR="005A22F3">
        <w:t xml:space="preserve"> </w:t>
      </w:r>
      <w:r>
        <w:t>Korzystanie z tych wolności pociągających za sobą obowiązki i odpowiedzialność może podlegać takim wymogom formalnym, warunkom, ograniczeniom i sankcjom, jakie są przewidziane przez ustawę i niezbędne w społeczeństwie demokratycznym w</w:t>
      </w:r>
      <w:r w:rsidR="00E91B95">
        <w:t> </w:t>
      </w:r>
      <w:r>
        <w:t>interesie bezpieczeństwa państwowego, integralności terytorialnej lub</w:t>
      </w:r>
      <w:r w:rsidR="00E91B95">
        <w:t> </w:t>
      </w:r>
      <w:r>
        <w:t>bezpieczeństwa publicznego ze względu na konieczność zapobieżenia zakłóceniu porządku lub przestępstwu, z uwagi na ochronę zdrowia i moralności, ochronę dobrego imienia i praw innych osób oraz ze względu na zapobieżenie ujawnieniu informacji poufnych lub na zagwarantowanie powagi i bezstronności władzy sądowej.”</w:t>
      </w:r>
    </w:p>
    <w:p w14:paraId="3E037789" w14:textId="77777777" w:rsidR="008E4DD7" w:rsidRPr="009C4D21" w:rsidRDefault="008E4DD7" w:rsidP="00B73153">
      <w:pPr>
        <w:pStyle w:val="ECHRHeading2"/>
        <w:rPr>
          <w:sz w:val="24"/>
        </w:rPr>
      </w:pPr>
      <w:r w:rsidRPr="009C4D21">
        <w:rPr>
          <w:sz w:val="24"/>
        </w:rPr>
        <w:t>A. Wyrok Izby</w:t>
      </w:r>
    </w:p>
    <w:p w14:paraId="260DAA79" w14:textId="3731C85B" w:rsidR="008E4DD7" w:rsidRPr="00841658" w:rsidRDefault="005A22F3" w:rsidP="008C4721">
      <w:pPr>
        <w:pStyle w:val="ECHRPara"/>
      </w:pPr>
      <w:r>
        <w:t>98</w:t>
      </w:r>
      <w:r w:rsidR="008E4DD7">
        <w:t>.</w:t>
      </w:r>
      <w:r>
        <w:t xml:space="preserve"> </w:t>
      </w:r>
      <w:r w:rsidR="008E4DD7">
        <w:t xml:space="preserve">Izba uznała, iż doszło do </w:t>
      </w:r>
      <w:r w:rsidR="004921CD">
        <w:t>ingerencji w prawo</w:t>
      </w:r>
      <w:r w:rsidR="008E4DD7">
        <w:t xml:space="preserve"> skarżących spółek do</w:t>
      </w:r>
      <w:r w:rsidR="00E91B95">
        <w:t> </w:t>
      </w:r>
      <w:r w:rsidR="004921CD">
        <w:t xml:space="preserve">przekazywania informacji, lecz że  ingerencja </w:t>
      </w:r>
      <w:r w:rsidR="00F60784">
        <w:t xml:space="preserve">ta </w:t>
      </w:r>
      <w:r w:rsidR="004921CD">
        <w:t>była „przewidziana</w:t>
      </w:r>
      <w:r w:rsidR="00842037">
        <w:t xml:space="preserve"> przez ustawę” i realizowała</w:t>
      </w:r>
      <w:r w:rsidR="008E4DD7">
        <w:t xml:space="preserve"> u</w:t>
      </w:r>
      <w:r w:rsidR="002652EB">
        <w:t>prawniony</w:t>
      </w:r>
      <w:r w:rsidR="008E4DD7">
        <w:t xml:space="preserve"> cel </w:t>
      </w:r>
      <w:r w:rsidR="00842037">
        <w:t xml:space="preserve">ochrony </w:t>
      </w:r>
      <w:r w:rsidR="002652EB">
        <w:t>dobrego imienia</w:t>
      </w:r>
      <w:r w:rsidR="008E4DD7">
        <w:t xml:space="preserve"> lub</w:t>
      </w:r>
      <w:r w:rsidR="00E91B95">
        <w:t> </w:t>
      </w:r>
      <w:r w:rsidR="008E4DD7">
        <w:t>praw innych</w:t>
      </w:r>
      <w:r w:rsidR="00842037">
        <w:t xml:space="preserve"> osób</w:t>
      </w:r>
      <w:r w:rsidR="008E4DD7">
        <w:t>. Jeśli chodzi o niezbędność te</w:t>
      </w:r>
      <w:r w:rsidR="004921CD">
        <w:t>j ingerencji</w:t>
      </w:r>
      <w:r w:rsidR="008E4DD7">
        <w:t xml:space="preserve"> w</w:t>
      </w:r>
      <w:r w:rsidR="00E91B95">
        <w:t> </w:t>
      </w:r>
      <w:r w:rsidR="008E4DD7">
        <w:t>społeczeństwie demokratycznym, Izba odnotowała, że przedmiotowe dane podatkowe były już dostępne publicznie w Finlandii i jako takie były informacjami o znaczeniu pu</w:t>
      </w:r>
      <w:r w:rsidR="00842037">
        <w:t>blicznym. Informacje te pochodziły</w:t>
      </w:r>
      <w:r w:rsidR="008E4DD7">
        <w:t xml:space="preserve"> bezpośrednio od organów podatkowych i nie ma żadnych dowodów, według Izby, ani żadnych zarzutów, </w:t>
      </w:r>
      <w:r w:rsidR="00F60784">
        <w:t xml:space="preserve">odnoszących się do </w:t>
      </w:r>
      <w:r w:rsidR="008E4DD7">
        <w:t xml:space="preserve">błędów faktycznych, </w:t>
      </w:r>
      <w:r w:rsidR="008E4DD7">
        <w:lastRenderedPageBreak/>
        <w:t>nieprawdziwych informacji lub złej wiary po stronie skarżących spółek. Jedyną problematyczną kwestią dla organów krajowych i sądów był sposób i zakres, w jakim informacje mogły być publikowane.</w:t>
      </w:r>
    </w:p>
    <w:p w14:paraId="7551A66A" w14:textId="7BE23AA6" w:rsidR="008E4DD7" w:rsidRPr="00841658" w:rsidRDefault="005A22F3" w:rsidP="008C4721">
      <w:pPr>
        <w:pStyle w:val="ECHRPara"/>
      </w:pPr>
      <w:r>
        <w:t>99</w:t>
      </w:r>
      <w:r w:rsidR="008E4DD7">
        <w:t>.</w:t>
      </w:r>
      <w:r>
        <w:t xml:space="preserve"> </w:t>
      </w:r>
      <w:r w:rsidR="00842037">
        <w:t>Izba</w:t>
      </w:r>
      <w:r w:rsidR="008E4DD7">
        <w:t xml:space="preserve"> odnotował</w:t>
      </w:r>
      <w:r w:rsidR="00842037">
        <w:t>a</w:t>
      </w:r>
      <w:r w:rsidR="008E4DD7">
        <w:t xml:space="preserve">, że po otrzymaniu orzeczenia </w:t>
      </w:r>
      <w:r w:rsidR="00842037">
        <w:t xml:space="preserve">TSUE </w:t>
      </w:r>
      <w:r w:rsidR="00F60784">
        <w:t xml:space="preserve">wydanego </w:t>
      </w:r>
      <w:r w:rsidR="008E4DD7">
        <w:t>w</w:t>
      </w:r>
      <w:r w:rsidR="00F933C1">
        <w:t> </w:t>
      </w:r>
      <w:r w:rsidR="008E4DD7">
        <w:t>trybie prejudycjalnym, Najwyższy Sąd Administracyjny stwierdził, że</w:t>
      </w:r>
      <w:r w:rsidR="00F933C1">
        <w:t> </w:t>
      </w:r>
      <w:r w:rsidR="008E4DD7">
        <w:t>publikacja całej bazy danych zawierającej dane osobowe zebrane w</w:t>
      </w:r>
      <w:r w:rsidR="00F933C1">
        <w:t> </w:t>
      </w:r>
      <w:r w:rsidR="008E4DD7">
        <w:t>celach dziennikarskich nie może być uznana za działalność dziennikarską. Uznał, że interes publiczny nie wymaga publikacji danych osobowych w zakresie zaobserwowanym w przedmiotowej sprawie. To</w:t>
      </w:r>
      <w:r w:rsidR="00F933C1">
        <w:t> </w:t>
      </w:r>
      <w:r w:rsidR="008E4DD7">
        <w:t>samo dotyczyło usługi tekstowej (SMS). Izba zauważyła, że w swojej analizie Najwyższy Sąd Administracyjny przyłożył wagę zarówno do prawa skarżących spółek do</w:t>
      </w:r>
      <w:r w:rsidR="00E91B95">
        <w:t> </w:t>
      </w:r>
      <w:r w:rsidR="008E4DD7">
        <w:t>wolności wyrażania opinii oraz do prawa do</w:t>
      </w:r>
      <w:r w:rsidR="00F933C1">
        <w:t> </w:t>
      </w:r>
      <w:r w:rsidR="008E4DD7">
        <w:t>poszanowania życia prywatnego tych podatników, których informacje podatkowe zostały opublikowane. Zrównoważył te interesy w swoich rozważaniach, interpretując</w:t>
      </w:r>
      <w:r w:rsidR="00F60784">
        <w:t xml:space="preserve"> wąsko –</w:t>
      </w:r>
      <w:r w:rsidR="008E4DD7">
        <w:t xml:space="preserve"> zgodnie z wyrokiem TSUE w sprawie potrzeby ścisłej interpretacji </w:t>
      </w:r>
      <w:r w:rsidR="008E4DD7" w:rsidRPr="007B68CA">
        <w:t>derogacji</w:t>
      </w:r>
      <w:r w:rsidR="008E4DD7">
        <w:t xml:space="preserve"> </w:t>
      </w:r>
      <w:r w:rsidR="001F3653">
        <w:t>dotyczącej celów dziennikarskich</w:t>
      </w:r>
      <w:r w:rsidR="00F60784">
        <w:t xml:space="preserve"> –</w:t>
      </w:r>
      <w:r w:rsidR="008E4DD7">
        <w:t xml:space="preserve"> </w:t>
      </w:r>
      <w:r w:rsidR="001F3653">
        <w:t>wolność wyrażania opinii skarżących spółek w</w:t>
      </w:r>
      <w:r w:rsidR="008E4DD7">
        <w:t xml:space="preserve"> celu chronienia prawa do</w:t>
      </w:r>
      <w:r w:rsidR="00E91B95">
        <w:t> </w:t>
      </w:r>
      <w:r w:rsidR="008E4DD7">
        <w:t xml:space="preserve">prywatności. </w:t>
      </w:r>
      <w:r w:rsidR="001F3653">
        <w:t xml:space="preserve">Izba </w:t>
      </w:r>
      <w:r w:rsidR="008E4DD7">
        <w:t>uznał</w:t>
      </w:r>
      <w:r w:rsidR="001F3653">
        <w:t>a</w:t>
      </w:r>
      <w:r w:rsidR="008E4DD7">
        <w:t>, że to uzasadnienie jest akceptowalne. Według</w:t>
      </w:r>
      <w:r w:rsidR="00E91B95">
        <w:t> </w:t>
      </w:r>
      <w:r w:rsidR="008E4DD7">
        <w:t>Izby Trybunał</w:t>
      </w:r>
      <w:r w:rsidR="001F3653">
        <w:t xml:space="preserve"> </w:t>
      </w:r>
      <w:r w:rsidR="008E4DD7">
        <w:t>w takich okolicznościach</w:t>
      </w:r>
      <w:r w:rsidR="001F3653">
        <w:t xml:space="preserve"> wymaga</w:t>
      </w:r>
      <w:r w:rsidR="008E4DD7">
        <w:t xml:space="preserve"> poważnych powodów</w:t>
      </w:r>
      <w:r w:rsidR="001F3653">
        <w:t>,</w:t>
      </w:r>
      <w:r w:rsidR="008E4DD7">
        <w:t xml:space="preserve"> by zastąpić własnymi poglądami poglądy sądów krajowych.</w:t>
      </w:r>
    </w:p>
    <w:p w14:paraId="586A3521" w14:textId="1F809B9C" w:rsidR="008E4DD7" w:rsidRPr="00841658" w:rsidRDefault="005A22F3" w:rsidP="008C4721">
      <w:pPr>
        <w:pStyle w:val="ECHRPara"/>
      </w:pPr>
      <w:r>
        <w:t>100</w:t>
      </w:r>
      <w:r w:rsidR="008E4DD7">
        <w:t>.</w:t>
      </w:r>
      <w:r>
        <w:t xml:space="preserve"> </w:t>
      </w:r>
      <w:r w:rsidR="008E4DD7">
        <w:t xml:space="preserve">W odniesieniu do sankcji nałożonych przez organy krajowe </w:t>
      </w:r>
      <w:r w:rsidR="001F3653">
        <w:t>Izba zauważyła</w:t>
      </w:r>
      <w:r w:rsidR="008E4DD7">
        <w:t>, że skarżącym spółkom co do zasady nie zabroniono publikowania przedmiotowych informacji całkowicie, lecz tylko do</w:t>
      </w:r>
      <w:r w:rsidR="00E91B95">
        <w:t> </w:t>
      </w:r>
      <w:r w:rsidR="008E4DD7">
        <w:t xml:space="preserve">pewnego stopnia. Ich decyzja o zakończeniu działalności </w:t>
      </w:r>
      <w:r w:rsidR="001F3653">
        <w:t xml:space="preserve">gospodarczej </w:t>
      </w:r>
      <w:r w:rsidR="008E4DD7">
        <w:t xml:space="preserve">nie była zatem bezpośrednią konsekwencją działań podjętych przez sądy krajowe i organy, lecz decyzją gospodarczą podjętą przez skarżące </w:t>
      </w:r>
      <w:r w:rsidR="001F3653">
        <w:t xml:space="preserve">spółki </w:t>
      </w:r>
      <w:r w:rsidR="008E4DD7">
        <w:t>samodzielnie.</w:t>
      </w:r>
    </w:p>
    <w:p w14:paraId="7D85204E" w14:textId="77777777" w:rsidR="008E4DD7" w:rsidRPr="009C4D21" w:rsidRDefault="008E4DD7" w:rsidP="00B73153">
      <w:pPr>
        <w:pStyle w:val="ECHRHeading2"/>
        <w:rPr>
          <w:sz w:val="24"/>
        </w:rPr>
      </w:pPr>
      <w:r w:rsidRPr="009C4D21">
        <w:rPr>
          <w:sz w:val="24"/>
        </w:rPr>
        <w:t>B. Wnioski stron składane do Wielkiej Izby</w:t>
      </w:r>
    </w:p>
    <w:p w14:paraId="7735510F" w14:textId="23DE6F4A" w:rsidR="008E4DD7" w:rsidRPr="00841658" w:rsidRDefault="008E4DD7" w:rsidP="00B73153">
      <w:pPr>
        <w:pStyle w:val="ECHRHeading3"/>
      </w:pPr>
      <w:r>
        <w:t>1.</w:t>
      </w:r>
      <w:r w:rsidR="005A22F3">
        <w:t xml:space="preserve"> </w:t>
      </w:r>
      <w:r>
        <w:t>Skarżące spółki</w:t>
      </w:r>
    </w:p>
    <w:p w14:paraId="5373AF0C" w14:textId="0AF92FFB" w:rsidR="008E4DD7" w:rsidRPr="00841658" w:rsidRDefault="005A22F3" w:rsidP="008C4721">
      <w:pPr>
        <w:pStyle w:val="ECHRPara"/>
      </w:pPr>
      <w:r>
        <w:t>101</w:t>
      </w:r>
      <w:r w:rsidR="008E4DD7">
        <w:t>.</w:t>
      </w:r>
      <w:r>
        <w:t xml:space="preserve"> </w:t>
      </w:r>
      <w:r w:rsidR="008E4DD7">
        <w:t xml:space="preserve">Skarżące spółki utrzymywały, że orzeczenia krajowe uniemożliwiły im przekazywanie informacji i w rezultacie </w:t>
      </w:r>
      <w:r w:rsidR="001F3653">
        <w:t xml:space="preserve">„całkowicie” </w:t>
      </w:r>
      <w:r w:rsidR="008E4DD7">
        <w:t>uniemożliwiły im</w:t>
      </w:r>
      <w:r w:rsidR="00E91B95">
        <w:t> </w:t>
      </w:r>
      <w:r w:rsidR="008E4DD7">
        <w:t>realizowanie ich działalności publicystycznej. Rzeczon</w:t>
      </w:r>
      <w:r w:rsidR="004921CD">
        <w:t>a ingerencja przyjęła</w:t>
      </w:r>
      <w:r w:rsidR="008E4DD7">
        <w:t xml:space="preserve"> formę </w:t>
      </w:r>
      <w:r w:rsidR="001F3653">
        <w:t xml:space="preserve">uprzedniego </w:t>
      </w:r>
      <w:r w:rsidR="008E4DD7">
        <w:t xml:space="preserve">zakazu. W dniu 1 listopada każdego roku, kiedy to rejestry </w:t>
      </w:r>
      <w:r w:rsidR="001F3653">
        <w:t>podatkowe za poprzedni rok stawały</w:t>
      </w:r>
      <w:r w:rsidR="008E4DD7">
        <w:t xml:space="preserve"> się publiczne, szereg gazet i</w:t>
      </w:r>
      <w:r w:rsidR="00E91B95">
        <w:t> </w:t>
      </w:r>
      <w:r w:rsidR="008E4DD7">
        <w:t>in</w:t>
      </w:r>
      <w:r w:rsidR="001F3653">
        <w:t>nych mediów publikowało</w:t>
      </w:r>
      <w:r w:rsidR="008E4DD7">
        <w:t xml:space="preserve"> dane podatkowe osób w formatach papierowych i elektronicznych. Niczym nie różniło się </w:t>
      </w:r>
      <w:r w:rsidR="001F3653">
        <w:t xml:space="preserve">to </w:t>
      </w:r>
      <w:r w:rsidR="008E4DD7">
        <w:t xml:space="preserve">od działalności, jakiej podejmowały się skarżące spółki, poza ilością publikowanych danych. Większość osób, których dane były w ten sposób dostępne, nie były znane publicznie i pochodziły z różnych grup społecznych i zawodów. Nigdy nie zwracano szczególnej sądowej uwagi na tożsamość osób, których nazwiska oraz kwoty dochodu przed opodatkowaniem zostały </w:t>
      </w:r>
      <w:r w:rsidR="008E4DD7">
        <w:lastRenderedPageBreak/>
        <w:t>opublikowane. Podobnie działalność innych mediów nigdy nie była przedmiotem kontroli Rzecznika ds. Ochrony Danych.</w:t>
      </w:r>
    </w:p>
    <w:p w14:paraId="180F5047" w14:textId="5ADC409B" w:rsidR="008E4DD7" w:rsidRPr="00841658" w:rsidRDefault="005A22F3" w:rsidP="008C4721">
      <w:pPr>
        <w:pStyle w:val="ECHRPara"/>
      </w:pPr>
      <w:r>
        <w:t>102</w:t>
      </w:r>
      <w:r w:rsidR="008E4DD7">
        <w:t>.</w:t>
      </w:r>
      <w:r>
        <w:t xml:space="preserve"> </w:t>
      </w:r>
      <w:r w:rsidR="008E4DD7">
        <w:t>Skarżące spółki argumentowały, że t</w:t>
      </w:r>
      <w:r w:rsidR="004921CD">
        <w:t>a</w:t>
      </w:r>
      <w:r w:rsidR="008E4DD7">
        <w:t xml:space="preserve"> </w:t>
      </w:r>
      <w:r w:rsidR="004921CD">
        <w:t>ingerencja w ich prawo</w:t>
      </w:r>
      <w:r w:rsidR="008E4DD7">
        <w:t xml:space="preserve"> do</w:t>
      </w:r>
      <w:r w:rsidR="00E91B95">
        <w:t> </w:t>
      </w:r>
      <w:r w:rsidR="008E4DD7">
        <w:t xml:space="preserve">wolności </w:t>
      </w:r>
      <w:r w:rsidR="001F3653">
        <w:t>wyrażania opinii nie była „przewidziana</w:t>
      </w:r>
      <w:r w:rsidR="008E4DD7">
        <w:t xml:space="preserve"> przez ustawę”. Publikowanie danych podatkowych</w:t>
      </w:r>
      <w:r w:rsidR="001F3653">
        <w:t xml:space="preserve"> </w:t>
      </w:r>
      <w:r w:rsidR="008E4DD7">
        <w:t xml:space="preserve">było </w:t>
      </w:r>
      <w:r w:rsidR="001F3653">
        <w:t xml:space="preserve">w szczególności </w:t>
      </w:r>
      <w:r w:rsidR="008E4DD7">
        <w:t xml:space="preserve">zaakceptowane przez fińskiego ustawodawcę. Prace przygotowawcze dotyczące </w:t>
      </w:r>
      <w:r w:rsidR="009C4D21">
        <w:t xml:space="preserve">ustawy </w:t>
      </w:r>
      <w:r w:rsidR="008E4DD7">
        <w:t>o</w:t>
      </w:r>
      <w:r w:rsidR="00E91B95">
        <w:t> </w:t>
      </w:r>
      <w:r w:rsidR="008E4DD7">
        <w:t>ujawnianiu publicznym i poufności danych podatkowych sugerowały, że</w:t>
      </w:r>
      <w:r w:rsidR="00E91B95">
        <w:t> </w:t>
      </w:r>
      <w:r w:rsidR="008E4DD7">
        <w:t xml:space="preserve">publikowanie takich danych odbywało się od lat i służyło celom społecznym. W trakcie przygotowań wspomnianej </w:t>
      </w:r>
      <w:r w:rsidR="009C4D21">
        <w:t xml:space="preserve">ustawy </w:t>
      </w:r>
      <w:r w:rsidR="008E4DD7">
        <w:t xml:space="preserve">odbyła się szeroko zakrojona debata, w trakcie której oceniono zalety i wady publikowania danych podatkowych, a ustawodawca ostatecznie zadecydował o utrzymaniu dostępu publicznego do takich danych. </w:t>
      </w:r>
      <w:r w:rsidR="00D9277A">
        <w:t xml:space="preserve">Ustawa </w:t>
      </w:r>
      <w:r w:rsidR="009C4D21">
        <w:t>o</w:t>
      </w:r>
      <w:r w:rsidR="00E91B95">
        <w:t> </w:t>
      </w:r>
      <w:r w:rsidR="009C4D21">
        <w:t xml:space="preserve">danych osobowych </w:t>
      </w:r>
      <w:r w:rsidR="008E4DD7">
        <w:t xml:space="preserve">nie miała na celu ograniczenia działalności publicystycznej. W trakcie prac przygotowawczych stwierdzono, że status prawny przedmiotowych danych miał pozostać niezmieniony. </w:t>
      </w:r>
      <w:r w:rsidR="008E4DD7" w:rsidRPr="007B68CA">
        <w:t>Derogacja na</w:t>
      </w:r>
      <w:r w:rsidR="00E91B95">
        <w:t> </w:t>
      </w:r>
      <w:r w:rsidR="008E4DD7" w:rsidRPr="007B68CA">
        <w:t>cele dziennikarskie miała być stosowana do baz danych,</w:t>
      </w:r>
      <w:r w:rsidR="008E4DD7">
        <w:t xml:space="preserve"> które były zaprojektowana na potrzeby publikowania, tak aby uniemożliwić nawet pośrednie </w:t>
      </w:r>
      <w:r w:rsidR="001F3653">
        <w:t xml:space="preserve">uprzednie </w:t>
      </w:r>
      <w:r w:rsidR="008E4DD7">
        <w:t>ograniczenia wolności wyrażania opinii. Możliwe</w:t>
      </w:r>
      <w:r w:rsidR="00E91B95">
        <w:t> </w:t>
      </w:r>
      <w:r w:rsidR="008E4DD7">
        <w:t xml:space="preserve">naruszenia prywatności miały być badane i rozstrzygane </w:t>
      </w:r>
      <w:r w:rsidR="008E4DD7">
        <w:rPr>
          <w:i/>
          <w:iCs/>
        </w:rPr>
        <w:t>ex post facto</w:t>
      </w:r>
      <w:r w:rsidR="008E4DD7">
        <w:t xml:space="preserve">. Na tej podstawie skarżące spółki argumentowały, że </w:t>
      </w:r>
      <w:r w:rsidR="004921CD">
        <w:t>ingerencja ta nie była</w:t>
      </w:r>
      <w:r w:rsidR="008E4DD7">
        <w:t xml:space="preserve"> „przewidzian</w:t>
      </w:r>
      <w:r w:rsidR="004921CD">
        <w:t>a</w:t>
      </w:r>
      <w:r w:rsidR="008E4DD7">
        <w:t xml:space="preserve"> przez ustawę” w rozumieniu </w:t>
      </w:r>
      <w:r w:rsidR="00F6710B">
        <w:t>art.</w:t>
      </w:r>
      <w:r w:rsidR="008E4DD7">
        <w:t xml:space="preserve"> 10 </w:t>
      </w:r>
      <w:r w:rsidR="00F6710B">
        <w:t>ust.</w:t>
      </w:r>
      <w:r w:rsidR="008E4DD7">
        <w:t xml:space="preserve"> 2 Konwencji.</w:t>
      </w:r>
    </w:p>
    <w:p w14:paraId="1E87835F" w14:textId="27045202" w:rsidR="008E4DD7" w:rsidRPr="00841658" w:rsidRDefault="005A22F3" w:rsidP="008C4721">
      <w:pPr>
        <w:pStyle w:val="ECHRPara"/>
      </w:pPr>
      <w:r>
        <w:t>103</w:t>
      </w:r>
      <w:r w:rsidR="008E4DD7">
        <w:t>.</w:t>
      </w:r>
      <w:r>
        <w:t xml:space="preserve"> </w:t>
      </w:r>
      <w:r w:rsidR="008E4DD7">
        <w:t xml:space="preserve">Skarżące spółki również argumentowały, że </w:t>
      </w:r>
      <w:r w:rsidR="004921CD">
        <w:t>ingerencja nie była</w:t>
      </w:r>
      <w:r w:rsidR="008E4DD7">
        <w:t xml:space="preserve"> „niezbędn</w:t>
      </w:r>
      <w:r w:rsidR="004921CD">
        <w:t>a</w:t>
      </w:r>
      <w:r w:rsidR="008E4DD7">
        <w:t xml:space="preserve"> w społeczeństwie demokratycznym”. Nie podnoszono nigdy kwestii dotyczących poprawności informacji, a jedynie ich ilości. Kryteria równowagi stosow</w:t>
      </w:r>
      <w:r w:rsidR="0037081B">
        <w:t>ane przez Trybunał funkcjonują najlepiej tam, gdzie chodzi</w:t>
      </w:r>
      <w:r w:rsidR="008E4DD7">
        <w:t xml:space="preserve"> o prywatność jednej lub dwóch </w:t>
      </w:r>
      <w:r w:rsidR="0037081B">
        <w:t xml:space="preserve">zainteresowanych </w:t>
      </w:r>
      <w:r w:rsidR="008E4DD7">
        <w:t>osób. W takich sytuacjach dane dotyczące konkretnych osób otrzym</w:t>
      </w:r>
      <w:r w:rsidR="0037081B">
        <w:t>ują</w:t>
      </w:r>
      <w:r w:rsidR="008E4DD7">
        <w:t xml:space="preserve"> priorytet. W</w:t>
      </w:r>
      <w:r w:rsidR="00E91B95">
        <w:t> </w:t>
      </w:r>
      <w:r w:rsidR="008E4DD7">
        <w:t xml:space="preserve">przypadku publikacji </w:t>
      </w:r>
      <w:r w:rsidR="00F60784">
        <w:t xml:space="preserve">w taki sam sposób </w:t>
      </w:r>
      <w:r w:rsidR="008E4DD7">
        <w:t>tysięcy nazwisk informacje dotyczące konkretnej osoby „</w:t>
      </w:r>
      <w:r w:rsidR="0096361B">
        <w:t>wtapiają się</w:t>
      </w:r>
      <w:r w:rsidR="008E4DD7">
        <w:t>”. Publikowanie takich danych nie bardzo może naruszać czyjąkolwiek prywatność. W takich sytuacjach należy stosować innego rodzaju kryteria równowagi, tak aby lepiej uwzględnić charakter masowego publikowania danych, a mianowicie kryterium ochrony prywatności dużych populacji. Dodatkowo, jeżeli inne media publikowały dane podatkowe dotyczące, przykładowo, 150 000 osób, nigdy nie proszono</w:t>
      </w:r>
      <w:r w:rsidR="0037081B">
        <w:t>,</w:t>
      </w:r>
      <w:r w:rsidR="008E4DD7">
        <w:t xml:space="preserve"> by informacje te były postrzegane w świetle kryteriów równowagi Trybunału. Dopiero kiedy spółki skarżące opublikowały 1,2</w:t>
      </w:r>
      <w:r w:rsidR="00E91B95">
        <w:t> </w:t>
      </w:r>
      <w:r w:rsidR="008E4DD7">
        <w:t>miliona nazwisk</w:t>
      </w:r>
      <w:r w:rsidR="0037081B">
        <w:t>,</w:t>
      </w:r>
      <w:r w:rsidR="008E4DD7">
        <w:t xml:space="preserve"> kryteria te zaczęły mieć zastosowanie.</w:t>
      </w:r>
    </w:p>
    <w:p w14:paraId="4FC7833E" w14:textId="4292EF91" w:rsidR="008E4DD7" w:rsidRPr="00841658" w:rsidRDefault="005A22F3" w:rsidP="008C4721">
      <w:pPr>
        <w:pStyle w:val="ECHRPara"/>
      </w:pPr>
      <w:r>
        <w:t>104</w:t>
      </w:r>
      <w:r w:rsidR="008E4DD7">
        <w:t>.</w:t>
      </w:r>
      <w:r>
        <w:t xml:space="preserve"> </w:t>
      </w:r>
      <w:r w:rsidR="008E4DD7">
        <w:t>Kwestia interesu publicznego została zbadana</w:t>
      </w:r>
      <w:r w:rsidR="0037081B">
        <w:t>,</w:t>
      </w:r>
      <w:r w:rsidR="008E4DD7">
        <w:t xml:space="preserve"> kiedy uchwalono </w:t>
      </w:r>
      <w:r w:rsidR="009C4D21">
        <w:t xml:space="preserve">ustawę </w:t>
      </w:r>
      <w:r w:rsidR="008E4DD7">
        <w:t>o ujawnianiu publicznym i poufności danych podatkowych. Według skarżących spółek, publiczny dostęp do danych podatkowych umożliwił opinii publicznej obserwowanie wyników polityk podatkowych oraz tego, jak zmieniały się różnice w dochodach i zamożności, dla przykładu, pomiędzy różnymi regionami, zawodami i płciami. Umożliwiła również nadzór ze strony fińskie</w:t>
      </w:r>
      <w:r w:rsidR="0037081B">
        <w:t>j administracji podatkowej</w:t>
      </w:r>
      <w:r w:rsidR="008E4DD7">
        <w:t xml:space="preserve">, jako że jednostki </w:t>
      </w:r>
      <w:r w:rsidR="008E4DD7">
        <w:lastRenderedPageBreak/>
        <w:t xml:space="preserve">zgłaszały podejrzenia dotyczące unikania podatków bezpośrednio do organu podatkowego. W samym 2015 </w:t>
      </w:r>
      <w:r w:rsidR="00F6710B">
        <w:t>r.</w:t>
      </w:r>
      <w:r w:rsidR="008E4DD7">
        <w:t xml:space="preserve"> organ podatkowy otrzymał 15 000 takich zgłoszeń. Skarżące spółki argumentowały zatem, iż równowaga pomiędzy rejestrami podatkowymi publicznymi i podlegającymi publikacji po jednej stronie a ochroną prywatności po drugiej stronie została </w:t>
      </w:r>
      <w:r w:rsidR="0037081B">
        <w:t xml:space="preserve">osiągnięta </w:t>
      </w:r>
      <w:r w:rsidR="008E4DD7">
        <w:t xml:space="preserve">przez fińskiego ustawodawcę. A zatem organom krajowym nie pozostawiono marginesu </w:t>
      </w:r>
      <w:r w:rsidR="002652EB">
        <w:t>oceny</w:t>
      </w:r>
      <w:r w:rsidR="008E4DD7">
        <w:t xml:space="preserve"> – lub też pozostawiono bardzo wąski margines</w:t>
      </w:r>
      <w:r w:rsidR="002652EB">
        <w:t xml:space="preserve"> oceny</w:t>
      </w:r>
      <w:r w:rsidR="008E4DD7">
        <w:t>. Nie</w:t>
      </w:r>
      <w:r w:rsidR="00E91B95">
        <w:t> </w:t>
      </w:r>
      <w:r w:rsidR="008E4DD7">
        <w:t>było zatem potrzeby ponownego równoważenia. W przeciwieństwie do</w:t>
      </w:r>
      <w:r w:rsidR="00E91B95">
        <w:t> </w:t>
      </w:r>
      <w:r w:rsidR="008E4DD7">
        <w:t xml:space="preserve">sprawy </w:t>
      </w:r>
      <w:proofErr w:type="spellStart"/>
      <w:r w:rsidR="008E4DD7">
        <w:rPr>
          <w:i/>
          <w:iCs/>
        </w:rPr>
        <w:t>Fressoz</w:t>
      </w:r>
      <w:proofErr w:type="spellEnd"/>
      <w:r w:rsidR="008E4DD7">
        <w:rPr>
          <w:i/>
          <w:iCs/>
        </w:rPr>
        <w:t xml:space="preserve"> i </w:t>
      </w:r>
      <w:proofErr w:type="spellStart"/>
      <w:r w:rsidR="008E4DD7">
        <w:rPr>
          <w:i/>
          <w:iCs/>
        </w:rPr>
        <w:t>Roire</w:t>
      </w:r>
      <w:proofErr w:type="spellEnd"/>
      <w:r w:rsidR="008E4DD7">
        <w:rPr>
          <w:i/>
          <w:iCs/>
        </w:rPr>
        <w:t xml:space="preserve"> przeciwko Francji</w:t>
      </w:r>
      <w:r w:rsidR="008E4DD7">
        <w:t>, [WI], nr 29183/95, ECHR</w:t>
      </w:r>
      <w:r w:rsidR="00E91B95">
        <w:t> </w:t>
      </w:r>
      <w:r w:rsidR="008E4DD7">
        <w:t>1999-I, dane podatkowe w przedmiotowej sprawie zostały uzyskane zgodnie z prawem przez skarżące spółki z publicznych rejestrów podatkowych w taki sam sposób</w:t>
      </w:r>
      <w:r w:rsidR="0037081B">
        <w:t>,</w:t>
      </w:r>
      <w:r w:rsidR="008E4DD7">
        <w:t xml:space="preserve"> jak dokonać tego może każdy inny członek opinii publicznej. Skutek dla prywatnoś</w:t>
      </w:r>
      <w:r w:rsidR="0037081B">
        <w:t>ci osoby nie może w żaden znacząc</w:t>
      </w:r>
      <w:r w:rsidR="008E4DD7">
        <w:t xml:space="preserve">y sposób być różny zależnie od tego, czy informacja została otrzymana od skarżących spółek, innych mediów, </w:t>
      </w:r>
      <w:r w:rsidR="0037081B">
        <w:t xml:space="preserve">czy </w:t>
      </w:r>
      <w:r w:rsidR="008E4DD7">
        <w:t>za pośrednictwem usługi telefonicznej obsługiwanej przez sam organ podatkowy. Jako że informacje były dostępne powszechnie, ich publikacja nie mogła naruszać niczyjej prywatności.</w:t>
      </w:r>
    </w:p>
    <w:p w14:paraId="3402B00D" w14:textId="2E47FFF7" w:rsidR="008E4DD7" w:rsidRPr="00841658" w:rsidRDefault="005A22F3" w:rsidP="008C4721">
      <w:pPr>
        <w:pStyle w:val="ECHRPara"/>
      </w:pPr>
      <w:r>
        <w:t>105</w:t>
      </w:r>
      <w:r w:rsidR="008E4DD7">
        <w:t>.</w:t>
      </w:r>
      <w:r>
        <w:t xml:space="preserve"> </w:t>
      </w:r>
      <w:r w:rsidR="008E4DD7">
        <w:t>Odwołując się do definicji działalności dziennikarskiej wskazanej w</w:t>
      </w:r>
      <w:r w:rsidR="00E91B95">
        <w:t> </w:t>
      </w:r>
      <w:r w:rsidR="008E4DD7">
        <w:t>projekcie unijnego rozporządzenia ogólnego w sprawie ochrony danych osobowych, skarżące spółki argumentowały, że ich działalność publicystyczna powinna być traktowana jak dziennikarstwo. Rozumowanie Najwyższego Sądu Administracyjnego było sprzeczne z tą definicją, co</w:t>
      </w:r>
      <w:r w:rsidR="00E91B95">
        <w:t> </w:t>
      </w:r>
      <w:r w:rsidR="008E4DD7">
        <w:t>musiało zagrozić samej idei wolności wyrażania opinii. Mając na uwadze warunki wyroku Najwyższego Sądu Administracyjnego, należy zapytać, ile</w:t>
      </w:r>
      <w:r w:rsidR="00E91B95">
        <w:t> </w:t>
      </w:r>
      <w:r w:rsidR="008E4DD7">
        <w:t>informacji musi zostać opublikowane, aby przekroczyć limit pomiędzy informacjami podlegającymi a niepodlegającymi publikacji. Ilość oraz sposób, w jaki dane podatkowe mogą być publikowane zgodnie z prawem, według skarżących spółek, nigdy nie zostały określone. Sąd krajowy nie wziął pod uwagę kryteriów równowagi z orzecznictwa Trybunału, rozważając wyłącznie kryterium interesu publicznego. W każdym razie nie</w:t>
      </w:r>
      <w:r w:rsidR="00E91B95">
        <w:t> </w:t>
      </w:r>
      <w:r w:rsidR="008E4DD7">
        <w:t>powinien istnieć górny limit ilościowy informacji podlegających publikacji.</w:t>
      </w:r>
    </w:p>
    <w:p w14:paraId="6628A3FC" w14:textId="1B3367FF" w:rsidR="008E4DD7" w:rsidRPr="00841658" w:rsidRDefault="008E4DD7" w:rsidP="0094714F">
      <w:pPr>
        <w:pStyle w:val="ECHRHeading3"/>
      </w:pPr>
      <w:r>
        <w:t>2.</w:t>
      </w:r>
      <w:r w:rsidR="005A22F3">
        <w:t xml:space="preserve"> </w:t>
      </w:r>
      <w:r>
        <w:t>Rząd</w:t>
      </w:r>
    </w:p>
    <w:p w14:paraId="4027DC67" w14:textId="78C1389A" w:rsidR="008E4DD7" w:rsidRPr="00841658" w:rsidRDefault="005A22F3" w:rsidP="008C4721">
      <w:pPr>
        <w:pStyle w:val="ECHRPara"/>
      </w:pPr>
      <w:r>
        <w:t>106</w:t>
      </w:r>
      <w:r w:rsidR="008E4DD7">
        <w:t>.</w:t>
      </w:r>
      <w:r>
        <w:t xml:space="preserve"> </w:t>
      </w:r>
      <w:r w:rsidR="008E4DD7">
        <w:t>Rząd zgodził się, co do zasady, z ustaleniem Izby</w:t>
      </w:r>
      <w:r w:rsidR="0020297A">
        <w:t>,</w:t>
      </w:r>
      <w:r w:rsidR="008E4DD7">
        <w:t xml:space="preserve"> iż nie miało miejsca naruszenie, lecz podniósł, że nie doszło do</w:t>
      </w:r>
      <w:r w:rsidR="004921CD">
        <w:t xml:space="preserve"> ingerencji w prawo</w:t>
      </w:r>
      <w:r w:rsidR="008E4DD7">
        <w:t xml:space="preserve"> skarżących spółek do </w:t>
      </w:r>
      <w:r w:rsidR="004921CD">
        <w:t xml:space="preserve">przekazywania </w:t>
      </w:r>
      <w:r w:rsidR="008E4DD7">
        <w:t>informacji. Skarżące spółki nadal mogły zbierać i publikować publiczn</w:t>
      </w:r>
      <w:r w:rsidR="0020297A">
        <w:t>e dane podatkowe, pod warunkiem</w:t>
      </w:r>
      <w:r w:rsidR="008E4DD7">
        <w:t xml:space="preserve"> że</w:t>
      </w:r>
      <w:r w:rsidR="00E91B95">
        <w:t> </w:t>
      </w:r>
      <w:r w:rsidR="008E4DD7">
        <w:t>przestrzegały wymogów przepisów prawa o ochronie danych.</w:t>
      </w:r>
    </w:p>
    <w:p w14:paraId="543F3DCC" w14:textId="6BCAD06B" w:rsidR="008E4DD7" w:rsidRPr="00841658" w:rsidRDefault="005A22F3" w:rsidP="008C4721">
      <w:pPr>
        <w:pStyle w:val="ECHRPara"/>
      </w:pPr>
      <w:r>
        <w:t>107</w:t>
      </w:r>
      <w:r w:rsidR="008E4DD7">
        <w:t>.</w:t>
      </w:r>
      <w:r>
        <w:t xml:space="preserve"> </w:t>
      </w:r>
      <w:r w:rsidR="008E4DD7">
        <w:t>W przypadku gdy</w:t>
      </w:r>
      <w:r w:rsidR="0020297A">
        <w:t>by</w:t>
      </w:r>
      <w:r w:rsidR="008E4DD7">
        <w:t xml:space="preserve"> Trybunał uznał, że </w:t>
      </w:r>
      <w:r w:rsidR="004921CD">
        <w:t>ingerencja miała</w:t>
      </w:r>
      <w:r w:rsidR="008E4DD7">
        <w:t xml:space="preserve"> miejsce, Rząd zgodził się z ustaleniem Izby, że </w:t>
      </w:r>
      <w:r w:rsidR="004921CD">
        <w:t>ingerencja była przewidziana</w:t>
      </w:r>
      <w:r w:rsidR="008E4DD7">
        <w:t xml:space="preserve"> przez ustaw</w:t>
      </w:r>
      <w:r w:rsidR="004921CD">
        <w:t>ę i realizowała</w:t>
      </w:r>
      <w:r w:rsidR="008E4DD7">
        <w:t xml:space="preserve"> u</w:t>
      </w:r>
      <w:r w:rsidR="002652EB">
        <w:t>prawniony</w:t>
      </w:r>
      <w:r w:rsidR="008E4DD7">
        <w:t xml:space="preserve"> cel chronienia </w:t>
      </w:r>
      <w:r w:rsidR="0020297A">
        <w:t xml:space="preserve">dobrego imienia </w:t>
      </w:r>
      <w:r w:rsidR="008E4DD7">
        <w:t>lub praw innych</w:t>
      </w:r>
      <w:r w:rsidR="0020297A">
        <w:t xml:space="preserve"> osób</w:t>
      </w:r>
      <w:r w:rsidR="008E4DD7">
        <w:t>. Jeśli chodzi o dalsze pytanie</w:t>
      </w:r>
      <w:r w:rsidR="004921CD">
        <w:t>,</w:t>
      </w:r>
      <w:r w:rsidR="008E4DD7">
        <w:t xml:space="preserve"> czy </w:t>
      </w:r>
      <w:r w:rsidR="004921CD">
        <w:t xml:space="preserve">ingerencja </w:t>
      </w:r>
      <w:r w:rsidR="008E4DD7">
        <w:t>był</w:t>
      </w:r>
      <w:r w:rsidR="004921CD">
        <w:t>a</w:t>
      </w:r>
      <w:r w:rsidR="008E4DD7">
        <w:t xml:space="preserve"> </w:t>
      </w:r>
      <w:r w:rsidR="004921CD">
        <w:t xml:space="preserve">niezbędna </w:t>
      </w:r>
      <w:r w:rsidR="008E4DD7">
        <w:lastRenderedPageBreak/>
        <w:t>w</w:t>
      </w:r>
      <w:r w:rsidR="00E91B95">
        <w:t> </w:t>
      </w:r>
      <w:r w:rsidR="008E4DD7">
        <w:t xml:space="preserve">społeczeństwie demokratycznym, Rząd </w:t>
      </w:r>
      <w:r w:rsidR="0020297A">
        <w:t>po</w:t>
      </w:r>
      <w:r w:rsidR="008E4DD7">
        <w:t xml:space="preserve">dzielił pogląd Izby, że ogólny przedmiot [sprawy], tj. dane podatkowe dotyczące dochodu </w:t>
      </w:r>
      <w:r w:rsidR="0020297A">
        <w:t xml:space="preserve">osób fizycznych </w:t>
      </w:r>
      <w:r w:rsidR="008E4DD7">
        <w:t xml:space="preserve">podlegającego opodatkowaniu, jest kwestią interesu publicznego. Dane podatkowe były publicznie dostępne w Finlandii, lecz dostęp do nich oraz ich wykorzystanie musiało być zgodne z </w:t>
      </w:r>
      <w:r w:rsidR="009C4D21">
        <w:t>ustawą o danych osobowych oraz ustawą o jawności działań rządu.</w:t>
      </w:r>
      <w:r>
        <w:t xml:space="preserve"> </w:t>
      </w:r>
      <w:r w:rsidR="008E4DD7">
        <w:t xml:space="preserve">Dostępu publiczny do takich informacji nie oznacza, że takie informacje mogą być zawsze publikowane. Poszanowanie dla danych osobowych i prywatności </w:t>
      </w:r>
      <w:r w:rsidR="00757F6A">
        <w:t xml:space="preserve">na podstawie </w:t>
      </w:r>
      <w:r w:rsidR="00F6710B">
        <w:t>art.</w:t>
      </w:r>
      <w:r w:rsidR="0020297A">
        <w:t xml:space="preserve"> 8 Konwencji wymaga</w:t>
      </w:r>
      <w:r w:rsidR="008E4DD7">
        <w:t>, by ujawnienie takich informacji podlegało pewnym kontrolom.</w:t>
      </w:r>
    </w:p>
    <w:p w14:paraId="1932A7E8" w14:textId="5EAA93D4" w:rsidR="008E4DD7" w:rsidRPr="00841658" w:rsidRDefault="005A22F3" w:rsidP="008C4721">
      <w:pPr>
        <w:pStyle w:val="ECHRPara"/>
      </w:pPr>
      <w:r>
        <w:t>108</w:t>
      </w:r>
      <w:r w:rsidR="008E4DD7">
        <w:t>.</w:t>
      </w:r>
      <w:r>
        <w:t xml:space="preserve"> </w:t>
      </w:r>
      <w:r w:rsidR="008E4DD7">
        <w:t>Rząd podkreślił, że skarżące spółki wnios</w:t>
      </w:r>
      <w:r w:rsidR="0020297A">
        <w:t>kowa</w:t>
      </w:r>
      <w:r w:rsidR="008E4DD7">
        <w:t xml:space="preserve">ły o przedmiotowe dane </w:t>
      </w:r>
      <w:r w:rsidR="0020297A">
        <w:t xml:space="preserve">do </w:t>
      </w:r>
      <w:r w:rsidR="008E4DD7">
        <w:t xml:space="preserve">Krajowej Rady Podatkowej w latach 2000 i 2001. Na podstawie opinii otrzymanej przez Radę </w:t>
      </w:r>
      <w:r w:rsidR="00757F6A">
        <w:t>od Rzecznika ds. Ochrony Danych</w:t>
      </w:r>
      <w:r w:rsidR="008E4DD7">
        <w:t xml:space="preserve"> Rada poprosiła</w:t>
      </w:r>
      <w:r w:rsidR="00D9277A">
        <w:t>,</w:t>
      </w:r>
      <w:r w:rsidR="008E4DD7">
        <w:t xml:space="preserve"> by skarżące spółki przedstawiły dalsze informacje dotyczące ich wniosku</w:t>
      </w:r>
      <w:r w:rsidR="0020297A">
        <w:t>,</w:t>
      </w:r>
      <w:r w:rsidR="008E4DD7">
        <w:t xml:space="preserve"> oraz wskazała, że dane nie mog</w:t>
      </w:r>
      <w:r w:rsidR="0020297A">
        <w:t>ą</w:t>
      </w:r>
      <w:r w:rsidR="008E4DD7">
        <w:t xml:space="preserve"> być ujawnione, jeżeli metody publikowania </w:t>
      </w:r>
      <w:r w:rsidR="008E4DD7">
        <w:rPr>
          <w:i/>
          <w:iCs/>
        </w:rPr>
        <w:t>Veropörssi</w:t>
      </w:r>
      <w:r w:rsidR="008E4DD7">
        <w:t xml:space="preserve"> nie ulegną zmianie. Skarżące spółki następnie wycofały swój wniosek, wyjaśniając, że przedstawią informacje Rzecznikowi ds. Ochrony Danych oraz Krajowej Radzie Podatkowej w</w:t>
      </w:r>
      <w:r w:rsidR="00E91B95">
        <w:t> </w:t>
      </w:r>
      <w:r w:rsidR="008E4DD7">
        <w:t xml:space="preserve">kolejnym roku, czego nigdy nie zrobiły. </w:t>
      </w:r>
      <w:r w:rsidR="0020297A">
        <w:t xml:space="preserve">Zamiast tego </w:t>
      </w:r>
      <w:r w:rsidR="008E4DD7">
        <w:t>zatrudniły osoby do</w:t>
      </w:r>
      <w:r w:rsidR="00E91B95">
        <w:t> </w:t>
      </w:r>
      <w:r w:rsidR="008E4DD7">
        <w:t>zbierania danych podatkowych ręcznie w lokalnych urzędach podatkowych.</w:t>
      </w:r>
    </w:p>
    <w:p w14:paraId="47603F3B" w14:textId="7C7D956D" w:rsidR="008E4DD7" w:rsidRPr="00841658" w:rsidRDefault="005A22F3" w:rsidP="008C4721">
      <w:pPr>
        <w:pStyle w:val="ECHRPara"/>
      </w:pPr>
      <w:r>
        <w:t>109</w:t>
      </w:r>
      <w:r w:rsidR="008E4DD7">
        <w:t>.</w:t>
      </w:r>
      <w:r>
        <w:t xml:space="preserve"> </w:t>
      </w:r>
      <w:r w:rsidR="008E4DD7">
        <w:t xml:space="preserve">Rząd wskazał, iż zgodnie z Wytycznymi dla Dziennikarzy, które obowiązywały w przedmiotowym czasie, prawo do prywatności miało również zastosowanie do publikacji dokumentów publicznych czy też innych informacji pochodzących ze źródeł publicznych. Wytyczne jasno wskazywały, że </w:t>
      </w:r>
      <w:r w:rsidR="0020297A">
        <w:t xml:space="preserve">publiczna </w:t>
      </w:r>
      <w:r w:rsidR="008E4DD7">
        <w:t>dostępność informacji nie oznacza, że mog</w:t>
      </w:r>
      <w:r w:rsidR="0020297A">
        <w:t>ą</w:t>
      </w:r>
      <w:r w:rsidR="008E4DD7">
        <w:t xml:space="preserve"> być swobodnie publikowane.</w:t>
      </w:r>
    </w:p>
    <w:p w14:paraId="52668D01" w14:textId="50F608B4" w:rsidR="008E4DD7" w:rsidRPr="00841658" w:rsidRDefault="005A22F3" w:rsidP="008C4721">
      <w:pPr>
        <w:pStyle w:val="ECHRPara"/>
      </w:pPr>
      <w:r>
        <w:t>110</w:t>
      </w:r>
      <w:r w:rsidR="008E4DD7">
        <w:t>.</w:t>
      </w:r>
      <w:r>
        <w:t xml:space="preserve"> </w:t>
      </w:r>
      <w:r w:rsidR="008E4DD7">
        <w:t xml:space="preserve">Rząd wskazał, iż jak </w:t>
      </w:r>
      <w:r w:rsidR="0020297A">
        <w:t xml:space="preserve">to jasno wskazały </w:t>
      </w:r>
      <w:r w:rsidR="008E4DD7">
        <w:t>sądy krajowe, sposób i</w:t>
      </w:r>
      <w:r w:rsidR="00E91B95">
        <w:t> </w:t>
      </w:r>
      <w:r w:rsidR="008E4DD7">
        <w:t xml:space="preserve">zakres publikacji są istotne. Dane publikowane w </w:t>
      </w:r>
      <w:r w:rsidR="008E4DD7">
        <w:rPr>
          <w:i/>
          <w:iCs/>
        </w:rPr>
        <w:t>Veropörssi</w:t>
      </w:r>
      <w:r w:rsidR="008E4DD7">
        <w:t xml:space="preserve"> obejmowały dane dotyczące 1,2 miliona osób, nieomal jedną trzecią wszystkich podatników w Finlandii. Inne media w Finlandii publikowały dane podatkowe dotyczące od 50 000 do 100 000 osób rocznie, co </w:t>
      </w:r>
      <w:r w:rsidR="0020297A">
        <w:t>stanowiło znacznie mniejszą ilość</w:t>
      </w:r>
      <w:r w:rsidR="008E4DD7">
        <w:t xml:space="preserve"> danych niż w przypadku skarżących spółek. Spółki te publikowały, bez przeprowadzania jakichkolwiek analiz, dane osób o</w:t>
      </w:r>
      <w:r w:rsidR="00E91B95">
        <w:t> </w:t>
      </w:r>
      <w:r w:rsidR="008E4DD7">
        <w:t>niskich lub średnich dochodach, które nie były osobami publicznymi i</w:t>
      </w:r>
      <w:r w:rsidR="00E91B95">
        <w:t> </w:t>
      </w:r>
      <w:r w:rsidR="008E4DD7">
        <w:t>nie</w:t>
      </w:r>
      <w:r w:rsidR="00E91B95">
        <w:t> </w:t>
      </w:r>
      <w:r w:rsidR="008E4DD7">
        <w:t xml:space="preserve">zajmowały żadnych istotnych stanowisk w społeczeństwie. A zatem ich działalności </w:t>
      </w:r>
      <w:r w:rsidR="0020297A">
        <w:t xml:space="preserve">publikacyjnej </w:t>
      </w:r>
      <w:r w:rsidR="008E4DD7">
        <w:t>nie można był</w:t>
      </w:r>
      <w:r w:rsidR="0020297A">
        <w:t>o postrzegać jako dziennikarstwa</w:t>
      </w:r>
      <w:r w:rsidR="008E4DD7">
        <w:t xml:space="preserve"> informacyjne</w:t>
      </w:r>
      <w:r w:rsidR="0020297A">
        <w:t>go</w:t>
      </w:r>
      <w:r w:rsidR="008E4DD7">
        <w:t xml:space="preserve">, którego celem było wyciąganie wniosków z takich danych i zwracanie uwagi na kwestie mające znaczenie dla interesu publicznego na potrzeby debaty publicznej. Taki rodzaj publikowania nie przyczyniał się do debaty publicznej w sposób, który przewyższał interes publiczny w postaci ochrony przetwarzania danych osobowych w opisanym zakresie; głównie zaspokajał ciekawość czytelników. Skarżącym spółkom </w:t>
      </w:r>
      <w:r w:rsidR="008E4DD7">
        <w:lastRenderedPageBreak/>
        <w:t>nie uniemożliwiono publikowania danych podatkowych jako takich ani uczestniczenia w debacie publicznej w kwestii mającej znaczenie ogólne.</w:t>
      </w:r>
    </w:p>
    <w:p w14:paraId="433C3FA5" w14:textId="34635895" w:rsidR="008E4DD7" w:rsidRPr="00841658" w:rsidRDefault="005A22F3" w:rsidP="008C4721">
      <w:pPr>
        <w:pStyle w:val="ECHRPara"/>
      </w:pPr>
      <w:r>
        <w:t>111</w:t>
      </w:r>
      <w:r w:rsidR="008E4DD7">
        <w:t>.</w:t>
      </w:r>
      <w:r>
        <w:t xml:space="preserve"> </w:t>
      </w:r>
      <w:r w:rsidR="008E4DD7">
        <w:t xml:space="preserve">Jeżeli interes publiczny w postaci zapewnienia transparentności danych podatkowych wymaga możliwości ich ujawnienia przez, przykładowo, publikowanie danych przez media, Rząd </w:t>
      </w:r>
      <w:r w:rsidR="0020297A">
        <w:t xml:space="preserve">prezentował </w:t>
      </w:r>
      <w:r w:rsidR="008E4DD7">
        <w:t>pogląd, że cel ten mógłby być osiągnięty bez przetwarzania danych osobowych w</w:t>
      </w:r>
      <w:r w:rsidR="00E91B95">
        <w:t> </w:t>
      </w:r>
      <w:r w:rsidR="008E4DD7">
        <w:t xml:space="preserve">zakresie zabronionym </w:t>
      </w:r>
      <w:r w:rsidR="009C4D21">
        <w:t>ustawą o ochronie danych</w:t>
      </w:r>
      <w:r w:rsidR="008E4DD7">
        <w:t xml:space="preserve"> i </w:t>
      </w:r>
      <w:r w:rsidR="009C4D21">
        <w:t>dyrektywą o ochronie danych</w:t>
      </w:r>
      <w:r w:rsidR="008E4DD7">
        <w:t xml:space="preserve">. Niniejsza sprawa różni się od sprawy </w:t>
      </w:r>
      <w:proofErr w:type="spellStart"/>
      <w:r w:rsidR="008E4DD7">
        <w:rPr>
          <w:i/>
          <w:iCs/>
        </w:rPr>
        <w:t>Fressoz</w:t>
      </w:r>
      <w:proofErr w:type="spellEnd"/>
      <w:r w:rsidR="008E4DD7">
        <w:rPr>
          <w:i/>
          <w:iCs/>
        </w:rPr>
        <w:t xml:space="preserve"> i </w:t>
      </w:r>
      <w:proofErr w:type="spellStart"/>
      <w:r w:rsidR="008E4DD7">
        <w:rPr>
          <w:i/>
          <w:iCs/>
        </w:rPr>
        <w:t>Roire</w:t>
      </w:r>
      <w:proofErr w:type="spellEnd"/>
      <w:r w:rsidR="008E4DD7">
        <w:rPr>
          <w:i/>
          <w:iCs/>
        </w:rPr>
        <w:t xml:space="preserve"> przeciwko Francji</w:t>
      </w:r>
      <w:r w:rsidR="008E4DD7">
        <w:t>, cyt. powyżej, w której publikacja danych dotyczyła jednej osoby mającej kluczowe znaczenie w debacie publicznej na temat społecznie istotnej kwestii. Wbrew zarzutom skarżących spółek przedmiotowa sprawa nie była abstrakcyjna i hipotetyczna. Osoby prywatne odczuły skutki ich</w:t>
      </w:r>
      <w:r w:rsidR="00E91B95">
        <w:t> </w:t>
      </w:r>
      <w:r w:rsidR="008E4DD7">
        <w:t>działalności: w latach 2000 - 2010 Rzecznik ds. Ochrony Danych otrzymał szereg skarg wnoszących o jego interwencję. Istniała zatem społeczna presja</w:t>
      </w:r>
      <w:r w:rsidR="001D68ED">
        <w:t>,</w:t>
      </w:r>
      <w:r w:rsidR="008E4DD7">
        <w:t xml:space="preserve"> by chronić życie prywatne na mocy </w:t>
      </w:r>
      <w:r w:rsidR="00F6710B">
        <w:t>art.</w:t>
      </w:r>
      <w:r w:rsidR="008E4DD7">
        <w:t xml:space="preserve"> 8 Konwencji.</w:t>
      </w:r>
    </w:p>
    <w:p w14:paraId="79628670" w14:textId="14C0F5A2" w:rsidR="008E4DD7" w:rsidRPr="00841658" w:rsidRDefault="005A22F3" w:rsidP="008C4721">
      <w:pPr>
        <w:pStyle w:val="ECHRPara"/>
      </w:pPr>
      <w:r>
        <w:t>112</w:t>
      </w:r>
      <w:r w:rsidR="008E4DD7">
        <w:t>.</w:t>
      </w:r>
      <w:r>
        <w:t xml:space="preserve"> </w:t>
      </w:r>
      <w:r w:rsidR="008E4DD7">
        <w:t xml:space="preserve">W zakresie interpretacji </w:t>
      </w:r>
      <w:r w:rsidR="009C4D21">
        <w:t>dyrektywy o ochronie danych</w:t>
      </w:r>
      <w:r w:rsidR="008E4DD7">
        <w:t xml:space="preserve"> TSUE odnotował w swoim orzeczeniu prejudycjalnym w przedmiotowej sprawie, iż niezbędne było interpretowanie pojęcia dziennikarstwa szeroko, oraz</w:t>
      </w:r>
      <w:r w:rsidR="00E91B95">
        <w:t> </w:t>
      </w:r>
      <w:r w:rsidR="008E4DD7">
        <w:t>że</w:t>
      </w:r>
      <w:r w:rsidR="00E91B95">
        <w:t> </w:t>
      </w:r>
      <w:r w:rsidR="008E4DD7" w:rsidRPr="007B68CA">
        <w:t>derogacje i</w:t>
      </w:r>
      <w:r w:rsidR="008E4DD7">
        <w:t xml:space="preserve"> ograniczenia </w:t>
      </w:r>
      <w:r w:rsidR="001D68ED">
        <w:t xml:space="preserve">w odniesieniu do </w:t>
      </w:r>
      <w:r w:rsidR="008E4DD7">
        <w:t xml:space="preserve">ochrony danych miały zastosowanie tylko w takim zakresie, w jakim było to ściśle niezbędne. Skarżącym spółkom nigdy nie uniemożliwiono publikowania danych podatkowych ogółem. Mogły, gdyby chciały, skorygować swoje działania tak, by były one zgodne z </w:t>
      </w:r>
      <w:r w:rsidR="009C4D21">
        <w:t>ustawą o danych osobowych</w:t>
      </w:r>
      <w:r w:rsidR="008E4DD7">
        <w:t>.</w:t>
      </w:r>
    </w:p>
    <w:p w14:paraId="53CC6D4C" w14:textId="624A2B83" w:rsidR="008E4DD7" w:rsidRPr="00841658" w:rsidRDefault="005A22F3" w:rsidP="008C4721">
      <w:pPr>
        <w:pStyle w:val="ECHRPara"/>
      </w:pPr>
      <w:r>
        <w:t>113</w:t>
      </w:r>
      <w:r w:rsidR="008E4DD7">
        <w:t>.</w:t>
      </w:r>
      <w:r>
        <w:t xml:space="preserve"> </w:t>
      </w:r>
      <w:r w:rsidR="008E4DD7">
        <w:t xml:space="preserve">W odniesieniu do marginesu </w:t>
      </w:r>
      <w:r w:rsidR="002652EB">
        <w:t>oceny</w:t>
      </w:r>
      <w:r w:rsidR="008E4DD7">
        <w:t xml:space="preserve"> Rząd podkreślił, podobnie jak</w:t>
      </w:r>
      <w:r w:rsidR="00E91B95">
        <w:t> </w:t>
      </w:r>
      <w:r w:rsidR="008E4DD7">
        <w:t>Izba, że Trybunał potrzebowałby poważnych powodów</w:t>
      </w:r>
      <w:r w:rsidR="001D68ED">
        <w:t>,</w:t>
      </w:r>
      <w:r w:rsidR="008E4DD7">
        <w:t xml:space="preserve"> by zastąpić własnymi poglądami poglądy sądów krajowych. Sądy krajowe działały w</w:t>
      </w:r>
      <w:r w:rsidR="00E91B95">
        <w:t> </w:t>
      </w:r>
      <w:r w:rsidR="008E4DD7">
        <w:t>ramach marginesu</w:t>
      </w:r>
      <w:r w:rsidR="002652EB">
        <w:t xml:space="preserve"> oceny</w:t>
      </w:r>
      <w:r w:rsidR="008E4DD7">
        <w:t xml:space="preserve">, jakim dysponowały, i ustaliły sprawiedliwą równowagę pomiędzy konkurencyjnymi interesami w przedmiotowej sprawie. </w:t>
      </w:r>
      <w:r w:rsidR="004921CD">
        <w:t>Ingerencja, o której</w:t>
      </w:r>
      <w:r w:rsidR="008E4DD7">
        <w:t xml:space="preserve"> mowa w skardze, był</w:t>
      </w:r>
      <w:r w:rsidR="004921CD">
        <w:t>a</w:t>
      </w:r>
      <w:r w:rsidR="008E4DD7">
        <w:t xml:space="preserve"> „niezbędn</w:t>
      </w:r>
      <w:r w:rsidR="004921CD">
        <w:t>a</w:t>
      </w:r>
      <w:r w:rsidR="008E4DD7">
        <w:t xml:space="preserve"> w</w:t>
      </w:r>
      <w:r w:rsidR="00E91B95">
        <w:t> </w:t>
      </w:r>
      <w:r w:rsidR="008E4DD7">
        <w:t>społeczeństwie</w:t>
      </w:r>
      <w:r w:rsidR="00E4281A" w:rsidRPr="00E4281A">
        <w:t xml:space="preserve"> </w:t>
      </w:r>
      <w:r w:rsidR="00E4281A">
        <w:t>demokratycznym</w:t>
      </w:r>
      <w:r w:rsidR="008E4DD7">
        <w:t xml:space="preserve">” i nie doszło do naruszenia </w:t>
      </w:r>
      <w:r w:rsidR="00F6710B">
        <w:t>art.</w:t>
      </w:r>
      <w:r w:rsidR="008E4DD7">
        <w:t xml:space="preserve"> 10 Konwencji.</w:t>
      </w:r>
    </w:p>
    <w:p w14:paraId="6489EB20" w14:textId="77777777" w:rsidR="008E4DD7" w:rsidRPr="009C4D21" w:rsidRDefault="008E4DD7" w:rsidP="0094714F">
      <w:pPr>
        <w:pStyle w:val="ECHRHeading2"/>
        <w:rPr>
          <w:sz w:val="24"/>
        </w:rPr>
      </w:pPr>
      <w:r w:rsidRPr="009C4D21">
        <w:rPr>
          <w:sz w:val="24"/>
        </w:rPr>
        <w:t>C. Uwagi stron trzecich</w:t>
      </w:r>
    </w:p>
    <w:p w14:paraId="1A0E27C2" w14:textId="1F1E0E2B" w:rsidR="008E4DD7" w:rsidRPr="00841658" w:rsidRDefault="008E4DD7" w:rsidP="0094714F">
      <w:pPr>
        <w:pStyle w:val="ECHRHeading3"/>
      </w:pPr>
      <w:r>
        <w:t>1.</w:t>
      </w:r>
      <w:r w:rsidR="005A22F3">
        <w:t xml:space="preserve"> </w:t>
      </w:r>
      <w:r>
        <w:t>The European Information Society Institute [Europejski Instytut Społeczeństwa Informacyjnego]</w:t>
      </w:r>
    </w:p>
    <w:p w14:paraId="2C17FDFE" w14:textId="14C85296" w:rsidR="008E4DD7" w:rsidRPr="00841658" w:rsidRDefault="005A22F3" w:rsidP="008C4721">
      <w:pPr>
        <w:pStyle w:val="ECHRPara"/>
      </w:pPr>
      <w:r>
        <w:t>114</w:t>
      </w:r>
      <w:r w:rsidR="008E4DD7">
        <w:t>.</w:t>
      </w:r>
      <w:r>
        <w:t xml:space="preserve"> </w:t>
      </w:r>
      <w:r w:rsidR="001B50BB" w:rsidRPr="001B50BB">
        <w:t xml:space="preserve">Europejski Instytut Społeczeństwa Informacyjnego </w:t>
      </w:r>
      <w:r w:rsidR="008E4DD7">
        <w:t>odnotował, iż</w:t>
      </w:r>
      <w:r w:rsidR="00F933C1">
        <w:t> </w:t>
      </w:r>
      <w:r w:rsidR="008E4DD7">
        <w:t>dziennikarstwo in</w:t>
      </w:r>
      <w:r w:rsidR="001D68ED">
        <w:t>formacyjne obejmuje udostępnia</w:t>
      </w:r>
      <w:r w:rsidR="008E4DD7">
        <w:t xml:space="preserve">nie już istniejących informacji w taki sposób, by były one bardziej przydatne dla opinii publicznej. Przetwarzanie i analizowanie dostępnych danych na konkretny temat </w:t>
      </w:r>
      <w:r w:rsidR="001D68ED">
        <w:t>jest</w:t>
      </w:r>
      <w:r w:rsidR="008E4DD7">
        <w:t xml:space="preserve"> </w:t>
      </w:r>
      <w:r w:rsidR="001D68ED">
        <w:t xml:space="preserve">również </w:t>
      </w:r>
      <w:r w:rsidR="008E4DD7">
        <w:t xml:space="preserve">istotnym działaniem dziennikarskim samo w sobie. Usunięcie ochrony z </w:t>
      </w:r>
      <w:r w:rsidR="00F6710B">
        <w:t>art.</w:t>
      </w:r>
      <w:r w:rsidR="008E4DD7">
        <w:t xml:space="preserve"> 10 </w:t>
      </w:r>
      <w:r w:rsidR="001B50BB">
        <w:t xml:space="preserve">w stosunku do </w:t>
      </w:r>
      <w:r w:rsidR="008E4DD7">
        <w:t xml:space="preserve">publikacji baz danych przez dziennikarzy zagroziłoby ochronie, </w:t>
      </w:r>
      <w:r w:rsidR="001B50BB">
        <w:t>jaka</w:t>
      </w:r>
      <w:r w:rsidR="008E4DD7">
        <w:t xml:space="preserve"> powinna być zapewniana </w:t>
      </w:r>
      <w:r w:rsidR="001D68ED">
        <w:lastRenderedPageBreak/>
        <w:t>dla</w:t>
      </w:r>
      <w:r w:rsidR="00F933C1">
        <w:t> </w:t>
      </w:r>
      <w:r w:rsidR="001D68ED">
        <w:t>szerokiego zakresu</w:t>
      </w:r>
      <w:r w:rsidR="008E4DD7">
        <w:t xml:space="preserve"> działań, w </w:t>
      </w:r>
      <w:r w:rsidR="001D68ED">
        <w:t>jakie</w:t>
      </w:r>
      <w:r w:rsidR="008E4DD7">
        <w:t xml:space="preserve"> angażują się dziennikarze</w:t>
      </w:r>
      <w:r w:rsidR="001D68ED">
        <w:t>,</w:t>
      </w:r>
      <w:r w:rsidR="008E4DD7">
        <w:t xml:space="preserve"> by</w:t>
      </w:r>
      <w:r w:rsidR="00F933C1">
        <w:t> </w:t>
      </w:r>
      <w:r w:rsidR="008E4DD7">
        <w:t xml:space="preserve">przekazywać informacje opinii publicznej. Jeżeli wykorzystanie nowych technologii nie </w:t>
      </w:r>
      <w:r w:rsidR="001D68ED">
        <w:t>mogłoby być</w:t>
      </w:r>
      <w:r w:rsidR="008E4DD7">
        <w:t xml:space="preserve"> chronione z mocy </w:t>
      </w:r>
      <w:r w:rsidR="00F6710B">
        <w:t>art.</w:t>
      </w:r>
      <w:r w:rsidR="00E91B95">
        <w:t> </w:t>
      </w:r>
      <w:r w:rsidR="008E4DD7">
        <w:t>10, prawo do</w:t>
      </w:r>
      <w:r w:rsidR="00F933C1">
        <w:t> </w:t>
      </w:r>
      <w:r w:rsidR="008E4DD7">
        <w:t xml:space="preserve">przekazywania informacji </w:t>
      </w:r>
      <w:r w:rsidR="001B50BB">
        <w:t xml:space="preserve">i </w:t>
      </w:r>
      <w:r w:rsidR="008E4DD7">
        <w:t>do ich otrzymywania byłoby poważnie ograniczone.</w:t>
      </w:r>
    </w:p>
    <w:p w14:paraId="2F77BBD0" w14:textId="49D11FC6" w:rsidR="008E4DD7" w:rsidRPr="00841658" w:rsidRDefault="005A22F3" w:rsidP="008C4721">
      <w:pPr>
        <w:pStyle w:val="ECHRPara"/>
      </w:pPr>
      <w:r>
        <w:t>115</w:t>
      </w:r>
      <w:r w:rsidR="008E4DD7">
        <w:t>.</w:t>
      </w:r>
      <w:r>
        <w:t xml:space="preserve"> </w:t>
      </w:r>
      <w:r w:rsidR="008E4DD7">
        <w:t xml:space="preserve">Tradycyjne kryteria definiowania limitów dotyczących ilości informacji, jakie mogą być publikowane i przetwarzane przez podmioty </w:t>
      </w:r>
      <w:r w:rsidR="008E4DD7" w:rsidRPr="007D3CC6">
        <w:t>[osoby] prywatne</w:t>
      </w:r>
      <w:r w:rsidR="001D68ED" w:rsidRPr="007D3CC6">
        <w:t>,</w:t>
      </w:r>
      <w:r w:rsidR="008E4DD7" w:rsidRPr="007D3CC6">
        <w:t xml:space="preserve"> nie </w:t>
      </w:r>
      <w:r w:rsidR="001D68ED" w:rsidRPr="007D3CC6">
        <w:t>są</w:t>
      </w:r>
      <w:r w:rsidR="008E4DD7" w:rsidRPr="007D3CC6">
        <w:t xml:space="preserve"> </w:t>
      </w:r>
      <w:r w:rsidR="001D68ED" w:rsidRPr="007D3CC6">
        <w:t xml:space="preserve">odpowiednie </w:t>
      </w:r>
      <w:r w:rsidR="008E4DD7" w:rsidRPr="007D3CC6">
        <w:t>do</w:t>
      </w:r>
      <w:r w:rsidR="008E4DD7">
        <w:t xml:space="preserve"> równoważenia napięć spowodowanych przez dziennikarstwo informacyjne. Czynniki równowagi użyte uprzednio przez Trybunał nie były przydatne w sprawach takich jak ta. Kiedy dziennikarze udostępniają dane w interesie publicznym, ich działania powinny być wspierane w społeczeństwie obywatelskim – a nie uciszane. </w:t>
      </w:r>
      <w:r w:rsidR="001D68ED" w:rsidRPr="001D68ED">
        <w:t>Europejski Instytut Społeczeństwa Informacyjnego</w:t>
      </w:r>
      <w:r w:rsidR="008E4DD7">
        <w:t xml:space="preserve"> zasugerował zatem, że Trybunał m</w:t>
      </w:r>
      <w:r w:rsidR="001D68ED">
        <w:t>ógłby</w:t>
      </w:r>
      <w:r w:rsidR="008E4DD7">
        <w:t xml:space="preserve"> przeanalizować ponownie swoją metodę stosowania istniejącego orzecznictwa w sprawach, gdzie dziennikarze przetwarzają informacje w celu przekazywania ich opinii publicznej. Należy rozszerzyć ochronę z </w:t>
      </w:r>
      <w:r w:rsidR="00F6710B">
        <w:t>art.</w:t>
      </w:r>
      <w:r w:rsidR="008E4DD7">
        <w:t xml:space="preserve"> 10 na innowacyjne formy dziennikarstwa i uznać, że standard ustalania</w:t>
      </w:r>
      <w:r w:rsidR="001D68ED">
        <w:t>,</w:t>
      </w:r>
      <w:r w:rsidR="008E4DD7">
        <w:t xml:space="preserve"> w jaki sposób </w:t>
      </w:r>
      <w:r w:rsidR="00F6710B">
        <w:t xml:space="preserve">art. </w:t>
      </w:r>
      <w:r w:rsidR="001D68ED">
        <w:t>10 chroni</w:t>
      </w:r>
      <w:r w:rsidR="008E4DD7">
        <w:t xml:space="preserve"> dziennikarzy zaangażowanych w przetwarzanie danych</w:t>
      </w:r>
      <w:r w:rsidR="001D68ED">
        <w:t>,</w:t>
      </w:r>
      <w:r w:rsidR="008E4DD7">
        <w:t xml:space="preserve"> mógłby mieć istotne konsekwencje.</w:t>
      </w:r>
    </w:p>
    <w:p w14:paraId="1F6CD96E" w14:textId="76BCC5CE" w:rsidR="008E4DD7" w:rsidRPr="00841658" w:rsidRDefault="008E4DD7" w:rsidP="0094714F">
      <w:pPr>
        <w:pStyle w:val="ECHRHeading3"/>
      </w:pPr>
      <w:r>
        <w:t>2.</w:t>
      </w:r>
      <w:r w:rsidR="005A22F3">
        <w:t xml:space="preserve"> </w:t>
      </w:r>
      <w:r>
        <w:t>NORDPLUS Law and Media Network [Sieć prawnicza i medialna NORDPLUS]</w:t>
      </w:r>
    </w:p>
    <w:p w14:paraId="2DDE13A6" w14:textId="366BE207" w:rsidR="008E4DD7" w:rsidRPr="00841658" w:rsidRDefault="005A22F3" w:rsidP="008C4721">
      <w:pPr>
        <w:pStyle w:val="ECHRPara"/>
      </w:pPr>
      <w:r>
        <w:t>116</w:t>
      </w:r>
      <w:r w:rsidR="008E4DD7">
        <w:t>.</w:t>
      </w:r>
      <w:r>
        <w:t xml:space="preserve"> </w:t>
      </w:r>
      <w:r w:rsidR="008E4DD7">
        <w:t xml:space="preserve">Sieć NORDPLUS </w:t>
      </w:r>
      <w:r w:rsidR="001D68ED">
        <w:t>zauważyła</w:t>
      </w:r>
      <w:r w:rsidR="008E4DD7">
        <w:t>, że ważne</w:t>
      </w:r>
      <w:r w:rsidR="001B6324">
        <w:t xml:space="preserve"> jest,</w:t>
      </w:r>
      <w:r w:rsidR="008E4DD7">
        <w:t xml:space="preserve"> by Trybunał opracował zasady dotyczące wolności wyrażania opinii w świetle warunków dzisiejszych oraz rozważył</w:t>
      </w:r>
      <w:r w:rsidR="001B6324">
        <w:t>, jak ustalone zasady stosują</w:t>
      </w:r>
      <w:r w:rsidR="008E4DD7">
        <w:t xml:space="preserve"> się w kontekście mediów cyfrowych. Wiele wytycznych ONZ, UE i OECD powoływały się na neutralność mediów i technologii przy zajmowaniu się środowiskiem mediów cyfrowych. Przedmiotowa sprawa oferowała kluczową możliwość zrewidowania obecnej definicji „dziennikarza”. Wytyczne UE wskazywały, że istniała potrzeba</w:t>
      </w:r>
      <w:r w:rsidR="001B6324">
        <w:t>,</w:t>
      </w:r>
      <w:r w:rsidR="008E4DD7">
        <w:t xml:space="preserve"> by wyjść poza pojęcie tradycyjnych dziennikarzy i</w:t>
      </w:r>
      <w:r w:rsidR="00E91B95">
        <w:t> </w:t>
      </w:r>
      <w:r w:rsidR="008E4DD7">
        <w:t>rozszerzyć to pojęcie na korzyść tych, których wolność do wyrażania opinii powinna być chroniona. Rozszerzony zakres powinien mieć również wpływ na test równowagi oraz jego potencjalną ponowną ocenę. Trybunał powinien dalej zająć się kwestią, czy idea „</w:t>
      </w:r>
      <w:r w:rsidR="000E1BE5">
        <w:t>skutku mrożącego</w:t>
      </w:r>
      <w:r w:rsidR="008E4DD7">
        <w:t>” powinna być postrzegana inaczej w środowisku nowych mediów.</w:t>
      </w:r>
    </w:p>
    <w:p w14:paraId="3BA4941B" w14:textId="4E4E8E5D" w:rsidR="008E4DD7" w:rsidRPr="00841658" w:rsidRDefault="005A22F3" w:rsidP="008C4721">
      <w:pPr>
        <w:pStyle w:val="ECHRPara"/>
      </w:pPr>
      <w:r>
        <w:t>117</w:t>
      </w:r>
      <w:r w:rsidR="008E4DD7">
        <w:t>.</w:t>
      </w:r>
      <w:r>
        <w:t xml:space="preserve"> </w:t>
      </w:r>
      <w:r w:rsidR="008E4DD7">
        <w:t>Dostęp do informacji był jednym z kamieni węgielnych uczestnictwa w debacie demokratycznej i warunkiem wstępnym dla</w:t>
      </w:r>
      <w:r w:rsidR="00E91B95">
        <w:t> </w:t>
      </w:r>
      <w:r w:rsidR="008E4DD7">
        <w:t>mediów</w:t>
      </w:r>
      <w:r w:rsidR="001B6324">
        <w:t>,</w:t>
      </w:r>
      <w:r w:rsidR="008E4DD7">
        <w:t xml:space="preserve"> by mogły wykonywać swoją rolę publicznego nadzorcy. Wiele krajów miało różne tradycje w zakresie udostępniania informacji publicznie. W Finlandii przejrzystość była bardzo ważną wartością społeczną. Sieć NORDPLUS podsumowała, iż orzecznictwo Trybunału wymaga dalszego wyjaśnienia</w:t>
      </w:r>
      <w:r w:rsidR="001B6324">
        <w:t>,</w:t>
      </w:r>
      <w:r w:rsidR="008E4DD7">
        <w:t xml:space="preserve"> aby ograniczyć niepewność, jaka powstała w zakresie wolności </w:t>
      </w:r>
      <w:r w:rsidR="008E4DD7">
        <w:lastRenderedPageBreak/>
        <w:t>wyrażania opinii oraz prawa do prywatności w środowisku mediów cyfrowych.</w:t>
      </w:r>
    </w:p>
    <w:p w14:paraId="33D2B09E" w14:textId="6414F9B0" w:rsidR="008E4DD7" w:rsidRPr="00841658" w:rsidRDefault="008E4DD7" w:rsidP="0094714F">
      <w:pPr>
        <w:pStyle w:val="ECHRHeading3"/>
      </w:pPr>
      <w:r>
        <w:t>3.</w:t>
      </w:r>
      <w:r w:rsidR="005A22F3">
        <w:t xml:space="preserve"> </w:t>
      </w:r>
      <w:r w:rsidR="00567584">
        <w:t xml:space="preserve">ARTYKUŁ </w:t>
      </w:r>
      <w:r>
        <w:t>19, Program Dostępu do Informacji oraz</w:t>
      </w:r>
      <w:r w:rsidR="005A22F3">
        <w:t xml:space="preserve"> </w:t>
      </w:r>
      <w:proofErr w:type="spellStart"/>
      <w:r>
        <w:t>Társaság</w:t>
      </w:r>
      <w:proofErr w:type="spellEnd"/>
      <w:r>
        <w:t xml:space="preserve"> a</w:t>
      </w:r>
      <w:r w:rsidR="00E91B95">
        <w:t> </w:t>
      </w:r>
      <w:proofErr w:type="spellStart"/>
      <w:r>
        <w:t>Szabadságjogokért</w:t>
      </w:r>
      <w:proofErr w:type="spellEnd"/>
    </w:p>
    <w:p w14:paraId="34CE6AF3" w14:textId="13BBD3CB" w:rsidR="008E4DD7" w:rsidRPr="00841658" w:rsidRDefault="005A22F3" w:rsidP="008C4721">
      <w:pPr>
        <w:pStyle w:val="ECHRPara"/>
      </w:pPr>
      <w:r>
        <w:t>118</w:t>
      </w:r>
      <w:r w:rsidR="008E4DD7">
        <w:t>.</w:t>
      </w:r>
      <w:r>
        <w:t xml:space="preserve"> </w:t>
      </w:r>
      <w:r w:rsidR="00C93F09">
        <w:t xml:space="preserve">Organizacje </w:t>
      </w:r>
      <w:r w:rsidR="00567584">
        <w:t xml:space="preserve">ARTYKUŁ </w:t>
      </w:r>
      <w:r w:rsidR="008E4DD7">
        <w:t>19, Program Dostępu do Informacji [ang.</w:t>
      </w:r>
      <w:r w:rsidR="00E91B95">
        <w:t> </w:t>
      </w:r>
      <w:r w:rsidR="008E4DD7">
        <w:t xml:space="preserve">Access to Information Programme] oraz </w:t>
      </w:r>
      <w:proofErr w:type="spellStart"/>
      <w:r w:rsidR="008E4DD7">
        <w:t>Társaság</w:t>
      </w:r>
      <w:proofErr w:type="spellEnd"/>
      <w:r w:rsidR="008E4DD7">
        <w:t xml:space="preserve"> a </w:t>
      </w:r>
      <w:proofErr w:type="spellStart"/>
      <w:r w:rsidR="008E4DD7">
        <w:t>Szabadságjogokért</w:t>
      </w:r>
      <w:proofErr w:type="spellEnd"/>
      <w:r w:rsidR="008E4DD7">
        <w:t xml:space="preserve"> </w:t>
      </w:r>
      <w:r w:rsidR="00C93F09">
        <w:t>zauważyły</w:t>
      </w:r>
      <w:r w:rsidR="008E4DD7">
        <w:t>, że TSUE w 2008 r. przyjął szeroką definicję dziennikarstwa w</w:t>
      </w:r>
      <w:r w:rsidR="00E91B95">
        <w:t> </w:t>
      </w:r>
      <w:r w:rsidR="008E4DD7">
        <w:t xml:space="preserve">sprawie </w:t>
      </w:r>
      <w:proofErr w:type="spellStart"/>
      <w:r w:rsidR="008E4DD7">
        <w:rPr>
          <w:i/>
          <w:iCs/>
        </w:rPr>
        <w:t>Satakunnan</w:t>
      </w:r>
      <w:proofErr w:type="spellEnd"/>
      <w:r w:rsidR="008E4DD7">
        <w:rPr>
          <w:i/>
          <w:iCs/>
        </w:rPr>
        <w:t xml:space="preserve"> </w:t>
      </w:r>
      <w:proofErr w:type="spellStart"/>
      <w:r w:rsidR="008E4DD7">
        <w:rPr>
          <w:i/>
          <w:iCs/>
        </w:rPr>
        <w:t>Markkinapörssi</w:t>
      </w:r>
      <w:proofErr w:type="spellEnd"/>
      <w:r w:rsidR="008E4DD7">
        <w:t>. Komitet Ministrów Rady Europy również zdefiniował dziennikarza szeroko, jako „każdą osobę fizyczną lub</w:t>
      </w:r>
      <w:r w:rsidR="00E91B95">
        <w:t> </w:t>
      </w:r>
      <w:r w:rsidR="008E4DD7">
        <w:t>prawną, która regularnie lub zawodowo angażuje [angażowała] się w</w:t>
      </w:r>
      <w:r w:rsidR="00E91B95">
        <w:t> </w:t>
      </w:r>
      <w:r w:rsidR="008E4DD7">
        <w:t>zbieranie i rozpowszechnianie informacji wśród opinii publicznej</w:t>
      </w:r>
      <w:r w:rsidR="00C93F09">
        <w:t>,</w:t>
      </w:r>
      <w:r w:rsidR="008E4DD7">
        <w:t xml:space="preserve"> używając dowolnych środków k</w:t>
      </w:r>
      <w:r w:rsidR="00C93F09">
        <w:t>omunikacji masowej”. W Irlandii</w:t>
      </w:r>
      <w:r w:rsidR="008E4DD7">
        <w:t xml:space="preserve"> Wysoki Trybunał rozszerzył przywileje dziennikarskie tak, by uwzględniały blogerów, a specjalny </w:t>
      </w:r>
      <w:r w:rsidR="00C93F09">
        <w:t xml:space="preserve">sprawozdawca </w:t>
      </w:r>
      <w:r w:rsidR="008E4DD7">
        <w:t>ONZ ds. wolności wypowiedzi odnotował w swoim raporcie z 2015 r., że osoby inne niż zawodowi dziennikarze realizują „ważną rolę kontrolerów publicznych”</w:t>
      </w:r>
      <w:r w:rsidR="00805CC2">
        <w:t xml:space="preserve"> (ang. </w:t>
      </w:r>
      <w:r w:rsidR="00805CC2" w:rsidRPr="00805CC2">
        <w:rPr>
          <w:i/>
        </w:rPr>
        <w:t xml:space="preserve">public </w:t>
      </w:r>
      <w:proofErr w:type="spellStart"/>
      <w:r w:rsidR="00805CC2" w:rsidRPr="00805CC2">
        <w:rPr>
          <w:i/>
        </w:rPr>
        <w:t>watchdog</w:t>
      </w:r>
      <w:proofErr w:type="spellEnd"/>
      <w:r w:rsidR="00805CC2">
        <w:t>)</w:t>
      </w:r>
      <w:r w:rsidR="008E4DD7">
        <w:t>. Trybunał zatem nie powinien określać standardu ochrony z</w:t>
      </w:r>
      <w:r w:rsidR="00E91B95">
        <w:t> </w:t>
      </w:r>
      <w:r w:rsidR="00F6710B">
        <w:t>art.</w:t>
      </w:r>
      <w:r w:rsidR="00E91B95">
        <w:t> </w:t>
      </w:r>
      <w:r w:rsidR="008E4DD7">
        <w:t>10 na poziomie niższym, niż wspomniano powyżej.</w:t>
      </w:r>
    </w:p>
    <w:p w14:paraId="6DE9C60A" w14:textId="7993081B" w:rsidR="008E4DD7" w:rsidRPr="00841658" w:rsidRDefault="005A22F3" w:rsidP="008C4721">
      <w:pPr>
        <w:pStyle w:val="ECHRPara"/>
      </w:pPr>
      <w:r>
        <w:t>119</w:t>
      </w:r>
      <w:r w:rsidR="008E4DD7">
        <w:t>.</w:t>
      </w:r>
      <w:r>
        <w:t xml:space="preserve"> </w:t>
      </w:r>
      <w:r w:rsidR="008E4DD7">
        <w:t>Ujawnianie publicznych danych osobowych mogłoby przyczynić się do dobra społeczeństwa poprzez zapewnianie przejrzystości oraz odpowiedzialności za działania tych, którzy posiadają władzę w</w:t>
      </w:r>
      <w:r w:rsidR="00E91B95">
        <w:t> </w:t>
      </w:r>
      <w:r w:rsidR="008E4DD7">
        <w:t>społeczeństwie, lub przeciwnie, tych, którzy angaż</w:t>
      </w:r>
      <w:r w:rsidR="00F81F62">
        <w:t>ują</w:t>
      </w:r>
      <w:r w:rsidR="008E4DD7">
        <w:t xml:space="preserve"> się w zachowania niezgodne z prawem. Publikowanie takich informacji nie zaspokaja jedynie ciekawości czytelników, lecz przyczynia się w sposób znaczny do realizacji dziennikarstwa w interesie publicznym. Argumenty te stają się tym bardziej</w:t>
      </w:r>
      <w:r w:rsidR="00F81F62">
        <w:t xml:space="preserve"> </w:t>
      </w:r>
      <w:r w:rsidR="00567584">
        <w:t>poważne</w:t>
      </w:r>
      <w:r w:rsidR="008E4DD7">
        <w:t>, jeżeli dane osobowe zostały wcześniej opublikowane przez państwo lub zostały w inny uznane za publiczne na mocy prawa krajowego. Fakt, iż</w:t>
      </w:r>
      <w:r w:rsidR="00E91B95">
        <w:t> </w:t>
      </w:r>
      <w:r w:rsidR="008E4DD7">
        <w:t xml:space="preserve">takie informacje </w:t>
      </w:r>
      <w:r w:rsidR="00567584">
        <w:t>są</w:t>
      </w:r>
      <w:r w:rsidR="008E4DD7">
        <w:t xml:space="preserve"> udostępnione publicznie</w:t>
      </w:r>
      <w:r w:rsidR="00F81F62">
        <w:t>, sugeruje, że istnieje</w:t>
      </w:r>
      <w:r w:rsidR="008E4DD7">
        <w:t xml:space="preserve"> interes publiczny dotyczący dostępu do takich informacji. Interes publiczny w publikow</w:t>
      </w:r>
      <w:r w:rsidR="00F81F62">
        <w:t>aniu takich informacji przeważa</w:t>
      </w:r>
      <w:r w:rsidR="008E4DD7">
        <w:t xml:space="preserve"> nad względami prywatności i,</w:t>
      </w:r>
      <w:r w:rsidR="00E91B95">
        <w:t> </w:t>
      </w:r>
      <w:r w:rsidR="008E4DD7">
        <w:t xml:space="preserve">po </w:t>
      </w:r>
      <w:r w:rsidR="00F81F62">
        <w:t>publikacji, informacje nie mogą</w:t>
      </w:r>
      <w:r w:rsidR="008E4DD7">
        <w:t xml:space="preserve"> być traktowane jako wyłącznie prywatne.</w:t>
      </w:r>
    </w:p>
    <w:p w14:paraId="3C5F5EB3" w14:textId="77777777" w:rsidR="008E4DD7" w:rsidRPr="009C4D21" w:rsidRDefault="008E4DD7" w:rsidP="0094714F">
      <w:pPr>
        <w:pStyle w:val="ECHRHeading2"/>
        <w:rPr>
          <w:sz w:val="24"/>
        </w:rPr>
      </w:pPr>
      <w:r w:rsidRPr="009C4D21">
        <w:rPr>
          <w:sz w:val="24"/>
        </w:rPr>
        <w:t>D. Ocena Trybunału</w:t>
      </w:r>
    </w:p>
    <w:p w14:paraId="31C0D69D" w14:textId="75E59C6D" w:rsidR="008E4DD7" w:rsidRPr="00841658" w:rsidRDefault="008E4DD7" w:rsidP="009940EF">
      <w:pPr>
        <w:pStyle w:val="ECHRHeading3"/>
      </w:pPr>
      <w:r>
        <w:t>1.</w:t>
      </w:r>
      <w:r w:rsidR="005A22F3">
        <w:t xml:space="preserve"> </w:t>
      </w:r>
      <w:r>
        <w:t>Wstępne uwagi dotyczące zakresu i kontekstu oceny Trybunału</w:t>
      </w:r>
    </w:p>
    <w:p w14:paraId="4DF619DA" w14:textId="49373942" w:rsidR="008E4DD7" w:rsidRPr="00841658" w:rsidRDefault="005A22F3" w:rsidP="008C4721">
      <w:pPr>
        <w:pStyle w:val="ECHRPara"/>
      </w:pPr>
      <w:r>
        <w:t>120</w:t>
      </w:r>
      <w:r w:rsidR="008E4DD7">
        <w:t>.</w:t>
      </w:r>
      <w:r>
        <w:t xml:space="preserve"> </w:t>
      </w:r>
      <w:r w:rsidR="008E4DD7">
        <w:t xml:space="preserve">Trybunał odnotowuje na wstępie, iż przedmiotowa sprawa jest nietypowa w zakresie takim, że dane podatkowe leżące u sedna sprawy były publicznie dostępne w Finlandii. Dodatkowo, jak podkreślały skarżące spółki, nie były one </w:t>
      </w:r>
      <w:r w:rsidR="00F81F62">
        <w:t>jedynymi</w:t>
      </w:r>
      <w:r w:rsidR="008E4DD7">
        <w:t xml:space="preserve"> </w:t>
      </w:r>
      <w:r w:rsidR="00F81F62">
        <w:t xml:space="preserve">podmiotami </w:t>
      </w:r>
      <w:r w:rsidR="008E4DD7">
        <w:t xml:space="preserve">wśród mediów w Finlandii, które zbierały, przetwarzały i publikowały dane podatkowe, takie jak dane, które </w:t>
      </w:r>
      <w:r w:rsidR="008E4DD7">
        <w:lastRenderedPageBreak/>
        <w:t xml:space="preserve">pojawiły się w </w:t>
      </w:r>
      <w:r w:rsidR="008E4DD7">
        <w:rPr>
          <w:i/>
          <w:iCs/>
        </w:rPr>
        <w:t>Veropörssi</w:t>
      </w:r>
      <w:r w:rsidR="008E4DD7">
        <w:t>. Ich publikacja różniła się od publikacji innych mediów sposobem publikacji oraz zakresem opublikowanych danych.</w:t>
      </w:r>
    </w:p>
    <w:p w14:paraId="754AB1B5" w14:textId="7E13C2C1" w:rsidR="008E4DD7" w:rsidRPr="00841658" w:rsidRDefault="005A22F3" w:rsidP="008C4721">
      <w:pPr>
        <w:pStyle w:val="ECHRPara"/>
      </w:pPr>
      <w:r>
        <w:t>121</w:t>
      </w:r>
      <w:r w:rsidR="008E4DD7">
        <w:t>.</w:t>
      </w:r>
      <w:r>
        <w:t xml:space="preserve"> </w:t>
      </w:r>
      <w:r w:rsidR="008E4DD7">
        <w:t xml:space="preserve">Dodatkowo, jak również wskazano w paragrafie 81 powyżej, tylko bardzo niewielka liczba państw członkowskich Rady Europy zapewnia dostęp publiczny do danych podatkowych, </w:t>
      </w:r>
      <w:r w:rsidR="00567584">
        <w:t xml:space="preserve">co </w:t>
      </w:r>
      <w:r w:rsidR="008E4DD7">
        <w:t xml:space="preserve">podnosi kwestie dotyczące marginesu </w:t>
      </w:r>
      <w:r w:rsidR="002652EB">
        <w:t>oceny, jaki</w:t>
      </w:r>
      <w:r w:rsidR="008E4DD7">
        <w:t xml:space="preserve"> ma Finlandia przy zapewnianiu i</w:t>
      </w:r>
      <w:r w:rsidR="00E91B95">
        <w:t> </w:t>
      </w:r>
      <w:r w:rsidR="008E4DD7">
        <w:t>regulowaniu dostępu publicznego do takich danych oraz uzgadnianiu tego dostępu z</w:t>
      </w:r>
      <w:r w:rsidR="00F933C1">
        <w:t> </w:t>
      </w:r>
      <w:r w:rsidR="008E4DD7">
        <w:t>wymogami reguł ochrony danych oraz prawa do wolności wyrażania opinii przez prasę.</w:t>
      </w:r>
    </w:p>
    <w:p w14:paraId="4D907413" w14:textId="4AFBEE4E" w:rsidR="008E4DD7" w:rsidRPr="00841658" w:rsidRDefault="005A22F3" w:rsidP="008C4721">
      <w:pPr>
        <w:pStyle w:val="ECHRPara"/>
      </w:pPr>
      <w:r>
        <w:t>122</w:t>
      </w:r>
      <w:r w:rsidR="008E4DD7">
        <w:t>.</w:t>
      </w:r>
      <w:r>
        <w:t xml:space="preserve"> </w:t>
      </w:r>
      <w:r w:rsidR="008E4DD7">
        <w:t>Mając na uwadze ten kontekst oraz fakt, że u sedna niniejszej sprawy leży pytanie, czy osiągnięto właściwą równowagę pomiędzy tym</w:t>
      </w:r>
      <w:r w:rsidR="00E91B95">
        <w:t> </w:t>
      </w:r>
      <w:r w:rsidR="008E4DD7">
        <w:t>prawem a prawem do prywatności w formie ujętej w krajowych przepisach o ochronie danych i dostępie do informacji, niezbędne jest na</w:t>
      </w:r>
      <w:r w:rsidR="00E91B95">
        <w:t> </w:t>
      </w:r>
      <w:r w:rsidR="008E4DD7">
        <w:t>wstępie określenie pewnych ogólnych zasad wywodzących się z</w:t>
      </w:r>
      <w:r w:rsidR="00E91B95">
        <w:t> </w:t>
      </w:r>
      <w:r w:rsidR="008E4DD7">
        <w:t xml:space="preserve">orzecznictwa Trybunału w sprawie </w:t>
      </w:r>
      <w:r w:rsidR="00F6710B">
        <w:t>art.</w:t>
      </w:r>
      <w:r w:rsidR="008E4DD7">
        <w:t xml:space="preserve"> 10 i wolności prasy z jednej strony, oraz w sprawie prawa do prywatności z </w:t>
      </w:r>
      <w:r w:rsidR="00F6710B">
        <w:t>art.</w:t>
      </w:r>
      <w:r w:rsidR="00805CC2">
        <w:t xml:space="preserve"> 8 Konwencji w</w:t>
      </w:r>
      <w:r w:rsidR="00E91B95">
        <w:t> </w:t>
      </w:r>
      <w:r w:rsidR="00805CC2">
        <w:t>szczególnym</w:t>
      </w:r>
      <w:r w:rsidR="008E4DD7">
        <w:t xml:space="preserve"> kontekście ochrony danych z drugiej strony.</w:t>
      </w:r>
    </w:p>
    <w:p w14:paraId="39C1D88A" w14:textId="15FE2880" w:rsidR="008E4DD7" w:rsidRPr="00841658" w:rsidRDefault="005A22F3" w:rsidP="008C4721">
      <w:pPr>
        <w:pStyle w:val="ECHRPara"/>
      </w:pPr>
      <w:r>
        <w:t>123</w:t>
      </w:r>
      <w:r w:rsidR="008E4DD7">
        <w:t>.</w:t>
      </w:r>
      <w:r>
        <w:t xml:space="preserve"> </w:t>
      </w:r>
      <w:r w:rsidR="008E4DD7">
        <w:t xml:space="preserve">Mając na uwadze potrzebę ochrony wartości leżących u podstaw Konwencji oraz zważywszy że prawa z </w:t>
      </w:r>
      <w:r w:rsidR="00F6710B">
        <w:t>art.</w:t>
      </w:r>
      <w:r w:rsidR="008E4DD7">
        <w:t xml:space="preserve"> 10 i </w:t>
      </w:r>
      <w:r w:rsidR="00F6710B">
        <w:t>art.</w:t>
      </w:r>
      <w:r w:rsidR="008E4DD7">
        <w:t xml:space="preserve"> 8 Konwencji wymagają równego poszanowania, niezwykle ważne jest</w:t>
      </w:r>
      <w:r w:rsidR="00805CC2">
        <w:t>,</w:t>
      </w:r>
      <w:r w:rsidR="008E4DD7">
        <w:t xml:space="preserve"> by pamiętać, iż równowaga, którą winny osiągnąć władze krajowe pomiędzy tymi dwoma prawami, musi starać się zachować istotę obu tych praw (zob. również </w:t>
      </w:r>
      <w:proofErr w:type="spellStart"/>
      <w:r w:rsidR="008E4DD7">
        <w:rPr>
          <w:i/>
          <w:iCs/>
        </w:rPr>
        <w:t>Delfi</w:t>
      </w:r>
      <w:proofErr w:type="spellEnd"/>
      <w:r w:rsidR="008E4DD7">
        <w:rPr>
          <w:i/>
          <w:iCs/>
        </w:rPr>
        <w:t xml:space="preserve"> AS</w:t>
      </w:r>
      <w:r w:rsidR="008E4DD7">
        <w:t xml:space="preserve"> </w:t>
      </w:r>
      <w:r w:rsidR="008E4DD7">
        <w:rPr>
          <w:i/>
          <w:iCs/>
        </w:rPr>
        <w:t xml:space="preserve">przeciwko Estonii </w:t>
      </w:r>
      <w:r w:rsidR="008E4DD7">
        <w:t>[WI], nr 64569/09, § 110, ECHR 2015).</w:t>
      </w:r>
    </w:p>
    <w:p w14:paraId="5C9D0597" w14:textId="52647584" w:rsidR="008E4DD7" w:rsidRPr="00841658" w:rsidRDefault="008E4DD7" w:rsidP="009940EF">
      <w:pPr>
        <w:pStyle w:val="ECHRHeading4"/>
      </w:pPr>
      <w:r>
        <w:t xml:space="preserve">(a) </w:t>
      </w:r>
      <w:r w:rsidR="00F6710B">
        <w:t xml:space="preserve">Art. </w:t>
      </w:r>
      <w:r>
        <w:t>10 i wolność prasy</w:t>
      </w:r>
    </w:p>
    <w:p w14:paraId="0EEC5B6F" w14:textId="1AF1AF98" w:rsidR="008E4DD7" w:rsidRPr="00C025DA" w:rsidRDefault="005A22F3" w:rsidP="008C4721">
      <w:pPr>
        <w:pStyle w:val="ECHRPara"/>
        <w:rPr>
          <w:i/>
          <w:iCs/>
        </w:rPr>
      </w:pPr>
      <w:r>
        <w:t>124</w:t>
      </w:r>
      <w:r w:rsidR="008E4DD7">
        <w:t>.</w:t>
      </w:r>
      <w:r>
        <w:t xml:space="preserve"> </w:t>
      </w:r>
      <w:r w:rsidR="008E4DD7">
        <w:t>Trybunał konsekwentnie utrzymywał, że wolność wyrażania opinii stanowi jeden z podstawowych fundamentów społeczeństwa demokratycznego i jeden z podstawowych warunków jego rozwoju oraz samo</w:t>
      </w:r>
      <w:r w:rsidR="00805CC2">
        <w:t>realizacji</w:t>
      </w:r>
      <w:r w:rsidR="008E4DD7">
        <w:t xml:space="preserve"> każdej osoby indywi</w:t>
      </w:r>
      <w:r w:rsidR="00805CC2">
        <w:t>dualnej. Zgodnie art. 10 ust. 2</w:t>
      </w:r>
      <w:r w:rsidR="008E4DD7">
        <w:t xml:space="preserve"> ma ona zastosowanie nie tylko do „informacji” czy też „idei”, które są przyjmowane z przychylnością lub uznawane za nieszkodliwe lub traktowane obojętnie, ale również do tych, które obrażają, szokują lub niepokoją. Takie są wymagania pluralizmu, tolerancji i otwartości umysłu, bez których nie istnieje „społeczeństwo demokratyczne”. </w:t>
      </w:r>
      <w:r w:rsidR="00805CC2">
        <w:t>J</w:t>
      </w:r>
      <w:r w:rsidR="008E4DD7">
        <w:t xml:space="preserve">ak określa to </w:t>
      </w:r>
      <w:r w:rsidR="00F6710B">
        <w:t xml:space="preserve">art. </w:t>
      </w:r>
      <w:r w:rsidR="008E4DD7">
        <w:t>10, wolność wyrażania opinii podlega wyjątkom, które muszą być jednakowoż interpretowane ściśle, a potrzeba ograniczeń musi być usta</w:t>
      </w:r>
      <w:r w:rsidR="00805CC2">
        <w:t>lana</w:t>
      </w:r>
      <w:r w:rsidR="008E4DD7">
        <w:t xml:space="preserve"> w sposób przekonujący (zob. </w:t>
      </w:r>
      <w:r w:rsidR="008E4DD7">
        <w:rPr>
          <w:i/>
          <w:iCs/>
        </w:rPr>
        <w:t xml:space="preserve">Von </w:t>
      </w:r>
      <w:proofErr w:type="spellStart"/>
      <w:r w:rsidR="008E4DD7">
        <w:rPr>
          <w:i/>
          <w:iCs/>
        </w:rPr>
        <w:t>Hannover</w:t>
      </w:r>
      <w:proofErr w:type="spellEnd"/>
      <w:r w:rsidR="008E4DD7">
        <w:rPr>
          <w:i/>
          <w:iCs/>
        </w:rPr>
        <w:t xml:space="preserve"> przeciwko Niemcom (nr 2)</w:t>
      </w:r>
      <w:r w:rsidR="008E4DD7">
        <w:t xml:space="preserve"> [WI], nr</w:t>
      </w:r>
      <w:r w:rsidR="00E91B95">
        <w:t> </w:t>
      </w:r>
      <w:r w:rsidR="008E4DD7">
        <w:t xml:space="preserve">40660/08 i 60641/08, § 101, ECHR 2012;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rPr>
          <w:i/>
          <w:iCs/>
        </w:rPr>
        <w:t xml:space="preserve"> przeciwko Francji</w:t>
      </w:r>
      <w:r w:rsidR="008E4DD7">
        <w:t xml:space="preserve"> [WI], nr 40454/07, § 88, ECHR 2015 (fragmenty); oraz </w:t>
      </w:r>
      <w:proofErr w:type="spellStart"/>
      <w:r w:rsidR="008E4DD7">
        <w:rPr>
          <w:i/>
          <w:iCs/>
        </w:rPr>
        <w:t>Bédat</w:t>
      </w:r>
      <w:proofErr w:type="spellEnd"/>
      <w:r w:rsidR="008E4DD7">
        <w:rPr>
          <w:i/>
          <w:iCs/>
        </w:rPr>
        <w:t xml:space="preserve"> przeciwko Szwajcarii </w:t>
      </w:r>
      <w:r w:rsidR="008E4DD7">
        <w:t>[WI], nr 56925/08, § 48, ECHR 2016).</w:t>
      </w:r>
    </w:p>
    <w:p w14:paraId="1C7C622E" w14:textId="572369E9" w:rsidR="008E4DD7" w:rsidRPr="00841658" w:rsidRDefault="005A22F3" w:rsidP="008C4721">
      <w:pPr>
        <w:pStyle w:val="ECHRPara"/>
      </w:pPr>
      <w:r>
        <w:t>125</w:t>
      </w:r>
      <w:r w:rsidR="008E4DD7">
        <w:t>.</w:t>
      </w:r>
      <w:r>
        <w:t xml:space="preserve"> </w:t>
      </w:r>
      <w:r w:rsidR="008E4DD7">
        <w:t>Choć prasa nie może przekraczać pewnych granic, w odniesieniu w</w:t>
      </w:r>
      <w:r w:rsidR="00E91B95">
        <w:t> </w:t>
      </w:r>
      <w:r w:rsidR="008E4DD7">
        <w:t xml:space="preserve">szczególności do ochrony </w:t>
      </w:r>
      <w:r w:rsidR="00805CC2">
        <w:t xml:space="preserve">dobrego imienia </w:t>
      </w:r>
      <w:r w:rsidR="008E4DD7">
        <w:t>i praw innych osób, jej</w:t>
      </w:r>
      <w:r w:rsidR="00F933C1">
        <w:t> </w:t>
      </w:r>
      <w:r w:rsidR="008E4DD7">
        <w:t xml:space="preserve">zadaniem jest jednakże przekazywanie – w sposób zgodny z jej </w:t>
      </w:r>
      <w:r w:rsidR="008E4DD7">
        <w:lastRenderedPageBreak/>
        <w:t xml:space="preserve">obowiązkami i </w:t>
      </w:r>
      <w:r w:rsidR="00805CC2">
        <w:t xml:space="preserve">odpowiedzialnością </w:t>
      </w:r>
      <w:r w:rsidR="008E4DD7">
        <w:t xml:space="preserve"> – informacji i idei we wszystkich kwestiach </w:t>
      </w:r>
      <w:r w:rsidR="00805CC2">
        <w:t>dotyczących interesu publicznego</w:t>
      </w:r>
      <w:r w:rsidR="008E4DD7">
        <w:t>. Zadanie przekazywania informacji obejmuje jednakże „obowiązki i</w:t>
      </w:r>
      <w:r w:rsidR="00805CC2">
        <w:t xml:space="preserve"> odpowiedzialność</w:t>
      </w:r>
      <w:r w:rsidR="008E4DD7">
        <w:t>”</w:t>
      </w:r>
      <w:r w:rsidR="00805CC2">
        <w:t>,</w:t>
      </w:r>
      <w:r w:rsidR="008E4DD7">
        <w:t xml:space="preserve"> a także ograniczenia, które prasa musi nakładać na siebie samodzielnie (zob.</w:t>
      </w:r>
      <w:r w:rsidR="00E91B95">
        <w:t>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 powyżej, § 89; oraz</w:t>
      </w:r>
      <w:r w:rsidR="00E91B95">
        <w:t> </w:t>
      </w:r>
      <w:r w:rsidR="008E4DD7">
        <w:rPr>
          <w:i/>
          <w:iCs/>
        </w:rPr>
        <w:t>Von</w:t>
      </w:r>
      <w:r w:rsidR="00E91B95">
        <w:rPr>
          <w:i/>
          <w:iCs/>
        </w:rPr>
        <w:t> </w:t>
      </w:r>
      <w:proofErr w:type="spellStart"/>
      <w:r w:rsidR="008E4DD7">
        <w:rPr>
          <w:i/>
          <w:iCs/>
        </w:rPr>
        <w:t>Hannover</w:t>
      </w:r>
      <w:proofErr w:type="spellEnd"/>
      <w:r w:rsidR="008E4DD7">
        <w:rPr>
          <w:i/>
          <w:iCs/>
        </w:rPr>
        <w:t xml:space="preserve"> (nr 2)</w:t>
      </w:r>
      <w:r w:rsidR="008E4DD7">
        <w:t>, cyt. powyżej, § 102).</w:t>
      </w:r>
    </w:p>
    <w:p w14:paraId="6ACF42AB" w14:textId="5F25F6CE" w:rsidR="008E4DD7" w:rsidRPr="00841658" w:rsidRDefault="005A22F3" w:rsidP="008C4721">
      <w:pPr>
        <w:pStyle w:val="ECHRPara"/>
      </w:pPr>
      <w:r>
        <w:t>126</w:t>
      </w:r>
      <w:r w:rsidR="008E4DD7">
        <w:t>.</w:t>
      </w:r>
      <w:r>
        <w:t xml:space="preserve"> </w:t>
      </w:r>
      <w:r w:rsidR="00805CC2">
        <w:t>Kluczowa rola</w:t>
      </w:r>
      <w:r w:rsidR="008E4DD7">
        <w:t xml:space="preserve"> mediów w ułatwianiu i realizowaniu prawa opinii publicznej do otrzymywania i przekazywania informacji i idei była wielokrotnie przywoływana i uznawana przez Trybunał. Prasa ma nie tylko zadanie przekazywania takich informacji i idei; opinia publiczna również ma prawo je otrzymywać. Gdyby było inaczej, prasa nie byłaby w stanie ogrywać swojej kluczowej roli jako „publicznego kontrolera” (ang. </w:t>
      </w:r>
      <w:r w:rsidR="008E4DD7" w:rsidRPr="00805CC2">
        <w:rPr>
          <w:i/>
        </w:rPr>
        <w:t xml:space="preserve">public </w:t>
      </w:r>
      <w:proofErr w:type="spellStart"/>
      <w:r w:rsidR="008E4DD7" w:rsidRPr="00805CC2">
        <w:rPr>
          <w:i/>
        </w:rPr>
        <w:t>watchdog</w:t>
      </w:r>
      <w:proofErr w:type="spellEnd"/>
      <w:r w:rsidR="008E4DD7">
        <w:t xml:space="preserve">) (zob. niedawna sprawa </w:t>
      </w:r>
      <w:proofErr w:type="spellStart"/>
      <w:r w:rsidR="008E4DD7">
        <w:rPr>
          <w:i/>
          <w:iCs/>
        </w:rPr>
        <w:t>Magyar</w:t>
      </w:r>
      <w:proofErr w:type="spellEnd"/>
      <w:r w:rsidR="008E4DD7">
        <w:rPr>
          <w:i/>
          <w:iCs/>
        </w:rPr>
        <w:t xml:space="preserve"> Helsinki </w:t>
      </w:r>
      <w:proofErr w:type="spellStart"/>
      <w:r w:rsidR="008E4DD7">
        <w:rPr>
          <w:i/>
          <w:iCs/>
        </w:rPr>
        <w:t>Bizottság</w:t>
      </w:r>
      <w:proofErr w:type="spellEnd"/>
      <w:r w:rsidR="008E4DD7">
        <w:rPr>
          <w:i/>
          <w:iCs/>
        </w:rPr>
        <w:t xml:space="preserve"> przeciwko Węgrom </w:t>
      </w:r>
      <w:r w:rsidR="008E4DD7">
        <w:t>[WI], nr 18030/11, § 165, 8 listopada 2016 r., ECHR 2016;</w:t>
      </w:r>
      <w:r w:rsidR="00B44278">
        <w:t xml:space="preserve"> i dalsze odwołania tamże</w:t>
      </w:r>
      <w:r w:rsidR="008E4DD7">
        <w:t>).</w:t>
      </w:r>
    </w:p>
    <w:p w14:paraId="2C3D90A9" w14:textId="075071A9" w:rsidR="008E4DD7" w:rsidRPr="00841658" w:rsidRDefault="005A22F3" w:rsidP="008C4721">
      <w:pPr>
        <w:pStyle w:val="ECHRPara"/>
      </w:pPr>
      <w:r>
        <w:t>127</w:t>
      </w:r>
      <w:r w:rsidR="008E4DD7">
        <w:t>.</w:t>
      </w:r>
      <w:r>
        <w:t xml:space="preserve"> </w:t>
      </w:r>
      <w:r w:rsidR="00805CC2">
        <w:t>Co więcej</w:t>
      </w:r>
      <w:r w:rsidR="008E4DD7">
        <w:t xml:space="preserve"> Trybunał konsekwentnie utrzymywał, że nie jest jego zadaniem, t</w:t>
      </w:r>
      <w:r w:rsidR="00805CC2">
        <w:t xml:space="preserve">ak </w:t>
      </w:r>
      <w:r w:rsidR="008E4DD7">
        <w:t xml:space="preserve">jak nie jest to zadaniem sądów krajowych, by zastępować własnymi poglądami poglądy prasy co do technik dziennikarskich (reporterskich), jakie należy zastosować w danej sprawie (zob. </w:t>
      </w:r>
      <w:proofErr w:type="spellStart"/>
      <w:r w:rsidR="008E4DD7">
        <w:rPr>
          <w:i/>
          <w:iCs/>
        </w:rPr>
        <w:t>Jersild</w:t>
      </w:r>
      <w:proofErr w:type="spellEnd"/>
      <w:r w:rsidR="008E4DD7">
        <w:rPr>
          <w:i/>
          <w:iCs/>
        </w:rPr>
        <w:t xml:space="preserve"> przeciwko Danii</w:t>
      </w:r>
      <w:r w:rsidR="008E4DD7">
        <w:t xml:space="preserve">, 23 września 1994 r., § 31, Seria A nr 298; i </w:t>
      </w:r>
      <w:proofErr w:type="spellStart"/>
      <w:r w:rsidR="008E4DD7">
        <w:rPr>
          <w:i/>
          <w:iCs/>
        </w:rPr>
        <w:t>Stoll</w:t>
      </w:r>
      <w:proofErr w:type="spellEnd"/>
      <w:r w:rsidR="008E4DD7">
        <w:rPr>
          <w:i/>
          <w:iCs/>
        </w:rPr>
        <w:t xml:space="preserve"> przeciwko Szwajcarii</w:t>
      </w:r>
      <w:r w:rsidR="008E4DD7">
        <w:t xml:space="preserve"> [WI], nr 69698/01, § 146, ECHR 2007</w:t>
      </w:r>
      <w:r w:rsidR="008E4DD7">
        <w:noBreakHyphen/>
        <w:t>V).</w:t>
      </w:r>
    </w:p>
    <w:p w14:paraId="50E364A8" w14:textId="02F264BB" w:rsidR="008E4DD7" w:rsidRPr="00841658" w:rsidRDefault="005A22F3" w:rsidP="008C4721">
      <w:pPr>
        <w:pStyle w:val="ECHRPara"/>
      </w:pPr>
      <w:r>
        <w:t>128</w:t>
      </w:r>
      <w:r w:rsidR="008E4DD7">
        <w:t>.</w:t>
      </w:r>
      <w:r>
        <w:t xml:space="preserve"> </w:t>
      </w:r>
      <w:r w:rsidR="008E4DD7">
        <w:t xml:space="preserve">Wreszcie, </w:t>
      </w:r>
      <w:r w:rsidR="00834FF4">
        <w:t>jest ugruntowane [w orzecznictwie]</w:t>
      </w:r>
      <w:r w:rsidR="008E4DD7">
        <w:t xml:space="preserve">, że zbieranie informacji jest kluczowym wstępnym krokiem w dziennikarstwie i stanowi nieodłączny, chroniony element </w:t>
      </w:r>
      <w:r w:rsidR="00834FF4">
        <w:t>wolności</w:t>
      </w:r>
      <w:r w:rsidR="008E4DD7">
        <w:t xml:space="preserve"> </w:t>
      </w:r>
      <w:r w:rsidR="00834FF4">
        <w:t>prasy</w:t>
      </w:r>
      <w:r w:rsidR="008E4DD7">
        <w:t xml:space="preserve"> (zob. niedawno sprawa </w:t>
      </w:r>
      <w:proofErr w:type="spellStart"/>
      <w:r w:rsidR="008E4DD7">
        <w:rPr>
          <w:i/>
          <w:iCs/>
        </w:rPr>
        <w:t>Magyar</w:t>
      </w:r>
      <w:proofErr w:type="spellEnd"/>
      <w:r w:rsidR="008E4DD7">
        <w:rPr>
          <w:i/>
          <w:iCs/>
        </w:rPr>
        <w:t xml:space="preserve"> Helsinki </w:t>
      </w:r>
      <w:proofErr w:type="spellStart"/>
      <w:r w:rsidR="008E4DD7">
        <w:rPr>
          <w:i/>
          <w:iCs/>
        </w:rPr>
        <w:t>Bizottság</w:t>
      </w:r>
      <w:proofErr w:type="spellEnd"/>
      <w:r w:rsidR="008E4DD7">
        <w:t xml:space="preserve">, cyt. powyżej, § 130, </w:t>
      </w:r>
      <w:r w:rsidR="00B44278">
        <w:t xml:space="preserve">i </w:t>
      </w:r>
      <w:r w:rsidR="008E4DD7">
        <w:t>dalsze odwołania tamże).</w:t>
      </w:r>
    </w:p>
    <w:p w14:paraId="3E9962E3" w14:textId="280EFFB3" w:rsidR="008E4DD7" w:rsidRPr="00C025DA" w:rsidRDefault="008E4DD7" w:rsidP="009940EF">
      <w:pPr>
        <w:pStyle w:val="ECHRHeading4"/>
      </w:pPr>
      <w:r>
        <w:t>(</w:t>
      </w:r>
      <w:r>
        <w:rPr>
          <w:rStyle w:val="JuHaChar0"/>
          <w:b/>
          <w:bCs/>
        </w:rPr>
        <w:t>b)</w:t>
      </w:r>
      <w:r w:rsidR="005A22F3">
        <w:rPr>
          <w:rStyle w:val="JuHaChar0"/>
          <w:b/>
          <w:bCs/>
        </w:rPr>
        <w:t xml:space="preserve"> </w:t>
      </w:r>
      <w:r w:rsidR="00F6710B">
        <w:rPr>
          <w:rStyle w:val="JuHaChar0"/>
          <w:b/>
          <w:bCs/>
        </w:rPr>
        <w:t xml:space="preserve">Art. </w:t>
      </w:r>
      <w:r>
        <w:rPr>
          <w:rStyle w:val="JuHaChar0"/>
          <w:b/>
          <w:bCs/>
        </w:rPr>
        <w:t>8, prawo do prywatności i ochrona danych</w:t>
      </w:r>
    </w:p>
    <w:p w14:paraId="1D7380D9" w14:textId="1E1A8855" w:rsidR="008E4DD7" w:rsidRPr="00C025DA" w:rsidRDefault="005A22F3" w:rsidP="008C4721">
      <w:pPr>
        <w:pStyle w:val="ECHRPara"/>
        <w:rPr>
          <w:rFonts w:ascii="Arial" w:hAnsi="Arial" w:cs="Arial"/>
          <w:sz w:val="20"/>
          <w:szCs w:val="20"/>
        </w:rPr>
      </w:pPr>
      <w:r>
        <w:t>129</w:t>
      </w:r>
      <w:r w:rsidR="008E4DD7">
        <w:t>.</w:t>
      </w:r>
      <w:r>
        <w:t xml:space="preserve"> </w:t>
      </w:r>
      <w:r w:rsidR="008E4DD7">
        <w:t xml:space="preserve">W odniesieniu do tego, czy w okolicznościach przedmiotowej sprawy prawo do prywatności z </w:t>
      </w:r>
      <w:r w:rsidR="00F6710B">
        <w:t>art.</w:t>
      </w:r>
      <w:r w:rsidR="008E4DD7">
        <w:t xml:space="preserve"> 8 Konwencji ma zastosowanie</w:t>
      </w:r>
      <w:r w:rsidR="00834FF4">
        <w:t>,</w:t>
      </w:r>
      <w:r w:rsidR="008E4DD7">
        <w:t xml:space="preserve"> mając na uwadze publiczną dostępność danych podatkowych przetwarzanych i</w:t>
      </w:r>
      <w:r w:rsidR="00E91B95">
        <w:t> </w:t>
      </w:r>
      <w:r w:rsidR="008E4DD7">
        <w:t xml:space="preserve">publikowanych przez skarżące spółki, Trybunał konsekwentnie powtarzał, że idea „życia prywatnego” jest szerokim terminem, którego nie można wyczerpująco zdefiniować (zob. </w:t>
      </w:r>
      <w:r w:rsidR="008E4DD7">
        <w:rPr>
          <w:i/>
          <w:iCs/>
        </w:rPr>
        <w:t xml:space="preserve">S. i </w:t>
      </w:r>
      <w:proofErr w:type="spellStart"/>
      <w:r w:rsidR="008E4DD7">
        <w:rPr>
          <w:i/>
          <w:iCs/>
        </w:rPr>
        <w:t>Marper</w:t>
      </w:r>
      <w:proofErr w:type="spellEnd"/>
      <w:r w:rsidR="008E4DD7">
        <w:rPr>
          <w:i/>
          <w:iCs/>
        </w:rPr>
        <w:t xml:space="preserve"> przeciwko Wielkiej Brytanii</w:t>
      </w:r>
      <w:r w:rsidR="008E4DD7">
        <w:t xml:space="preserve"> [WI], nr 30562/04 i 30566/04, § 66, ECHR 2008; oraz </w:t>
      </w:r>
      <w:proofErr w:type="spellStart"/>
      <w:r w:rsidR="008E4DD7">
        <w:rPr>
          <w:i/>
          <w:iCs/>
        </w:rPr>
        <w:t>Vukota-Bojić</w:t>
      </w:r>
      <w:proofErr w:type="spellEnd"/>
      <w:r w:rsidR="008E4DD7">
        <w:rPr>
          <w:i/>
          <w:iCs/>
        </w:rPr>
        <w:t xml:space="preserve"> przeciwko Szwajcarii</w:t>
      </w:r>
      <w:r w:rsidR="008E4DD7">
        <w:t>, nr 61838/10</w:t>
      </w:r>
      <w:r w:rsidR="008E4DD7">
        <w:rPr>
          <w:rFonts w:ascii="Arial" w:hAnsi="Arial" w:cs="Arial"/>
          <w:sz w:val="20"/>
          <w:szCs w:val="20"/>
        </w:rPr>
        <w:t xml:space="preserve">, </w:t>
      </w:r>
      <w:r w:rsidR="008E4DD7">
        <w:t>§ 52, 18 października 2016 r.).</w:t>
      </w:r>
    </w:p>
    <w:p w14:paraId="7322CB43" w14:textId="112D9AB6" w:rsidR="008E4DD7" w:rsidRPr="00841658" w:rsidRDefault="005A22F3" w:rsidP="008C4721">
      <w:pPr>
        <w:pStyle w:val="ECHRPara"/>
      </w:pPr>
      <w:r>
        <w:t>130</w:t>
      </w:r>
      <w:r w:rsidR="008E4DD7">
        <w:t>.</w:t>
      </w:r>
      <w:r>
        <w:t xml:space="preserve"> </w:t>
      </w:r>
      <w:r w:rsidR="008E4DD7">
        <w:t>Pozostawiając na boku szereg spraw, w których Trybunał uznał, że</w:t>
      </w:r>
      <w:r w:rsidR="00E91B95">
        <w:t> </w:t>
      </w:r>
      <w:r w:rsidR="008E4DD7">
        <w:t xml:space="preserve">prawo do prywatności z </w:t>
      </w:r>
      <w:r w:rsidR="00F6710B">
        <w:t>art.</w:t>
      </w:r>
      <w:r w:rsidR="008E4DD7">
        <w:t xml:space="preserve"> 8 obejmuje fizyczną i psychologiczną integralność osoby, życie prywatne zostało </w:t>
      </w:r>
      <w:r w:rsidR="00834FF4">
        <w:t xml:space="preserve">również </w:t>
      </w:r>
      <w:r w:rsidR="008E4DD7">
        <w:t>uznane za obszar obejmujący działania o charakterze zawodowym czy biznesowym (zob.</w:t>
      </w:r>
      <w:r w:rsidR="00E91B95">
        <w:t> </w:t>
      </w:r>
      <w:proofErr w:type="spellStart"/>
      <w:r w:rsidR="008E4DD7">
        <w:rPr>
          <w:i/>
          <w:iCs/>
        </w:rPr>
        <w:t>Niemietz</w:t>
      </w:r>
      <w:proofErr w:type="spellEnd"/>
      <w:r w:rsidR="008E4DD7">
        <w:rPr>
          <w:i/>
          <w:iCs/>
        </w:rPr>
        <w:t xml:space="preserve"> przeciwko Niemcom</w:t>
      </w:r>
      <w:r w:rsidR="008E4DD7">
        <w:t xml:space="preserve">, 16 grudnia 1992 r., § 29, Seria A nr 251 B) czy też prawo do życia w prywatności, z daleka od niechcianej uwagi (zob. </w:t>
      </w:r>
      <w:proofErr w:type="spellStart"/>
      <w:r w:rsidR="008E4DD7">
        <w:rPr>
          <w:i/>
          <w:iCs/>
        </w:rPr>
        <w:t>Smirnova</w:t>
      </w:r>
      <w:proofErr w:type="spellEnd"/>
      <w:r w:rsidR="008E4DD7">
        <w:rPr>
          <w:i/>
          <w:iCs/>
        </w:rPr>
        <w:t xml:space="preserve"> przeciwko Rosji</w:t>
      </w:r>
      <w:r w:rsidR="008E4DD7">
        <w:t>, nr 46133/99 i 48183/99, § 95, ECHR 2003</w:t>
      </w:r>
      <w:r w:rsidR="00E91B95">
        <w:t> </w:t>
      </w:r>
      <w:r w:rsidR="008E4DD7">
        <w:t>IX (fragmenty)).</w:t>
      </w:r>
    </w:p>
    <w:p w14:paraId="18DCBFA8" w14:textId="73F074CD" w:rsidR="008E4DD7" w:rsidRPr="00841658" w:rsidRDefault="005A22F3" w:rsidP="008C4721">
      <w:pPr>
        <w:pStyle w:val="ECHRPara"/>
      </w:pPr>
      <w:r>
        <w:lastRenderedPageBreak/>
        <w:t>131</w:t>
      </w:r>
      <w:r w:rsidR="008E4DD7">
        <w:t>.</w:t>
      </w:r>
      <w:r>
        <w:t xml:space="preserve"> </w:t>
      </w:r>
      <w:r w:rsidR="008E4DD7">
        <w:t>Faktycznie, Trybunał uznał również, że istnieje obszar interakcji osoby z innymi, nawet w kontekście publicznym, który może mieścić się w</w:t>
      </w:r>
      <w:r w:rsidR="00E91B95">
        <w:t> </w:t>
      </w:r>
      <w:r w:rsidR="008E4DD7">
        <w:t xml:space="preserve">zakresie „życia prywatnego” na potrzeby </w:t>
      </w:r>
      <w:r w:rsidR="00F6710B">
        <w:t>art.</w:t>
      </w:r>
      <w:r w:rsidR="008E4DD7">
        <w:t xml:space="preserve"> 8 Konwencji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xml:space="preserve">, cyt. powyżej, § 83; oraz </w:t>
      </w:r>
      <w:r w:rsidR="008E4DD7">
        <w:rPr>
          <w:i/>
          <w:iCs/>
        </w:rPr>
        <w:t>P.G. i J.H. przeciwko Wielkiej Brytanii</w:t>
      </w:r>
      <w:r w:rsidR="008E4DD7">
        <w:t>, nr 44787/98, § 56, ECHR 2001-IX).</w:t>
      </w:r>
    </w:p>
    <w:p w14:paraId="67B13C50" w14:textId="4E7A1FD1" w:rsidR="008E4DD7" w:rsidRPr="00841658" w:rsidRDefault="005A22F3" w:rsidP="008C4721">
      <w:pPr>
        <w:pStyle w:val="ECHRPara"/>
        <w:rPr>
          <w:i/>
          <w:iCs/>
        </w:rPr>
      </w:pPr>
      <w:r>
        <w:t>132</w:t>
      </w:r>
      <w:r w:rsidR="008E4DD7">
        <w:t>.</w:t>
      </w:r>
      <w:r>
        <w:t xml:space="preserve"> </w:t>
      </w:r>
      <w:r w:rsidR="008E4DD7">
        <w:t xml:space="preserve">Zdecydowana większość spraw, w których Trybunał musiał analizować </w:t>
      </w:r>
      <w:r w:rsidR="007B68CA">
        <w:t>dokonane</w:t>
      </w:r>
      <w:r w:rsidR="008E4DD7">
        <w:t xml:space="preserve"> przez władze krajowe </w:t>
      </w:r>
      <w:r w:rsidR="007B68CA">
        <w:t>wyważenie między wolnością</w:t>
      </w:r>
      <w:r w:rsidR="008E4DD7">
        <w:t xml:space="preserve"> z</w:t>
      </w:r>
      <w:r w:rsidR="00E91B95">
        <w:t> </w:t>
      </w:r>
      <w:r w:rsidR="00F6710B">
        <w:t>art.</w:t>
      </w:r>
      <w:r w:rsidR="008E4DD7">
        <w:t xml:space="preserve"> 10 </w:t>
      </w:r>
      <w:r w:rsidR="007B68CA">
        <w:t>a prawem</w:t>
      </w:r>
      <w:r w:rsidR="008E4DD7">
        <w:t xml:space="preserve"> do prywatności z </w:t>
      </w:r>
      <w:r w:rsidR="00F6710B">
        <w:t xml:space="preserve">art. </w:t>
      </w:r>
      <w:r w:rsidR="008E4DD7">
        <w:t>8 Konwencji, dotyczył</w:t>
      </w:r>
      <w:r w:rsidR="00E2074A">
        <w:t>a</w:t>
      </w:r>
      <w:r w:rsidR="008E4DD7">
        <w:t xml:space="preserve"> zarzutów naruszenia prawa do prywatności konkretnej osoby lub konkretnych osób w</w:t>
      </w:r>
      <w:r w:rsidR="00E91B95">
        <w:t> </w:t>
      </w:r>
      <w:r w:rsidR="008E4DD7">
        <w:t>wyniku publikacji konkretnych materiałów (zob. np.,</w:t>
      </w:r>
      <w:r w:rsidR="008E4DD7">
        <w:rPr>
          <w:i/>
          <w:iCs/>
        </w:rPr>
        <w:t xml:space="preserve"> </w:t>
      </w:r>
      <w:proofErr w:type="spellStart"/>
      <w:r w:rsidR="008E4DD7">
        <w:rPr>
          <w:i/>
          <w:iCs/>
        </w:rPr>
        <w:t>Flinkkilä</w:t>
      </w:r>
      <w:proofErr w:type="spellEnd"/>
      <w:r w:rsidR="008E4DD7">
        <w:rPr>
          <w:i/>
          <w:iCs/>
        </w:rPr>
        <w:t xml:space="preserve"> </w:t>
      </w:r>
      <w:r>
        <w:rPr>
          <w:i/>
          <w:iCs/>
        </w:rPr>
        <w:t>i Inni</w:t>
      </w:r>
      <w:r w:rsidR="008E4DD7">
        <w:rPr>
          <w:i/>
          <w:iCs/>
        </w:rPr>
        <w:t xml:space="preserve"> przeciwko Finlandii</w:t>
      </w:r>
      <w:r w:rsidR="008E4DD7">
        <w:t>, nr 25576/04</w:t>
      </w:r>
      <w:r w:rsidR="008E4DD7">
        <w:rPr>
          <w:snapToGrid w:val="0"/>
        </w:rPr>
        <w:t xml:space="preserve">, 6 kwietnia 2010 r.; oraz </w:t>
      </w:r>
      <w:proofErr w:type="spellStart"/>
      <w:r w:rsidR="008E4DD7">
        <w:rPr>
          <w:i/>
          <w:iCs/>
        </w:rPr>
        <w:t>Ristamäki</w:t>
      </w:r>
      <w:proofErr w:type="spellEnd"/>
      <w:r w:rsidR="008E4DD7">
        <w:rPr>
          <w:i/>
          <w:iCs/>
        </w:rPr>
        <w:t xml:space="preserve"> i</w:t>
      </w:r>
      <w:r w:rsidR="00E91B95">
        <w:rPr>
          <w:i/>
          <w:iCs/>
        </w:rPr>
        <w:t> </w:t>
      </w:r>
      <w:proofErr w:type="spellStart"/>
      <w:r w:rsidR="008E4DD7">
        <w:rPr>
          <w:i/>
          <w:iCs/>
        </w:rPr>
        <w:t>Korvola</w:t>
      </w:r>
      <w:proofErr w:type="spellEnd"/>
      <w:r w:rsidR="008E4DD7">
        <w:t xml:space="preserve"> </w:t>
      </w:r>
      <w:r w:rsidR="008E4DD7">
        <w:rPr>
          <w:i/>
          <w:iCs/>
        </w:rPr>
        <w:t>przeciwko Finlandii</w:t>
      </w:r>
      <w:r w:rsidR="008E4DD7">
        <w:t>, nr 66456/09</w:t>
      </w:r>
      <w:r w:rsidR="008E4DD7">
        <w:rPr>
          <w:snapToGrid w:val="0"/>
        </w:rPr>
        <w:t>, 29 października 2013 r.</w:t>
      </w:r>
      <w:r w:rsidR="008E4DD7">
        <w:t>).</w:t>
      </w:r>
    </w:p>
    <w:p w14:paraId="1563B051" w14:textId="276A87FB" w:rsidR="008E4DD7" w:rsidRPr="00841658" w:rsidRDefault="005A22F3" w:rsidP="008C4721">
      <w:pPr>
        <w:pStyle w:val="ECHRPara"/>
      </w:pPr>
      <w:r>
        <w:t>133</w:t>
      </w:r>
      <w:r w:rsidR="008E4DD7">
        <w:t>.</w:t>
      </w:r>
      <w:r>
        <w:t xml:space="preserve"> </w:t>
      </w:r>
      <w:r w:rsidR="00AA6D0D">
        <w:t>W szczególnym</w:t>
      </w:r>
      <w:r w:rsidR="008E4DD7">
        <w:t xml:space="preserve"> kontekście ochrony danych Trybunał w szeregu </w:t>
      </w:r>
      <w:r w:rsidR="008E4DD7" w:rsidRPr="0034611C">
        <w:t xml:space="preserve">spraw odwoływał się do Konwencji o </w:t>
      </w:r>
      <w:r w:rsidR="00AA6D0D" w:rsidRPr="0034611C">
        <w:t>ochronie danych</w:t>
      </w:r>
      <w:r w:rsidR="00DA0BAD" w:rsidRPr="0034611C">
        <w:rPr>
          <w:rStyle w:val="Odwoanieprzypisudolnego"/>
        </w:rPr>
        <w:footnoteReference w:id="4"/>
      </w:r>
      <w:r w:rsidR="00AA6D0D" w:rsidRPr="0034611C">
        <w:t xml:space="preserve"> </w:t>
      </w:r>
      <w:r w:rsidR="008E4DD7" w:rsidRPr="0034611C">
        <w:t>(zob. paragraf 80</w:t>
      </w:r>
      <w:r w:rsidR="008E4DD7">
        <w:t xml:space="preserve"> powyżej), która sama w sobie jest podstawą </w:t>
      </w:r>
      <w:r w:rsidR="009C4D21">
        <w:t>dyrektywy o ochronie dany</w:t>
      </w:r>
      <w:r w:rsidR="008E4DD7">
        <w:t xml:space="preserve">ch, stosowanej przez sądy krajowe w przedmiotowej sprawie. Rzeczona </w:t>
      </w:r>
      <w:r w:rsidR="0034611C">
        <w:t>k</w:t>
      </w:r>
      <w:r w:rsidR="008E4DD7">
        <w:t xml:space="preserve">onwencja definiuje dane osobowe w </w:t>
      </w:r>
      <w:r w:rsidR="00F6710B">
        <w:t>art.</w:t>
      </w:r>
      <w:r w:rsidR="008E4DD7">
        <w:t xml:space="preserve"> 2 jako „</w:t>
      </w:r>
      <w:r w:rsidR="0034611C">
        <w:t>każdą informację dotyczącą osoby fizycznej o określonej tożsamości lub dającej się zidentyfikować</w:t>
      </w:r>
      <w:r w:rsidR="008E4DD7">
        <w:t xml:space="preserve">”. W sprawie </w:t>
      </w:r>
      <w:proofErr w:type="spellStart"/>
      <w:r w:rsidR="008E4DD7">
        <w:rPr>
          <w:i/>
          <w:iCs/>
        </w:rPr>
        <w:t>Amann</w:t>
      </w:r>
      <w:proofErr w:type="spellEnd"/>
      <w:r w:rsidR="008E4DD7">
        <w:t>, cyt. powyżej, § 65,</w:t>
      </w:r>
      <w:r w:rsidR="0034611C" w:rsidRPr="0034611C">
        <w:t xml:space="preserve"> </w:t>
      </w:r>
      <w:r w:rsidR="0034611C">
        <w:t>przy omawianiu kwestii zastosowania art. 8</w:t>
      </w:r>
      <w:r w:rsidR="008E4DD7">
        <w:t xml:space="preserve"> Trybunał przedstawił interpretację pojęcia „życia prywatnego” w kontekście przechowywania danych osobowych</w:t>
      </w:r>
      <w:r w:rsidR="0034611C">
        <w:t>:</w:t>
      </w:r>
    </w:p>
    <w:p w14:paraId="2C6FD271" w14:textId="51D51AE1" w:rsidR="008E4DD7" w:rsidRPr="00841658" w:rsidRDefault="008E4DD7" w:rsidP="008C4721">
      <w:pPr>
        <w:pStyle w:val="ECHRParaQuote"/>
      </w:pPr>
      <w:r>
        <w:t>„Trybunał przypomina, że</w:t>
      </w:r>
      <w:r w:rsidR="0034611C">
        <w:t xml:space="preserve"> przechowywanie danych dotyczących «</w:t>
      </w:r>
      <w:r>
        <w:t>życia prywatnego</w:t>
      </w:r>
      <w:r w:rsidR="0034611C">
        <w:t>»</w:t>
      </w:r>
      <w:r w:rsidR="0008634F">
        <w:t xml:space="preserve"> </w:t>
      </w:r>
      <w:r>
        <w:t xml:space="preserve">osoby mieści się w zastosowaniu </w:t>
      </w:r>
      <w:r w:rsidR="00F6710B">
        <w:t>art.</w:t>
      </w:r>
      <w:r>
        <w:t xml:space="preserve"> 8 ust. 1 (zob. </w:t>
      </w:r>
      <w:r>
        <w:rPr>
          <w:i/>
          <w:iCs/>
        </w:rPr>
        <w:t>Leander przeciwko Szwecji</w:t>
      </w:r>
      <w:r>
        <w:t>, wyrok z 26 marca 1987 r., Seria A nr 116, str. 22, § 48).</w:t>
      </w:r>
    </w:p>
    <w:p w14:paraId="58E909AC" w14:textId="75D8E7E4" w:rsidR="008E4DD7" w:rsidRPr="00841658" w:rsidRDefault="008E4DD7" w:rsidP="008C4721">
      <w:pPr>
        <w:pStyle w:val="ECHRParaQuote"/>
      </w:pPr>
      <w:r>
        <w:t xml:space="preserve">Wskazuje w związku z tym, iż terminu </w:t>
      </w:r>
      <w:r w:rsidR="0008634F">
        <w:t>«</w:t>
      </w:r>
      <w:r>
        <w:t>życie prywatne</w:t>
      </w:r>
      <w:r w:rsidR="0008634F">
        <w:t>»</w:t>
      </w:r>
      <w:r>
        <w:t xml:space="preserve"> nie wolno interpretować w</w:t>
      </w:r>
      <w:r w:rsidR="00E91B95">
        <w:t> </w:t>
      </w:r>
      <w:r>
        <w:t xml:space="preserve">sposób </w:t>
      </w:r>
      <w:r w:rsidR="008B571F">
        <w:t>zawężający</w:t>
      </w:r>
      <w:r>
        <w:t>. W szczególności, poszanowanie dla życia prywatnego obejmuje prawo do nawiązywania i rozwijania relacji z innymi ludźmi;</w:t>
      </w:r>
      <w:r w:rsidR="0008634F">
        <w:t xml:space="preserve"> ponadto</w:t>
      </w:r>
      <w:r>
        <w:t xml:space="preserve"> nie</w:t>
      </w:r>
      <w:r w:rsidR="00E91B95">
        <w:t> </w:t>
      </w:r>
      <w:r>
        <w:t xml:space="preserve">ma powodów uzasadniających wyłączanie działalności o charakterze zawodowym lub biznesowym z pojęcia </w:t>
      </w:r>
      <w:r w:rsidR="0008634F">
        <w:t>«życia prywatnego»</w:t>
      </w:r>
      <w:r>
        <w:t xml:space="preserve"> (zob. </w:t>
      </w:r>
      <w:proofErr w:type="spellStart"/>
      <w:r>
        <w:rPr>
          <w:i/>
          <w:iCs/>
        </w:rPr>
        <w:t>Niemietz</w:t>
      </w:r>
      <w:proofErr w:type="spellEnd"/>
      <w:r>
        <w:rPr>
          <w:i/>
          <w:iCs/>
        </w:rPr>
        <w:t xml:space="preserve"> przeciwko Niemcom</w:t>
      </w:r>
      <w:r>
        <w:t xml:space="preserve">, wyrok z 16 grudnia 1992 r., Seria A nr 251-B, str. 33-34, § 29; oraz wyrok </w:t>
      </w:r>
      <w:proofErr w:type="spellStart"/>
      <w:r>
        <w:rPr>
          <w:i/>
          <w:iCs/>
        </w:rPr>
        <w:t>Halford</w:t>
      </w:r>
      <w:proofErr w:type="spellEnd"/>
      <w:r>
        <w:t>, cyt. powyżej, str. 1015-16, § 42).</w:t>
      </w:r>
    </w:p>
    <w:p w14:paraId="7F24F667" w14:textId="29C38BF8" w:rsidR="008E4DD7" w:rsidRPr="00841658" w:rsidRDefault="008E4DD7" w:rsidP="008C4721">
      <w:pPr>
        <w:pStyle w:val="ECHRParaQuote"/>
      </w:pPr>
      <w:r>
        <w:t xml:space="preserve">Taka szeroka interpretacja jest zgodna z Konwencją Rady Europy z dnia 28 stycznia 1981 r. o ochronie osób w związku z automatycznym przetwarzaniem danych osobowych, która weszła w życie 1 października 1985 r., a której celem jest </w:t>
      </w:r>
      <w:r w:rsidR="00A36A5B">
        <w:t>«</w:t>
      </w:r>
      <w:r>
        <w:t>zapewnienie każdej osobie fizycznej .... poszanowania jej praw i podstawowych wolności na terytorium każdej ze stron konwencji, a w szczególności jej prawa do</w:t>
      </w:r>
      <w:r w:rsidR="00E91B95">
        <w:t> </w:t>
      </w:r>
      <w:r>
        <w:t>prywatności w związku z automatycznym przetwarzaniem dotyczących jej danych osobowych</w:t>
      </w:r>
      <w:r w:rsidR="00A36A5B">
        <w:t>»</w:t>
      </w:r>
      <w:r>
        <w:t xml:space="preserve"> (</w:t>
      </w:r>
      <w:r w:rsidR="00D9277A">
        <w:t>a</w:t>
      </w:r>
      <w:r w:rsidR="00F6710B">
        <w:t xml:space="preserve">rt. </w:t>
      </w:r>
      <w:r>
        <w:t>1), a dane osobowe definiuje się jako „każd</w:t>
      </w:r>
      <w:r w:rsidR="00A36A5B">
        <w:t>ą informację dotyczącą</w:t>
      </w:r>
      <w:r>
        <w:t xml:space="preserve"> osoby fizycznej o określonej tożsamości lub dającej się zidentyfikować (</w:t>
      </w:r>
      <w:r w:rsidR="00D9277A">
        <w:t>a</w:t>
      </w:r>
      <w:r w:rsidR="00F6710B">
        <w:t xml:space="preserve">rt. </w:t>
      </w:r>
      <w:r>
        <w:t>2)”</w:t>
      </w:r>
      <w:r w:rsidR="00D9277A">
        <w:t>.</w:t>
      </w:r>
    </w:p>
    <w:p w14:paraId="480DD556" w14:textId="1BDEA2ED" w:rsidR="008E4DD7" w:rsidRPr="00841658" w:rsidRDefault="005A22F3" w:rsidP="008C4721">
      <w:pPr>
        <w:pStyle w:val="ECHRPara"/>
      </w:pPr>
      <w:r>
        <w:t>134</w:t>
      </w:r>
      <w:r w:rsidR="008E4DD7">
        <w:t>.</w:t>
      </w:r>
      <w:r>
        <w:t xml:space="preserve"> </w:t>
      </w:r>
      <w:r w:rsidR="008E4DD7">
        <w:t xml:space="preserve">Fakt, iż informacje są </w:t>
      </w:r>
      <w:r w:rsidR="008E4DD7" w:rsidRPr="003C3B97">
        <w:t>już dostępne publicznie,</w:t>
      </w:r>
      <w:r w:rsidR="003C3B97" w:rsidRPr="003C3B97">
        <w:t xml:space="preserve"> niekoniecznie</w:t>
      </w:r>
      <w:r w:rsidR="008E4DD7" w:rsidRPr="003C3B97">
        <w:t xml:space="preserve"> </w:t>
      </w:r>
      <w:r w:rsidR="003C3B97" w:rsidRPr="003C3B97">
        <w:t>usuwa ochronę</w:t>
      </w:r>
      <w:r w:rsidR="008E4DD7" w:rsidRPr="003C3B97">
        <w:t xml:space="preserve"> z </w:t>
      </w:r>
      <w:r w:rsidR="00F6710B" w:rsidRPr="003C3B97">
        <w:t>art.</w:t>
      </w:r>
      <w:r w:rsidR="008E4DD7" w:rsidRPr="003C3B97">
        <w:t xml:space="preserve"> 8 Konwencji. A zatem, w sprawie </w:t>
      </w:r>
      <w:r w:rsidR="008E4DD7" w:rsidRPr="003C3B97">
        <w:rPr>
          <w:i/>
          <w:iCs/>
        </w:rPr>
        <w:t xml:space="preserve">Von </w:t>
      </w:r>
      <w:proofErr w:type="spellStart"/>
      <w:r w:rsidR="008E4DD7">
        <w:rPr>
          <w:i/>
          <w:iCs/>
        </w:rPr>
        <w:t>Hannover</w:t>
      </w:r>
      <w:proofErr w:type="spellEnd"/>
      <w:r w:rsidR="008E4DD7">
        <w:rPr>
          <w:i/>
          <w:iCs/>
        </w:rPr>
        <w:t xml:space="preserve"> przeciwko </w:t>
      </w:r>
      <w:r w:rsidR="008E4DD7">
        <w:rPr>
          <w:i/>
          <w:iCs/>
        </w:rPr>
        <w:lastRenderedPageBreak/>
        <w:t>Niemcom</w:t>
      </w:r>
      <w:r w:rsidR="008E4DD7">
        <w:t xml:space="preserve"> (nr 59320/00, §§ 74-75 i 77, ECHR 2004 VI), która dotyczyła publikacji zdjęć, które wykonano w miejscach publicznych osobie znanej, która nie pełniła żadnej funkcji oficjalnej, Trybunał stwierdził, że interes w</w:t>
      </w:r>
      <w:r w:rsidR="00E91B95">
        <w:t> </w:t>
      </w:r>
      <w:r w:rsidR="008E4DD7">
        <w:t xml:space="preserve">publikowaniu tej informacji </w:t>
      </w:r>
      <w:r w:rsidR="003C3B97">
        <w:t>należało rozważyć</w:t>
      </w:r>
      <w:r w:rsidR="008E4DD7">
        <w:t xml:space="preserve"> na tle względów prywatności, choć publiczna obecność tej osoby mogła być włączona w</w:t>
      </w:r>
      <w:r w:rsidR="00E91B95">
        <w:t> </w:t>
      </w:r>
      <w:r w:rsidR="008E4DD7">
        <w:t>zakres „informacji publicznych”.</w:t>
      </w:r>
    </w:p>
    <w:p w14:paraId="55BE3143" w14:textId="11909C45" w:rsidR="008E4DD7" w:rsidRPr="00841658" w:rsidRDefault="005A22F3" w:rsidP="008C4721">
      <w:pPr>
        <w:pStyle w:val="ECHRPara"/>
      </w:pPr>
      <w:r>
        <w:t>135</w:t>
      </w:r>
      <w:r w:rsidR="008E4DD7">
        <w:t>.</w:t>
      </w:r>
      <w:r>
        <w:t xml:space="preserve"> </w:t>
      </w:r>
      <w:r w:rsidR="008E4DD7">
        <w:t xml:space="preserve">Podobnie w sprawie </w:t>
      </w:r>
      <w:proofErr w:type="spellStart"/>
      <w:r w:rsidR="008E4DD7">
        <w:rPr>
          <w:i/>
          <w:iCs/>
        </w:rPr>
        <w:t>Magyar</w:t>
      </w:r>
      <w:proofErr w:type="spellEnd"/>
      <w:r w:rsidR="008E4DD7">
        <w:rPr>
          <w:i/>
          <w:iCs/>
        </w:rPr>
        <w:t xml:space="preserve"> Helsinki </w:t>
      </w:r>
      <w:proofErr w:type="spellStart"/>
      <w:r w:rsidR="008E4DD7">
        <w:rPr>
          <w:i/>
          <w:iCs/>
        </w:rPr>
        <w:t>Bizottság</w:t>
      </w:r>
      <w:proofErr w:type="spellEnd"/>
      <w:r w:rsidR="008E4DD7">
        <w:t>, cyt. powyżej, §§</w:t>
      </w:r>
      <w:r w:rsidR="00E91B95">
        <w:t> </w:t>
      </w:r>
      <w:r w:rsidR="008E4DD7">
        <w:t xml:space="preserve">176-178, kluczowy dla odrzucenia względów prywatności przez Trybunał nie był fakt publicznego charakteru informacji, do których skarżący pragnął uzyskać dostęp, co jest czynnikiem, </w:t>
      </w:r>
      <w:r w:rsidR="003C3B97">
        <w:t>który</w:t>
      </w:r>
      <w:r w:rsidR="008E4DD7">
        <w:t xml:space="preserve"> należy uwzględnić za każdym razem </w:t>
      </w:r>
      <w:r w:rsidR="003C3B97">
        <w:t>w procesie równoważenia [praw]</w:t>
      </w:r>
      <w:r w:rsidR="008E4DD7">
        <w:t>, lecz raczej fakt, że władze krajowe nie dokonały żadnej oceny charakteru informacji potencjalnie mających znaczenie dla opinii publicznej, których poszukiwał skarżący w tamtej sprawie. Władze zajmowały się raczej statusem obrońców z urzędu, w stosunku do których ubiegano się o dostęp do</w:t>
      </w:r>
      <w:r w:rsidR="00E91B95">
        <w:t> </w:t>
      </w:r>
      <w:r w:rsidR="008E4DD7">
        <w:t>informacji, z perspektywy węgierskiej ustawy o danych, która sama w</w:t>
      </w:r>
      <w:r w:rsidR="00E91B95">
        <w:t> </w:t>
      </w:r>
      <w:r w:rsidR="008E4DD7">
        <w:t>sobie zezwalała na bardzo ograniczone wyjątki od ogólnej zasady zakazującej ujawniania danych osobowych. Dodatkowo, pozwany rząd w</w:t>
      </w:r>
      <w:r w:rsidR="00E91B95">
        <w:t> </w:t>
      </w:r>
      <w:r w:rsidR="008E4DD7">
        <w:t>przedmiotowej sprawie nie wykazał, że ujawnienie żądanych danych mogło mieć wpływ na prawo do prywatności osób, o których była mowa (</w:t>
      </w:r>
      <w:r w:rsidR="008E4DD7">
        <w:rPr>
          <w:i/>
          <w:iCs/>
        </w:rPr>
        <w:t>ibid</w:t>
      </w:r>
      <w:r w:rsidR="008E4DD7">
        <w:t>., § 194).</w:t>
      </w:r>
    </w:p>
    <w:p w14:paraId="7C74BC31" w14:textId="6F2EF57A" w:rsidR="008E4DD7" w:rsidRPr="00841658" w:rsidRDefault="005A22F3" w:rsidP="008C4721">
      <w:pPr>
        <w:pStyle w:val="ECHRPara"/>
        <w:rPr>
          <w:i/>
          <w:iCs/>
        </w:rPr>
      </w:pPr>
      <w:r>
        <w:t>136</w:t>
      </w:r>
      <w:r w:rsidR="008E4DD7">
        <w:t>.</w:t>
      </w:r>
      <w:r>
        <w:t xml:space="preserve"> </w:t>
      </w:r>
      <w:r w:rsidR="008E4DD7">
        <w:t>Z</w:t>
      </w:r>
      <w:r w:rsidR="00D37707">
        <w:t xml:space="preserve"> ugruntowanego</w:t>
      </w:r>
      <w:r w:rsidR="008E4DD7">
        <w:t xml:space="preserve"> orzecznictwa wynika, że tam, gdzie sprawa dotyczyła kompilacji danych na temat konkretnej osoby, przetwarzanie lub</w:t>
      </w:r>
      <w:r w:rsidR="00E91B95">
        <w:t> </w:t>
      </w:r>
      <w:r w:rsidR="008E4DD7">
        <w:t>wykorzystywanie danych osobowych lub też publikacja materiału w</w:t>
      </w:r>
      <w:r w:rsidR="00E91B95">
        <w:t> </w:t>
      </w:r>
      <w:r w:rsidR="008E4DD7">
        <w:t>sposób lub w stopniu wykraczającym poza standardowo przewidywalny zakres, powsta</w:t>
      </w:r>
      <w:r w:rsidR="00D37707">
        <w:t>ją</w:t>
      </w:r>
      <w:r w:rsidR="008E4DD7">
        <w:t xml:space="preserve"> kwestie z zakresu życia prywatnego (zob. </w:t>
      </w:r>
      <w:r w:rsidR="008E4DD7">
        <w:rPr>
          <w:i/>
          <w:iCs/>
        </w:rPr>
        <w:t>Uzun przeciwko Niemcom</w:t>
      </w:r>
      <w:r w:rsidR="008E4DD7">
        <w:t>, nr 35623/05, §§ 44-46, ECHR 2010 (fragmenty); zob. równ</w:t>
      </w:r>
      <w:r w:rsidR="00D9277A">
        <w:t>ież</w:t>
      </w:r>
      <w:r w:rsidR="008E4DD7">
        <w:t xml:space="preserve"> </w:t>
      </w:r>
      <w:proofErr w:type="spellStart"/>
      <w:r w:rsidR="008E4DD7">
        <w:rPr>
          <w:i/>
          <w:iCs/>
        </w:rPr>
        <w:t>Rotaru</w:t>
      </w:r>
      <w:proofErr w:type="spellEnd"/>
      <w:r w:rsidR="008E4DD7">
        <w:rPr>
          <w:i/>
          <w:iCs/>
        </w:rPr>
        <w:t xml:space="preserve"> przeciwko Rumunii</w:t>
      </w:r>
      <w:r w:rsidR="008E4DD7">
        <w:t xml:space="preserve">, cyt. powyżej, §§ 43-44; </w:t>
      </w:r>
      <w:r w:rsidR="008E4DD7">
        <w:rPr>
          <w:i/>
          <w:iCs/>
        </w:rPr>
        <w:t>P.G. i J.H. przeciwko Wielkiej Brytanii</w:t>
      </w:r>
      <w:r w:rsidR="008E4DD7">
        <w:t xml:space="preserve">, cyt. powyżej, § 57; </w:t>
      </w:r>
      <w:proofErr w:type="spellStart"/>
      <w:r w:rsidR="008E4DD7">
        <w:rPr>
          <w:i/>
          <w:iCs/>
        </w:rPr>
        <w:t>Amann</w:t>
      </w:r>
      <w:proofErr w:type="spellEnd"/>
      <w:r w:rsidR="008E4DD7">
        <w:t xml:space="preserve">, cyt. powyżej, §§ 65-67; oraz </w:t>
      </w:r>
      <w:r w:rsidR="008E4DD7">
        <w:rPr>
          <w:i/>
          <w:iCs/>
        </w:rPr>
        <w:t xml:space="preserve">M.N. </w:t>
      </w:r>
      <w:r>
        <w:rPr>
          <w:i/>
          <w:iCs/>
        </w:rPr>
        <w:t>i Inni</w:t>
      </w:r>
      <w:r w:rsidR="008E4DD7">
        <w:rPr>
          <w:i/>
          <w:iCs/>
        </w:rPr>
        <w:t xml:space="preserve"> przeciwko San Marino</w:t>
      </w:r>
      <w:r w:rsidR="008E4DD7">
        <w:t>, nr 28005/12</w:t>
      </w:r>
      <w:r w:rsidR="008E4DD7">
        <w:rPr>
          <w:snapToGrid w:val="0"/>
        </w:rPr>
        <w:t>, §§ 52-53, 7 lipca 2015 r.</w:t>
      </w:r>
      <w:r w:rsidR="008E4DD7">
        <w:t>).</w:t>
      </w:r>
    </w:p>
    <w:p w14:paraId="25649060" w14:textId="41E5D4C2" w:rsidR="008E4DD7" w:rsidRDefault="005A22F3" w:rsidP="008C4721">
      <w:pPr>
        <w:pStyle w:val="ECHRPara"/>
      </w:pPr>
      <w:r>
        <w:t>137</w:t>
      </w:r>
      <w:r w:rsidR="008E4DD7">
        <w:t>.</w:t>
      </w:r>
      <w:r>
        <w:t xml:space="preserve"> </w:t>
      </w:r>
      <w:r w:rsidR="008E4DD7">
        <w:t>Ochrona danych osobowych ma fundamentalne znaczenie dla tego, by osoba mogła korzystać z</w:t>
      </w:r>
      <w:r w:rsidR="00D37707">
        <w:t>e swego prawa do</w:t>
      </w:r>
      <w:r w:rsidR="008E4DD7">
        <w:t xml:space="preserve"> poszanowania życia prywatnego i rodzinnego, zgodnie z gwarancją z </w:t>
      </w:r>
      <w:r w:rsidR="00F6710B">
        <w:t>art.</w:t>
      </w:r>
      <w:r w:rsidR="008E4DD7">
        <w:t xml:space="preserve"> 8 Konwencji. Prawo krajowe musi zapewniać stosowne zabezpieczenia </w:t>
      </w:r>
      <w:r w:rsidR="00D37707">
        <w:t>zapobiegające wykorzystaniu</w:t>
      </w:r>
      <w:r w:rsidR="008E4DD7">
        <w:t xml:space="preserve"> danych osobowych</w:t>
      </w:r>
      <w:r w:rsidR="00D37707">
        <w:t xml:space="preserve"> w sposób niezgodny </w:t>
      </w:r>
      <w:r w:rsidR="008E4DD7">
        <w:t>z gwarancjami z</w:t>
      </w:r>
      <w:r w:rsidR="00E91B95">
        <w:t> </w:t>
      </w:r>
      <w:r w:rsidR="008E4DD7">
        <w:t xml:space="preserve">tego </w:t>
      </w:r>
      <w:r w:rsidR="00F6710B">
        <w:t>art</w:t>
      </w:r>
      <w:r w:rsidR="00D37707">
        <w:t>ykułu</w:t>
      </w:r>
      <w:r w:rsidR="008E4DD7">
        <w:t xml:space="preserve"> (zob. </w:t>
      </w:r>
      <w:r w:rsidR="008E4DD7">
        <w:rPr>
          <w:i/>
          <w:iCs/>
        </w:rPr>
        <w:t xml:space="preserve">S. i </w:t>
      </w:r>
      <w:proofErr w:type="spellStart"/>
      <w:r w:rsidR="008E4DD7">
        <w:rPr>
          <w:i/>
          <w:iCs/>
        </w:rPr>
        <w:t>Marper</w:t>
      </w:r>
      <w:proofErr w:type="spellEnd"/>
      <w:r w:rsidR="008E4DD7">
        <w:t xml:space="preserve">, cyt. powyżej, § 103). </w:t>
      </w:r>
      <w:r w:rsidR="00F6710B">
        <w:t xml:space="preserve">Art. </w:t>
      </w:r>
      <w:r w:rsidR="008E4DD7">
        <w:t xml:space="preserve">8 Konwencji </w:t>
      </w:r>
      <w:r w:rsidR="00D37707">
        <w:t>przewiduje</w:t>
      </w:r>
      <w:r w:rsidR="008E4DD7">
        <w:t xml:space="preserve"> zatem</w:t>
      </w:r>
      <w:r w:rsidR="00D37707">
        <w:t xml:space="preserve"> </w:t>
      </w:r>
      <w:r w:rsidR="008E4DD7">
        <w:t xml:space="preserve">prawo </w:t>
      </w:r>
      <w:r w:rsidR="00D37707">
        <w:t xml:space="preserve">do </w:t>
      </w:r>
      <w:r w:rsidR="008E4DD7">
        <w:t xml:space="preserve">informacyjnego samostanowienia, umożliwiając </w:t>
      </w:r>
      <w:r w:rsidR="00D37707">
        <w:t>jednostkom powoływanie się na ich prawo</w:t>
      </w:r>
      <w:r w:rsidR="008E4DD7">
        <w:t xml:space="preserve"> do prywatności w </w:t>
      </w:r>
      <w:r w:rsidR="00D37707">
        <w:t>odniesieniu do</w:t>
      </w:r>
      <w:r w:rsidR="00E91B95">
        <w:t> </w:t>
      </w:r>
      <w:r w:rsidR="008E4DD7">
        <w:t>danych, które, choć same w sobie neutralne, są</w:t>
      </w:r>
      <w:r w:rsidR="00CE06EF">
        <w:t xml:space="preserve"> zbierane</w:t>
      </w:r>
      <w:r w:rsidR="008E4DD7">
        <w:t>, przetwarzane i</w:t>
      </w:r>
      <w:r w:rsidR="00E91B95">
        <w:t> </w:t>
      </w:r>
      <w:r w:rsidR="008E4DD7">
        <w:t>rozpowszechniane</w:t>
      </w:r>
      <w:r w:rsidR="00D37707">
        <w:t xml:space="preserve"> zbiorowo</w:t>
      </w:r>
      <w:r w:rsidR="008E4DD7">
        <w:t xml:space="preserve"> i w takiej formie lub w taki sposób, że prawa tych osób z </w:t>
      </w:r>
      <w:r w:rsidR="00F6710B">
        <w:t>art.</w:t>
      </w:r>
      <w:r w:rsidR="008E4DD7">
        <w:t xml:space="preserve"> 8 mogą </w:t>
      </w:r>
      <w:r w:rsidR="00D37707">
        <w:t>wchodzić w grę</w:t>
      </w:r>
      <w:r w:rsidR="008E4DD7">
        <w:t>.</w:t>
      </w:r>
    </w:p>
    <w:p w14:paraId="1E036DFF" w14:textId="473F5D06" w:rsidR="008E4DD7" w:rsidRPr="00841658" w:rsidRDefault="005A22F3" w:rsidP="008C4721">
      <w:pPr>
        <w:pStyle w:val="ECHRPara"/>
      </w:pPr>
      <w:r>
        <w:t>138</w:t>
      </w:r>
      <w:r w:rsidR="008E4DD7">
        <w:t>.</w:t>
      </w:r>
      <w:r>
        <w:t xml:space="preserve"> </w:t>
      </w:r>
      <w:r w:rsidR="008E4DD7">
        <w:t xml:space="preserve">W świetle powyższych rozważań oraz istniejącego orzecznictwa Trybunału dotyczącego </w:t>
      </w:r>
      <w:r w:rsidR="00F6710B">
        <w:t>art.</w:t>
      </w:r>
      <w:r w:rsidR="008E4DD7">
        <w:t xml:space="preserve"> 8 Konwencji wy</w:t>
      </w:r>
      <w:r w:rsidR="00684B52">
        <w:t>daje się</w:t>
      </w:r>
      <w:r w:rsidR="008E4DD7">
        <w:t>, iż dane</w:t>
      </w:r>
      <w:r w:rsidR="00684B52">
        <w:t xml:space="preserve"> </w:t>
      </w:r>
      <w:r w:rsidR="008E4DD7">
        <w:t xml:space="preserve">zebrane, przetworzone i opublikowane przez </w:t>
      </w:r>
      <w:r w:rsidR="0065603E">
        <w:t xml:space="preserve">skarżące </w:t>
      </w:r>
      <w:r w:rsidR="008E4DD7">
        <w:t xml:space="preserve">spółki w </w:t>
      </w:r>
      <w:r w:rsidR="008E4DD7">
        <w:rPr>
          <w:i/>
          <w:iCs/>
        </w:rPr>
        <w:t>Veropörssi</w:t>
      </w:r>
      <w:r w:rsidR="008E4DD7">
        <w:t xml:space="preserve">, </w:t>
      </w:r>
      <w:r w:rsidR="008E4DD7">
        <w:lastRenderedPageBreak/>
        <w:t>z</w:t>
      </w:r>
      <w:r w:rsidR="00E91B95">
        <w:t> </w:t>
      </w:r>
      <w:r w:rsidR="00684B52">
        <w:t>zawierające szczegóły dotyczące</w:t>
      </w:r>
      <w:r w:rsidR="008E4DD7">
        <w:t xml:space="preserve"> dochodu podlegającego opodatkowaniu pochodzącego i niepochodzącego z pracy zarobkowej</w:t>
      </w:r>
      <w:r>
        <w:t xml:space="preserve"> </w:t>
      </w:r>
      <w:r w:rsidR="008E4DD7">
        <w:t xml:space="preserve">a także majątku netto podlegającego opodatkowaniu, wyraźnie dotyczyły życia prywatnego tych osób, niezależnie od faktu, iż zgodnie z fińskim prawem dane te mogły być na </w:t>
      </w:r>
      <w:r w:rsidR="008E4DD7" w:rsidRPr="00AD17C2">
        <w:t>pewnych zasadach dostępne opinii publicznej.</w:t>
      </w:r>
    </w:p>
    <w:p w14:paraId="049F8F2E" w14:textId="147A41B5" w:rsidR="008E4DD7" w:rsidRPr="00C025DA" w:rsidRDefault="008E4DD7" w:rsidP="00547A35">
      <w:pPr>
        <w:pStyle w:val="ECHRHeading3"/>
      </w:pPr>
      <w:r>
        <w:t>2.</w:t>
      </w:r>
      <w:r w:rsidR="005A22F3">
        <w:t xml:space="preserve"> </w:t>
      </w:r>
      <w:r>
        <w:t xml:space="preserve">Istnienie </w:t>
      </w:r>
      <w:r w:rsidR="004921CD">
        <w:t>ingerencji</w:t>
      </w:r>
    </w:p>
    <w:p w14:paraId="78448C62" w14:textId="04444CF1" w:rsidR="008E4DD7" w:rsidRPr="00841658" w:rsidRDefault="005A22F3" w:rsidP="008C4721">
      <w:pPr>
        <w:pStyle w:val="ECHRPara"/>
      </w:pPr>
      <w:r>
        <w:t>139</w:t>
      </w:r>
      <w:r w:rsidR="008E4DD7">
        <w:t>.</w:t>
      </w:r>
      <w:r>
        <w:t xml:space="preserve"> </w:t>
      </w:r>
      <w:r w:rsidR="008E4DD7">
        <w:t>Trybunał odnotowuje, że wskutek decyzji organów krajowych ds.</w:t>
      </w:r>
      <w:r w:rsidR="00E91B95">
        <w:t> </w:t>
      </w:r>
      <w:r w:rsidR="008E4DD7">
        <w:t xml:space="preserve">ochrony danych oraz sądów pierwszej skarżącej </w:t>
      </w:r>
      <w:r w:rsidR="00CE06EF">
        <w:t xml:space="preserve">spółce </w:t>
      </w:r>
      <w:r w:rsidR="008E4DD7">
        <w:t>zabroniono przetwarzania danych podatkowych w sposób oraz w zakresie, w jakim realizowała te czynności w 2002</w:t>
      </w:r>
      <w:r w:rsidR="00F6710B" w:rsidRPr="00F6710B">
        <w:t xml:space="preserve"> </w:t>
      </w:r>
      <w:r w:rsidR="00F6710B">
        <w:t>r.</w:t>
      </w:r>
      <w:r w:rsidR="00CE06EF">
        <w:t>,</w:t>
      </w:r>
      <w:r w:rsidR="008E4DD7">
        <w:t xml:space="preserve"> oraz przesyłania tych informacji w</w:t>
      </w:r>
      <w:r w:rsidR="00E91B95">
        <w:t> </w:t>
      </w:r>
      <w:r w:rsidR="008E4DD7">
        <w:t xml:space="preserve">postaci usługi tekstowej (SMS). Sądy te stwierdziły, że zbieranie danych osobowych oraz ich przetwarzanie w dokumentacji bazowej pierwszej skarżącej </w:t>
      </w:r>
      <w:r w:rsidR="00CE06EF">
        <w:t xml:space="preserve">spółki </w:t>
      </w:r>
      <w:r w:rsidR="008E4DD7">
        <w:t xml:space="preserve">nie mogło być </w:t>
      </w:r>
      <w:r w:rsidR="00CE06EF">
        <w:t xml:space="preserve">jako takie </w:t>
      </w:r>
      <w:r w:rsidR="008E4DD7">
        <w:t xml:space="preserve">uznane za sprzeczne z regułami ochrony danych, pod warunkiem </w:t>
      </w:r>
      <w:r w:rsidR="00D9277A" w:rsidRPr="00D9277A">
        <w:rPr>
          <w:iCs/>
        </w:rPr>
        <w:t>m.in.</w:t>
      </w:r>
      <w:r w:rsidR="008E4DD7">
        <w:t xml:space="preserve">, że dane były odpowiednio chronione. Jednakże, zważywszy </w:t>
      </w:r>
      <w:r w:rsidR="00CE06EF">
        <w:t xml:space="preserve">na </w:t>
      </w:r>
      <w:r w:rsidR="008E4DD7">
        <w:t>sposób i zakres publikacji danych w</w:t>
      </w:r>
      <w:r w:rsidR="00E91B95">
        <w:t> </w:t>
      </w:r>
      <w:r w:rsidR="008E4DD7">
        <w:rPr>
          <w:i/>
          <w:iCs/>
        </w:rPr>
        <w:t>Veropörssi</w:t>
      </w:r>
      <w:r w:rsidR="008E4DD7">
        <w:t xml:space="preserve">, pierwsza skarżąca spółka, w stosunku do której stwierdzono, że nie można </w:t>
      </w:r>
      <w:r w:rsidR="008E4DD7" w:rsidRPr="007B68CA">
        <w:t>zastosować derogacji na cele dziennikarskie</w:t>
      </w:r>
      <w:r w:rsidR="008E4DD7">
        <w:t xml:space="preserve">, przetwarzała dane osobowe dotyczące osób fizycznych </w:t>
      </w:r>
      <w:r w:rsidR="00CE06EF">
        <w:t>z naruszeniem</w:t>
      </w:r>
      <w:r w:rsidR="008E4DD7">
        <w:t xml:space="preserve"> </w:t>
      </w:r>
      <w:r w:rsidR="009C4D21">
        <w:t>ustawy o danych osobowy</w:t>
      </w:r>
      <w:r w:rsidR="008E4DD7">
        <w:t>ch. Drugiej skarżącej spółce zakazano zbierania, przechowywania i</w:t>
      </w:r>
      <w:r w:rsidR="00E91B95">
        <w:t> </w:t>
      </w:r>
      <w:r w:rsidR="008E4DD7">
        <w:t xml:space="preserve">przesyłania w ramach usługi tekstowej (SMS) jakichkolwiek danych otrzymanych z bazy danych pierwszej </w:t>
      </w:r>
      <w:r w:rsidR="00CE06EF">
        <w:t xml:space="preserve">skarżącej </w:t>
      </w:r>
      <w:r w:rsidR="008E4DD7">
        <w:t>spółki i opublikowanych w</w:t>
      </w:r>
      <w:r w:rsidR="00E91B95">
        <w:t> </w:t>
      </w:r>
      <w:r w:rsidR="008E4DD7">
        <w:rPr>
          <w:i/>
          <w:iCs/>
        </w:rPr>
        <w:t>Veropörssi</w:t>
      </w:r>
      <w:r w:rsidR="008E4DD7">
        <w:t xml:space="preserve"> (zob. paragraf 23 powyżej).</w:t>
      </w:r>
    </w:p>
    <w:p w14:paraId="78CA8009" w14:textId="7D44A544" w:rsidR="008E4DD7" w:rsidRPr="00841658" w:rsidRDefault="005A22F3" w:rsidP="008C4721">
      <w:pPr>
        <w:pStyle w:val="ECHRPara"/>
      </w:pPr>
      <w:r>
        <w:t>140</w:t>
      </w:r>
      <w:r w:rsidR="008E4DD7">
        <w:t>.</w:t>
      </w:r>
      <w:r>
        <w:t xml:space="preserve"> </w:t>
      </w:r>
      <w:r w:rsidR="008E4DD7">
        <w:t xml:space="preserve">Trybunał stwierdza, że decyzja Rady Ochrony Danych, podtrzymana przez sądy krajowe, stanowiła </w:t>
      </w:r>
      <w:r w:rsidR="004921CD">
        <w:t>ingerencję w prawo</w:t>
      </w:r>
      <w:r w:rsidR="008E4DD7">
        <w:t xml:space="preserve"> skarżących spółek do przekazy</w:t>
      </w:r>
      <w:r w:rsidR="004921CD">
        <w:t>wania informacji, gwarantowane</w:t>
      </w:r>
      <w:r w:rsidR="008E4DD7">
        <w:t xml:space="preserve"> przez </w:t>
      </w:r>
      <w:r w:rsidR="00F6710B">
        <w:t xml:space="preserve">art. </w:t>
      </w:r>
      <w:r w:rsidR="008E4DD7">
        <w:t>10 Konwencji.</w:t>
      </w:r>
    </w:p>
    <w:p w14:paraId="0B9EE3F7" w14:textId="261CB337" w:rsidR="008E4DD7" w:rsidRPr="00841658" w:rsidRDefault="005A22F3" w:rsidP="008C4721">
      <w:pPr>
        <w:pStyle w:val="ECHRPara"/>
      </w:pPr>
      <w:r>
        <w:t>141</w:t>
      </w:r>
      <w:r w:rsidR="008E4DD7">
        <w:t>.</w:t>
      </w:r>
      <w:r>
        <w:t xml:space="preserve"> </w:t>
      </w:r>
      <w:r w:rsidR="008E4DD7">
        <w:t xml:space="preserve">W świetle </w:t>
      </w:r>
      <w:r w:rsidR="00F6710B">
        <w:t>art.</w:t>
      </w:r>
      <w:r w:rsidR="008E4DD7">
        <w:t xml:space="preserve"> 10 </w:t>
      </w:r>
      <w:r w:rsidR="00FC73B2">
        <w:t xml:space="preserve">ust. 2 </w:t>
      </w:r>
      <w:r w:rsidR="008E4DD7">
        <w:t>tak</w:t>
      </w:r>
      <w:r w:rsidR="004921CD">
        <w:t>a ingerencja w prawo</w:t>
      </w:r>
      <w:r w:rsidR="008E4DD7">
        <w:t xml:space="preserve"> do wolności wyrażania opinii skarżą</w:t>
      </w:r>
      <w:r w:rsidR="00FC73B2">
        <w:t>cych spółek</w:t>
      </w:r>
      <w:r w:rsidR="004921CD">
        <w:t xml:space="preserve"> musi być „przewidziana</w:t>
      </w:r>
      <w:r w:rsidR="008E4DD7">
        <w:t xml:space="preserve"> przez ustawę”, musi mieć jeden u</w:t>
      </w:r>
      <w:r w:rsidR="002652EB">
        <w:t>prawniony</w:t>
      </w:r>
      <w:r w:rsidR="008E4DD7">
        <w:t xml:space="preserve"> cel lub większą ich</w:t>
      </w:r>
      <w:r w:rsidR="004921CD">
        <w:t xml:space="preserve"> liczbę oraz musi być „niezbędna</w:t>
      </w:r>
      <w:r w:rsidR="008E4DD7">
        <w:t xml:space="preserve"> w społeczeństwie</w:t>
      </w:r>
      <w:r w:rsidR="00FC73B2" w:rsidRPr="00FC73B2">
        <w:t xml:space="preserve"> </w:t>
      </w:r>
      <w:r w:rsidR="00FC73B2">
        <w:t>demokratycznym</w:t>
      </w:r>
      <w:r w:rsidR="008E4DD7">
        <w:t>”.</w:t>
      </w:r>
    </w:p>
    <w:p w14:paraId="699C3699" w14:textId="36140771" w:rsidR="008E4DD7" w:rsidRPr="00841658" w:rsidRDefault="008E4DD7" w:rsidP="00386373">
      <w:pPr>
        <w:pStyle w:val="ECHRHeading3"/>
      </w:pPr>
      <w:r>
        <w:t>3.</w:t>
      </w:r>
      <w:r w:rsidR="005A22F3">
        <w:t xml:space="preserve"> </w:t>
      </w:r>
      <w:r>
        <w:t>Zgodność z prawem</w:t>
      </w:r>
    </w:p>
    <w:p w14:paraId="28E76A71" w14:textId="3CB92A9C" w:rsidR="008E4DD7" w:rsidRPr="00841658" w:rsidRDefault="005A22F3" w:rsidP="008C4721">
      <w:pPr>
        <w:pStyle w:val="ECHRPara"/>
      </w:pPr>
      <w:r>
        <w:t>142</w:t>
      </w:r>
      <w:r w:rsidR="008E4DD7">
        <w:t>.</w:t>
      </w:r>
      <w:r>
        <w:t xml:space="preserve"> </w:t>
      </w:r>
      <w:r w:rsidR="008E4DD7">
        <w:t xml:space="preserve">Wyrażenie „przewidziane przez ustawę”, użyte w </w:t>
      </w:r>
      <w:r w:rsidR="00F6710B">
        <w:t>art.</w:t>
      </w:r>
      <w:r w:rsidR="008E4DD7">
        <w:t xml:space="preserve"> 10</w:t>
      </w:r>
      <w:r w:rsidR="0090059D">
        <w:t xml:space="preserve"> ust. 2</w:t>
      </w:r>
      <w:r w:rsidR="008E4DD7">
        <w:t>, nie</w:t>
      </w:r>
      <w:r w:rsidR="00E91B95">
        <w:t> </w:t>
      </w:r>
      <w:r w:rsidR="008E4DD7">
        <w:t xml:space="preserve">tylko wymaga, by dany środek miał podstawę prawną w prawie krajowym, lecz dotyczy też jakości przedmiotowego prawa, które powinno być dostępne dla danej osoby i przewidywalne w kontekście jego skutków (zob. </w:t>
      </w:r>
      <w:r w:rsidR="00D9277A" w:rsidRPr="00D9277A">
        <w:t>m.in.</w:t>
      </w:r>
      <w:r w:rsidR="008E4DD7">
        <w:t xml:space="preserve"> </w:t>
      </w:r>
      <w:proofErr w:type="spellStart"/>
      <w:r w:rsidR="008E4DD7">
        <w:rPr>
          <w:i/>
          <w:iCs/>
        </w:rPr>
        <w:t>Delfi</w:t>
      </w:r>
      <w:proofErr w:type="spellEnd"/>
      <w:r w:rsidR="008E4DD7">
        <w:rPr>
          <w:i/>
          <w:iCs/>
        </w:rPr>
        <w:t xml:space="preserve"> AS</w:t>
      </w:r>
      <w:r w:rsidR="008E4DD7">
        <w:t xml:space="preserve">, cyt. powyżej, § 120, </w:t>
      </w:r>
      <w:r w:rsidR="0090059D">
        <w:t xml:space="preserve">i </w:t>
      </w:r>
      <w:r w:rsidR="008E4DD7">
        <w:t>dalsze odwołania tamże).</w:t>
      </w:r>
    </w:p>
    <w:p w14:paraId="50EB493E" w14:textId="64C34139" w:rsidR="008E4DD7" w:rsidRPr="00841658" w:rsidRDefault="005A22F3" w:rsidP="008C4721">
      <w:pPr>
        <w:pStyle w:val="ECHRPara"/>
        <w:rPr>
          <w:i/>
          <w:iCs/>
        </w:rPr>
      </w:pPr>
      <w:r>
        <w:t>143</w:t>
      </w:r>
      <w:r w:rsidR="008E4DD7">
        <w:t>.</w:t>
      </w:r>
      <w:r>
        <w:t xml:space="preserve"> </w:t>
      </w:r>
      <w:r w:rsidR="008E4DD7">
        <w:t>Jeśli chodzi o wymóg przewidywalności</w:t>
      </w:r>
      <w:r w:rsidR="0090059D">
        <w:t>,</w:t>
      </w:r>
      <w:r w:rsidR="008E4DD7">
        <w:t xml:space="preserve"> Trybunał wielokrotnie uznawał, że norma nie może być uznawana za „prawo” (ustawę) w</w:t>
      </w:r>
      <w:r w:rsidR="00E91B95">
        <w:t> </w:t>
      </w:r>
      <w:r w:rsidR="008E4DD7">
        <w:t xml:space="preserve">rozumieniu </w:t>
      </w:r>
      <w:r w:rsidR="00F6710B">
        <w:t>art.</w:t>
      </w:r>
      <w:r w:rsidR="008E4DD7">
        <w:t xml:space="preserve"> 10 ust. 2, chyba że jest sformułowana z wystarczającą precyzją, tak by umożliwić osobie regulowanie własnego zachowania. Osoba taka musi być w stanie – jeżeli zachodzi taka potrzeba, przy pomocy </w:t>
      </w:r>
      <w:r w:rsidR="008E4DD7">
        <w:lastRenderedPageBreak/>
        <w:t>odpowiedniej rady – przewidzieć, w stopniu uzasadnionym w danych okolicznościach, konsekwencje, jakie może nieść za sobą dane działanie. Konsekwencje te nie muszą być przewidywane z absolutną pewnością. O</w:t>
      </w:r>
      <w:r w:rsidR="00E91B95">
        <w:t> </w:t>
      </w:r>
      <w:r w:rsidR="008E4DD7">
        <w:t>ile</w:t>
      </w:r>
      <w:r w:rsidR="00E91B95">
        <w:t> </w:t>
      </w:r>
      <w:r w:rsidR="008E4DD7">
        <w:t xml:space="preserve">pewność jest pożądana, może wraz ze sobą nieść nadmierną sztywność, a prawo musi być w stanie nadążyć za zmieniającymi się okolicznościami. W związku z tym wiele przepisów prawnych jest sformułowanych w sposób, który, w mniejszym lub w mniejszym stopniu, jest nieprecyzyjny, a których stosowanie i wykładnia wymagają praktyki (zob. dalej </w:t>
      </w:r>
      <w:proofErr w:type="spellStart"/>
      <w:r w:rsidR="008E4DD7">
        <w:rPr>
          <w:i/>
          <w:iCs/>
        </w:rPr>
        <w:t>Delfi</w:t>
      </w:r>
      <w:proofErr w:type="spellEnd"/>
      <w:r w:rsidR="008E4DD7">
        <w:rPr>
          <w:i/>
          <w:iCs/>
        </w:rPr>
        <w:t xml:space="preserve"> AS</w:t>
      </w:r>
      <w:r w:rsidR="008E4DD7">
        <w:t xml:space="preserve">, cyt. powyżej, § 121; oraz </w:t>
      </w:r>
      <w:r w:rsidR="008E4DD7">
        <w:rPr>
          <w:i/>
          <w:iCs/>
        </w:rPr>
        <w:t xml:space="preserve">Centro Europa 7 </w:t>
      </w:r>
      <w:proofErr w:type="spellStart"/>
      <w:r w:rsidR="008E4DD7">
        <w:rPr>
          <w:i/>
          <w:iCs/>
          <w:snapToGrid w:val="0"/>
        </w:rPr>
        <w:t>S.r.l</w:t>
      </w:r>
      <w:proofErr w:type="spellEnd"/>
      <w:r w:rsidR="008E4DD7">
        <w:rPr>
          <w:i/>
          <w:iCs/>
          <w:snapToGrid w:val="0"/>
        </w:rPr>
        <w:t>.</w:t>
      </w:r>
      <w:r w:rsidR="008E4DD7">
        <w:rPr>
          <w:i/>
          <w:iCs/>
        </w:rPr>
        <w:t xml:space="preserve"> i</w:t>
      </w:r>
      <w:r w:rsidR="00E91B95">
        <w:rPr>
          <w:i/>
          <w:iCs/>
        </w:rPr>
        <w:t> </w:t>
      </w:r>
      <w:r w:rsidR="008E4DD7">
        <w:rPr>
          <w:i/>
          <w:iCs/>
        </w:rPr>
        <w:t>Di Stefano przeciwko Włochom</w:t>
      </w:r>
      <w:r w:rsidR="008E4DD7">
        <w:t xml:space="preserve"> [WI], nr 38433/09</w:t>
      </w:r>
      <w:r w:rsidR="008E4DD7">
        <w:rPr>
          <w:snapToGrid w:val="0"/>
        </w:rPr>
        <w:t>, § 141, ECHR 2012</w:t>
      </w:r>
      <w:r w:rsidR="008E4DD7">
        <w:t>).</w:t>
      </w:r>
    </w:p>
    <w:p w14:paraId="6D65A158" w14:textId="588E1727" w:rsidR="008E4DD7" w:rsidRPr="00C025DA" w:rsidRDefault="005A22F3" w:rsidP="008C4721">
      <w:pPr>
        <w:pStyle w:val="ECHRPara"/>
      </w:pPr>
      <w:r>
        <w:t>144</w:t>
      </w:r>
      <w:r w:rsidR="008E4DD7">
        <w:t>.</w:t>
      </w:r>
      <w:r>
        <w:t xml:space="preserve"> </w:t>
      </w:r>
      <w:r w:rsidR="008E4DD7">
        <w:t xml:space="preserve">Rola </w:t>
      </w:r>
      <w:r w:rsidR="0090059D">
        <w:t xml:space="preserve">orzecznicza </w:t>
      </w:r>
      <w:r w:rsidR="008E4DD7">
        <w:t>przypisana sądom krajowym ma właśnie na celu rozstrzyganie takich</w:t>
      </w:r>
      <w:r w:rsidR="0090059D">
        <w:t xml:space="preserve"> </w:t>
      </w:r>
      <w:r w:rsidR="008E4DD7">
        <w:t>wątpliwości interpretacyjnych</w:t>
      </w:r>
      <w:r w:rsidR="0090059D">
        <w:t>, jakie mogą pozostawać</w:t>
      </w:r>
      <w:r w:rsidR="008E4DD7">
        <w:t xml:space="preserve">. Uprawnienie Trybunału do weryfikacji zgodności z prawem krajowym jest zatem ograniczone, </w:t>
      </w:r>
      <w:r w:rsidR="0090059D">
        <w:t>ponieważ</w:t>
      </w:r>
      <w:r w:rsidR="008E4DD7">
        <w:t xml:space="preserve"> to przede wszystkim zadaniem władz krajowych, a zwłaszcza sądów, jest interpretowanie i stosowanie prawa krajowego (zob. </w:t>
      </w:r>
      <w:r w:rsidR="00D9277A" w:rsidRPr="00D9277A">
        <w:t>m.in.</w:t>
      </w:r>
      <w:r w:rsidR="008E4DD7">
        <w:t xml:space="preserve"> sprawa </w:t>
      </w:r>
      <w:proofErr w:type="spellStart"/>
      <w:r w:rsidR="008E4DD7">
        <w:rPr>
          <w:i/>
          <w:iCs/>
        </w:rPr>
        <w:t>Kudrevičius</w:t>
      </w:r>
      <w:proofErr w:type="spellEnd"/>
      <w:r w:rsidR="008E4DD7">
        <w:t xml:space="preserve"> </w:t>
      </w:r>
      <w:r>
        <w:rPr>
          <w:i/>
          <w:iCs/>
        </w:rPr>
        <w:t>i Inni</w:t>
      </w:r>
      <w:r w:rsidR="008E4DD7">
        <w:rPr>
          <w:i/>
          <w:iCs/>
        </w:rPr>
        <w:t xml:space="preserve"> przeciwko Litwie </w:t>
      </w:r>
      <w:r w:rsidR="008E4DD7">
        <w:t>[WI], nr</w:t>
      </w:r>
      <w:r w:rsidR="00E91B95">
        <w:t> </w:t>
      </w:r>
      <w:r w:rsidR="008E4DD7">
        <w:t xml:space="preserve">37553/05, § 110, ECHR 2015, </w:t>
      </w:r>
      <w:r w:rsidR="0090059D">
        <w:t xml:space="preserve">i </w:t>
      </w:r>
      <w:r w:rsidR="008E4DD7">
        <w:t>dalsze odwołania tamże). Dodatkowo, poziom precyzji wymagany od przepisów krajowych – które nie mogą przewidzieć każdej ewentualności – zależy w dużym stopniu od treści danego prawa, obszaru, którego dotyczy, a także liczby i statusu tych, do</w:t>
      </w:r>
      <w:r w:rsidR="00E91B95">
        <w:t> </w:t>
      </w:r>
      <w:r w:rsidR="008E4DD7">
        <w:t xml:space="preserve">których </w:t>
      </w:r>
      <w:r w:rsidR="00624659">
        <w:t xml:space="preserve">jest ono </w:t>
      </w:r>
      <w:r w:rsidR="004B0B83">
        <w:t>kierowane</w:t>
      </w:r>
      <w:r w:rsidR="008E4DD7">
        <w:t xml:space="preserve"> (zob. </w:t>
      </w:r>
      <w:proofErr w:type="spellStart"/>
      <w:r w:rsidR="008E4DD7">
        <w:rPr>
          <w:i/>
          <w:iCs/>
        </w:rPr>
        <w:t>Delfi</w:t>
      </w:r>
      <w:proofErr w:type="spellEnd"/>
      <w:r w:rsidR="008E4DD7">
        <w:rPr>
          <w:i/>
          <w:iCs/>
        </w:rPr>
        <w:t xml:space="preserve"> AS</w:t>
      </w:r>
      <w:r w:rsidR="008E4DD7">
        <w:t>, cyt. powyżej, § 122; oraz</w:t>
      </w:r>
      <w:r w:rsidR="00E91B95">
        <w:t> </w:t>
      </w:r>
      <w:proofErr w:type="spellStart"/>
      <w:r w:rsidR="008E4DD7">
        <w:rPr>
          <w:i/>
          <w:iCs/>
        </w:rPr>
        <w:t>Kudrevičius</w:t>
      </w:r>
      <w:proofErr w:type="spellEnd"/>
      <w:r w:rsidR="008E4DD7">
        <w:t>, cyt. powyżej, § 110).</w:t>
      </w:r>
    </w:p>
    <w:p w14:paraId="6EEB944B" w14:textId="346F032D" w:rsidR="008E4DD7" w:rsidRPr="00841658" w:rsidRDefault="005A22F3" w:rsidP="008C4721">
      <w:pPr>
        <w:pStyle w:val="ECHRPara"/>
      </w:pPr>
      <w:r>
        <w:t>145</w:t>
      </w:r>
      <w:r w:rsidR="008E4DD7">
        <w:t>.</w:t>
      </w:r>
      <w:r>
        <w:t xml:space="preserve"> </w:t>
      </w:r>
      <w:r w:rsidR="008E4DD7">
        <w:t xml:space="preserve">Trybunał stwierdził, że od osób wykonujących działalność zawodową, które są przyzwyczajone do </w:t>
      </w:r>
      <w:r w:rsidR="00624659">
        <w:t xml:space="preserve">konieczności </w:t>
      </w:r>
      <w:r w:rsidR="008E4DD7">
        <w:t xml:space="preserve">postępowania </w:t>
      </w:r>
      <w:r w:rsidR="00624659">
        <w:t>z</w:t>
      </w:r>
      <w:r w:rsidR="00E91B95">
        <w:t> </w:t>
      </w:r>
      <w:r w:rsidR="008E4DD7">
        <w:t>zachowani</w:t>
      </w:r>
      <w:r w:rsidR="00624659">
        <w:t>em</w:t>
      </w:r>
      <w:r w:rsidR="008E4DD7">
        <w:t xml:space="preserve"> wysokiego stopnia rozwagi przy wykonywaniu swojego zawodu, można oczekiwać stosowania szczególnej rozwagi w ocenie </w:t>
      </w:r>
      <w:proofErr w:type="spellStart"/>
      <w:r w:rsidR="008E4DD7">
        <w:t>ryzyk</w:t>
      </w:r>
      <w:proofErr w:type="spellEnd"/>
      <w:r w:rsidR="008E4DD7">
        <w:t xml:space="preserve">, jakie obejmuje taka działalność (zob. </w:t>
      </w:r>
      <w:proofErr w:type="spellStart"/>
      <w:r w:rsidR="008E4DD7">
        <w:rPr>
          <w:i/>
          <w:iCs/>
        </w:rPr>
        <w:t>Delfi</w:t>
      </w:r>
      <w:proofErr w:type="spellEnd"/>
      <w:r w:rsidR="008E4DD7">
        <w:rPr>
          <w:i/>
          <w:iCs/>
        </w:rPr>
        <w:t xml:space="preserve"> AS</w:t>
      </w:r>
      <w:r w:rsidR="008E4DD7">
        <w:t xml:space="preserve">, cyt. powyżej, § 122, </w:t>
      </w:r>
      <w:r w:rsidR="00B44278">
        <w:t xml:space="preserve">i </w:t>
      </w:r>
      <w:r w:rsidR="008E4DD7">
        <w:t xml:space="preserve">dalsze odwołania tamże; oraz w kontekście danych bankowych, </w:t>
      </w:r>
      <w:r w:rsidR="008E4DD7">
        <w:rPr>
          <w:i/>
          <w:iCs/>
        </w:rPr>
        <w:t>G.S.B. przeciwko Szwajcarii</w:t>
      </w:r>
      <w:r w:rsidR="008E4DD7">
        <w:t>, nr 28601/11, § 69, 22 grudnia 2015 r.).</w:t>
      </w:r>
    </w:p>
    <w:p w14:paraId="5EA4EDAA" w14:textId="64E083B2" w:rsidR="008E4DD7" w:rsidRPr="00841658" w:rsidRDefault="005A22F3" w:rsidP="008C4721">
      <w:pPr>
        <w:pStyle w:val="ECHRPara"/>
      </w:pPr>
      <w:r>
        <w:t>146</w:t>
      </w:r>
      <w:r w:rsidR="008E4DD7">
        <w:t>.</w:t>
      </w:r>
      <w:r>
        <w:t xml:space="preserve"> </w:t>
      </w:r>
      <w:r w:rsidR="008E4DD7">
        <w:t xml:space="preserve">W przedmiotowej sprawie skarżące spółki i Rząd (zob. paragrafy 102 i 107, odpowiednio) </w:t>
      </w:r>
      <w:r w:rsidR="008E4DD7" w:rsidRPr="007B68CA">
        <w:t>mi</w:t>
      </w:r>
      <w:r w:rsidR="00624659" w:rsidRPr="007B68CA">
        <w:t>eli</w:t>
      </w:r>
      <w:r w:rsidR="008E4DD7">
        <w:t xml:space="preserve"> odmienne opinie na temat tego, czy</w:t>
      </w:r>
      <w:r w:rsidR="00E91B95">
        <w:t> </w:t>
      </w:r>
      <w:r w:rsidR="004921CD">
        <w:t>ingerencja w wolność</w:t>
      </w:r>
      <w:r w:rsidR="008E4DD7">
        <w:t xml:space="preserve"> wyraża</w:t>
      </w:r>
      <w:r w:rsidR="004921CD">
        <w:t>nia opinii skarżącej spółki była „przewidziana</w:t>
      </w:r>
      <w:r w:rsidR="008E4DD7">
        <w:t xml:space="preserve"> przez ustawę”.</w:t>
      </w:r>
    </w:p>
    <w:p w14:paraId="783E8CAA" w14:textId="0CC9BB23" w:rsidR="008E4DD7" w:rsidRPr="00841658" w:rsidRDefault="005A22F3" w:rsidP="008C4721">
      <w:pPr>
        <w:pStyle w:val="ECHRPara"/>
      </w:pPr>
      <w:r>
        <w:t>147</w:t>
      </w:r>
      <w:r w:rsidR="008E4DD7">
        <w:t>.</w:t>
      </w:r>
      <w:r>
        <w:t xml:space="preserve"> </w:t>
      </w:r>
      <w:r w:rsidR="008E4DD7">
        <w:t>Jeśli chodzi o istnienie jasnej podstawy prawnej przedmiotowe</w:t>
      </w:r>
      <w:r w:rsidR="004921CD">
        <w:t>j</w:t>
      </w:r>
      <w:r w:rsidR="008E4DD7">
        <w:t xml:space="preserve"> </w:t>
      </w:r>
      <w:r w:rsidR="004921CD">
        <w:t>ingerencji</w:t>
      </w:r>
      <w:r w:rsidR="008E4DD7">
        <w:t>, Trybunał nie widzi podstaw</w:t>
      </w:r>
      <w:r w:rsidR="008B571F">
        <w:t>,</w:t>
      </w:r>
      <w:r w:rsidR="008E4DD7">
        <w:t xml:space="preserve"> by kwestionować pogląd przyjęty przez Najwyższy Sąd Administracyjny w przedmiotowej sprawie, że</w:t>
      </w:r>
      <w:r w:rsidR="00E91B95">
        <w:t> </w:t>
      </w:r>
      <w:r w:rsidR="004921CD">
        <w:t>ingerencja miała</w:t>
      </w:r>
      <w:r w:rsidR="008E4DD7">
        <w:t xml:space="preserve"> podstawę prawną wynikającą z art. 2 ust. 5, art. 32 i art. 44 ust. 1 </w:t>
      </w:r>
      <w:r w:rsidR="009C4D21">
        <w:t xml:space="preserve">ustawy o danych osobowych </w:t>
      </w:r>
      <w:r w:rsidR="008E4DD7">
        <w:t>(zob. paragraf 22 powyżej).</w:t>
      </w:r>
    </w:p>
    <w:p w14:paraId="12A743E8" w14:textId="61C5B9E6" w:rsidR="008E4DD7" w:rsidRPr="00841658" w:rsidRDefault="005A22F3" w:rsidP="008C4721">
      <w:pPr>
        <w:pStyle w:val="ECHRPara"/>
      </w:pPr>
      <w:r>
        <w:t>148</w:t>
      </w:r>
      <w:r w:rsidR="008E4DD7">
        <w:t>.</w:t>
      </w:r>
      <w:r>
        <w:t xml:space="preserve"> </w:t>
      </w:r>
      <w:r w:rsidR="008E4DD7">
        <w:t>Jeśli chodzi o przewidywalność przepisów krajowych i ich interpretacj</w:t>
      </w:r>
      <w:r w:rsidR="008B571F">
        <w:t>i</w:t>
      </w:r>
      <w:r w:rsidR="008E4DD7">
        <w:t xml:space="preserve"> i stosowani</w:t>
      </w:r>
      <w:r w:rsidR="008B571F">
        <w:t>a</w:t>
      </w:r>
      <w:r w:rsidR="008E4DD7">
        <w:t xml:space="preserve"> przez sądy krajowe, w kontekście braku postanowienia w przepisach krajowych wyraźnie regulując</w:t>
      </w:r>
      <w:r w:rsidR="008B571F">
        <w:t>ego</w:t>
      </w:r>
      <w:r w:rsidR="008E4DD7">
        <w:t xml:space="preserve"> ilości danych, jakie mogą być publikowane, oraz w świetle faktu, iż szereg mediów w Finlandii również publikowało podobne dane podatkowe do</w:t>
      </w:r>
      <w:r w:rsidR="00E91B95">
        <w:t> </w:t>
      </w:r>
      <w:r w:rsidR="008E4DD7">
        <w:t>pewnego stopnia, powstaje pytanie</w:t>
      </w:r>
      <w:r w:rsidR="008B571F">
        <w:t>,</w:t>
      </w:r>
      <w:r w:rsidR="008E4DD7">
        <w:t xml:space="preserve"> czy można powiedzieć, że skarżące </w:t>
      </w:r>
      <w:r w:rsidR="008E4DD7">
        <w:lastRenderedPageBreak/>
        <w:t xml:space="preserve">spółki mogły przewidywać, że ich konkretna działalność publicystyczna byłaby wbrew istniejącym przepisom, mając na uwadze fakt istnienia </w:t>
      </w:r>
      <w:r w:rsidR="008E4DD7" w:rsidRPr="007B68CA">
        <w:t>derogacji n</w:t>
      </w:r>
      <w:r w:rsidR="008E4DD7">
        <w:t>a cele dziennikarskie.</w:t>
      </w:r>
    </w:p>
    <w:p w14:paraId="35E4CF5B" w14:textId="0D7C7491" w:rsidR="008E4DD7" w:rsidRPr="00841658" w:rsidRDefault="005A22F3" w:rsidP="008C4721">
      <w:pPr>
        <w:pStyle w:val="ECHRPara"/>
      </w:pPr>
      <w:r>
        <w:t>149</w:t>
      </w:r>
      <w:r w:rsidR="008E4DD7">
        <w:t>.</w:t>
      </w:r>
      <w:r>
        <w:t xml:space="preserve"> </w:t>
      </w:r>
      <w:r w:rsidR="008B571F">
        <w:t>Dla Trybunału</w:t>
      </w:r>
      <w:r w:rsidR="008E4DD7">
        <w:t xml:space="preserve"> postanowienia stosownych przepisów o ochronie danych oraz charakter i zakres derogacji dziennikarskiej, na której opierały się skarżące spółki, były wystarczająco przewidywalne i postanowienia te</w:t>
      </w:r>
      <w:r w:rsidR="00E91B95">
        <w:t> </w:t>
      </w:r>
      <w:r w:rsidR="008E4DD7">
        <w:t xml:space="preserve">były stosowane w wystarczająco przewidywalny sposób </w:t>
      </w:r>
      <w:r w:rsidR="008B571F">
        <w:t>po udzieleniu</w:t>
      </w:r>
      <w:r w:rsidR="008E4DD7">
        <w:t xml:space="preserve"> </w:t>
      </w:r>
      <w:r w:rsidR="008B571F">
        <w:t xml:space="preserve">fińskiemu sądowi </w:t>
      </w:r>
      <w:r w:rsidR="008E4DD7">
        <w:t xml:space="preserve">wytycznych interpretacyjnych przez TSUE. </w:t>
      </w:r>
      <w:r w:rsidR="008B571F">
        <w:t xml:space="preserve">Ustawa </w:t>
      </w:r>
      <w:r w:rsidR="009C4D21">
        <w:t>o</w:t>
      </w:r>
      <w:r w:rsidR="00E91B95">
        <w:t> </w:t>
      </w:r>
      <w:r w:rsidR="009C4D21">
        <w:t xml:space="preserve">danych osobowych </w:t>
      </w:r>
      <w:r w:rsidR="008E4DD7">
        <w:t xml:space="preserve">transponowała </w:t>
      </w:r>
      <w:r w:rsidR="009C4D21">
        <w:t>dyrektywę o ochronie danych</w:t>
      </w:r>
      <w:r w:rsidR="008E4DD7">
        <w:t xml:space="preserve"> do prawa fińskiego. Według </w:t>
      </w:r>
      <w:r w:rsidR="009C4D21">
        <w:t>ustawy</w:t>
      </w:r>
      <w:r w:rsidR="008E4DD7">
        <w:t xml:space="preserve"> przetwarzanie danych osobowych oznaczało zbieranie, rejestrowanie, organizowanie, wykorzystywanie, przenoszenie, ujawnianie, przechowywanie, przetwarzanie, łączenie, ochranianie, usuwanie i kasowanie danych osobowych, a także inne środki skierowane do danych osobowych (zob. paragraf 34 powyżej). Z powyższych sformułowań oraz ze stosownych prac przygotowawczych (zob. paragraf 36 powyżej) wydaje się jasno wynikać, że istniała możliwość, iż właściwe władze krajowe pewnego dnia dojdą do wniosku, tak jak stało się to</w:t>
      </w:r>
      <w:r w:rsidR="00F933C1">
        <w:t> </w:t>
      </w:r>
      <w:r w:rsidR="008E4DD7">
        <w:t>w</w:t>
      </w:r>
      <w:r w:rsidR="00E91B95">
        <w:t> </w:t>
      </w:r>
      <w:r w:rsidR="008E4DD7">
        <w:t>przedmiotowej sprawie, że baza danych utworzona na potrzeby dziennikarskie nie może być w takiej formie rozpowszechniana. Ilość i</w:t>
      </w:r>
      <w:r w:rsidR="00E91B95">
        <w:t> </w:t>
      </w:r>
      <w:r w:rsidR="008E4DD7">
        <w:t>forma danych opublikowanych nie może przekraczać zakresu derogacji, a</w:t>
      </w:r>
      <w:r w:rsidR="00E91B95">
        <w:t> </w:t>
      </w:r>
      <w:r w:rsidR="008E4DD7">
        <w:t xml:space="preserve">derogacja, ze swojego charakteru, musi być interpretowana w sposób </w:t>
      </w:r>
      <w:r w:rsidR="008B571F">
        <w:t>zawężający</w:t>
      </w:r>
      <w:r w:rsidR="008E4DD7">
        <w:t>, tak jak wyraźnie wskazał TSUE.</w:t>
      </w:r>
    </w:p>
    <w:p w14:paraId="25F3B91E" w14:textId="3BB9E396" w:rsidR="008E4DD7" w:rsidRPr="00C025DA" w:rsidRDefault="005A22F3" w:rsidP="008C4721">
      <w:pPr>
        <w:pStyle w:val="ECHRPara"/>
        <w:rPr>
          <w:i/>
          <w:iCs/>
        </w:rPr>
      </w:pPr>
      <w:r>
        <w:t>150</w:t>
      </w:r>
      <w:r w:rsidR="008E4DD7">
        <w:t>.</w:t>
      </w:r>
      <w:r>
        <w:t xml:space="preserve"> </w:t>
      </w:r>
      <w:r w:rsidR="008E4DD7">
        <w:t>Nawet jeżeli sprawa</w:t>
      </w:r>
      <w:r w:rsidR="00C416BC">
        <w:t xml:space="preserve"> skarżących spółek była pierwszą sprawą</w:t>
      </w:r>
      <w:r w:rsidR="008E4DD7">
        <w:t xml:space="preserve"> tego rodzaju na podstawie </w:t>
      </w:r>
      <w:r w:rsidR="009C4D21">
        <w:t>ustawy o danych osobowych</w:t>
      </w:r>
      <w:r w:rsidR="008E4DD7">
        <w:t>, nie sprawiłoby to, że</w:t>
      </w:r>
      <w:r w:rsidR="00E91B95">
        <w:t> </w:t>
      </w:r>
      <w:r w:rsidR="008E4DD7">
        <w:t xml:space="preserve">interpretacja i stosowanie derogacji dziennikarskiej przez sądy krajowe stała się arbitralna lub nieprzewidywalna (zob. </w:t>
      </w:r>
      <w:proofErr w:type="spellStart"/>
      <w:r w:rsidR="008E4DD7">
        <w:rPr>
          <w:i/>
          <w:iCs/>
        </w:rPr>
        <w:t>Kudrevičius</w:t>
      </w:r>
      <w:proofErr w:type="spellEnd"/>
      <w:r w:rsidR="008E4DD7">
        <w:t>, cyt. powyżej, §</w:t>
      </w:r>
      <w:r w:rsidR="00E91B95">
        <w:t> </w:t>
      </w:r>
      <w:r w:rsidR="008E4DD7">
        <w:t xml:space="preserve">115; oraz, </w:t>
      </w:r>
      <w:r w:rsidR="008E4DD7">
        <w:rPr>
          <w:i/>
          <w:iCs/>
        </w:rPr>
        <w:t>odpowiednio</w:t>
      </w:r>
      <w:r w:rsidR="008E4DD7">
        <w:t xml:space="preserve">, w odniesieniu do </w:t>
      </w:r>
      <w:r w:rsidR="00F6710B">
        <w:t>art.</w:t>
      </w:r>
      <w:r w:rsidR="008E4DD7">
        <w:t xml:space="preserve"> 7 Konwencji, </w:t>
      </w:r>
      <w:proofErr w:type="spellStart"/>
      <w:r w:rsidR="008E4DD7">
        <w:rPr>
          <w:i/>
          <w:iCs/>
        </w:rPr>
        <w:t>Huhtamäki</w:t>
      </w:r>
      <w:proofErr w:type="spellEnd"/>
      <w:r w:rsidR="008E4DD7">
        <w:rPr>
          <w:i/>
          <w:iCs/>
        </w:rPr>
        <w:t xml:space="preserve"> przeciwko Finlandii</w:t>
      </w:r>
      <w:r w:rsidR="008E4DD7">
        <w:t xml:space="preserve">, nr 54468/09, § 51, 6 marca 2012 r., </w:t>
      </w:r>
      <w:r w:rsidR="00C416BC">
        <w:t xml:space="preserve">i </w:t>
      </w:r>
      <w:r w:rsidR="008E4DD7">
        <w:t xml:space="preserve">dalsze odwołania tamże), ani </w:t>
      </w:r>
      <w:r w:rsidR="00C416BC">
        <w:t>[nie powodował</w:t>
      </w:r>
      <w:r w:rsidR="00AD17C2">
        <w:t>by</w:t>
      </w:r>
      <w:r w:rsidR="00C416BC">
        <w:t xml:space="preserve"> tego] </w:t>
      </w:r>
      <w:r w:rsidR="008E4DD7">
        <w:t>też fakt, iż Najwyższy Sąd Administracyjny ubiegał się o wytyczne od TSEU</w:t>
      </w:r>
      <w:r w:rsidR="00C416BC">
        <w:t xml:space="preserve"> w sprawie interpretacji</w:t>
      </w:r>
      <w:r w:rsidR="008E4DD7">
        <w:t xml:space="preserve"> derogacji z </w:t>
      </w:r>
      <w:r w:rsidR="00F6710B">
        <w:t>art.</w:t>
      </w:r>
      <w:r w:rsidR="008E4DD7">
        <w:t xml:space="preserve"> 9 </w:t>
      </w:r>
      <w:r w:rsidR="009C4D21">
        <w:t>dyrektywy o ochronie danych</w:t>
      </w:r>
      <w:r w:rsidR="008E4DD7">
        <w:t>. Rzeczywiście, w</w:t>
      </w:r>
      <w:r w:rsidR="00E91B95">
        <w:t> </w:t>
      </w:r>
      <w:r w:rsidR="008E4DD7">
        <w:t>odniesieniu do tej drugiej [kwestii], Trybunał regularnie podkreślał wagę, dla ochrony praw podstawowych w UE, dialogu sądowego realizowanego pomiędzy sądami krajowymi państw członkowskich UE a TSUE w postaci wniosków o wydanie orzeczeń w trybie prejudycjalnym przez TSUE (zob.</w:t>
      </w:r>
      <w:r w:rsidR="00E91B95">
        <w:t> </w:t>
      </w:r>
      <w:proofErr w:type="spellStart"/>
      <w:r w:rsidR="008E4DD7">
        <w:rPr>
          <w:i/>
          <w:iCs/>
        </w:rPr>
        <w:t>Bosphorus</w:t>
      </w:r>
      <w:proofErr w:type="spellEnd"/>
      <w:r w:rsidR="008E4DD7">
        <w:rPr>
          <w:i/>
          <w:iCs/>
        </w:rPr>
        <w:t xml:space="preserve"> </w:t>
      </w:r>
      <w:proofErr w:type="spellStart"/>
      <w:r w:rsidR="008E4DD7">
        <w:rPr>
          <w:i/>
          <w:iCs/>
        </w:rPr>
        <w:t>Hava</w:t>
      </w:r>
      <w:proofErr w:type="spellEnd"/>
      <w:r w:rsidR="008E4DD7">
        <w:rPr>
          <w:i/>
          <w:iCs/>
        </w:rPr>
        <w:t xml:space="preserve"> </w:t>
      </w:r>
      <w:proofErr w:type="spellStart"/>
      <w:r w:rsidR="008E4DD7">
        <w:rPr>
          <w:i/>
          <w:iCs/>
        </w:rPr>
        <w:t>Yolları</w:t>
      </w:r>
      <w:proofErr w:type="spellEnd"/>
      <w:r w:rsidR="008E4DD7">
        <w:rPr>
          <w:i/>
          <w:iCs/>
        </w:rPr>
        <w:t xml:space="preserve"> </w:t>
      </w:r>
      <w:proofErr w:type="spellStart"/>
      <w:r w:rsidR="008E4DD7">
        <w:rPr>
          <w:i/>
          <w:iCs/>
        </w:rPr>
        <w:t>Turizm</w:t>
      </w:r>
      <w:proofErr w:type="spellEnd"/>
      <w:r w:rsidR="008E4DD7">
        <w:rPr>
          <w:i/>
          <w:iCs/>
        </w:rPr>
        <w:t xml:space="preserve"> </w:t>
      </w:r>
      <w:proofErr w:type="spellStart"/>
      <w:r w:rsidR="008E4DD7">
        <w:rPr>
          <w:i/>
          <w:iCs/>
        </w:rPr>
        <w:t>ve</w:t>
      </w:r>
      <w:proofErr w:type="spellEnd"/>
      <w:r w:rsidR="008E4DD7">
        <w:rPr>
          <w:i/>
          <w:iCs/>
        </w:rPr>
        <w:t xml:space="preserve"> </w:t>
      </w:r>
      <w:proofErr w:type="spellStart"/>
      <w:r w:rsidR="008E4DD7">
        <w:rPr>
          <w:i/>
          <w:iCs/>
        </w:rPr>
        <w:t>Ticaret</w:t>
      </w:r>
      <w:proofErr w:type="spellEnd"/>
      <w:r w:rsidR="008E4DD7">
        <w:rPr>
          <w:i/>
          <w:iCs/>
        </w:rPr>
        <w:t xml:space="preserve"> Anonim </w:t>
      </w:r>
      <w:proofErr w:type="spellStart"/>
      <w:r w:rsidR="008E4DD7">
        <w:rPr>
          <w:i/>
          <w:iCs/>
        </w:rPr>
        <w:t>Şirketi</w:t>
      </w:r>
      <w:proofErr w:type="spellEnd"/>
      <w:r w:rsidR="008E4DD7">
        <w:rPr>
          <w:i/>
          <w:iCs/>
        </w:rPr>
        <w:t xml:space="preserve"> przeciwko Irlandii</w:t>
      </w:r>
      <w:r w:rsidR="008E4DD7">
        <w:t xml:space="preserve"> [WI], nr 45036/98, § 164, ECHR 2005</w:t>
      </w:r>
      <w:r w:rsidR="008E4DD7">
        <w:noBreakHyphen/>
        <w:t xml:space="preserve">VI; oraz </w:t>
      </w:r>
      <w:proofErr w:type="spellStart"/>
      <w:r w:rsidR="008E4DD7">
        <w:rPr>
          <w:i/>
          <w:iCs/>
        </w:rPr>
        <w:t>Avotiņš</w:t>
      </w:r>
      <w:proofErr w:type="spellEnd"/>
      <w:r w:rsidR="008E4DD7">
        <w:rPr>
          <w:i/>
          <w:iCs/>
        </w:rPr>
        <w:t xml:space="preserve"> przeciwko Łotwie </w:t>
      </w:r>
      <w:r w:rsidR="008E4DD7">
        <w:t xml:space="preserve">[WI], nr 17502/07, </w:t>
      </w:r>
      <w:r w:rsidR="008E4DD7">
        <w:rPr>
          <w:snapToGrid w:val="0"/>
        </w:rPr>
        <w:t>§§ 105 i 109, ECHR 2016</w:t>
      </w:r>
      <w:r w:rsidR="008E4DD7">
        <w:t>).</w:t>
      </w:r>
    </w:p>
    <w:p w14:paraId="12116C53" w14:textId="7CA34E2A" w:rsidR="008E4DD7" w:rsidRPr="00841658" w:rsidRDefault="005A22F3" w:rsidP="008C4721">
      <w:pPr>
        <w:pStyle w:val="ECHRPara"/>
      </w:pPr>
      <w:r>
        <w:t>151</w:t>
      </w:r>
      <w:r w:rsidR="008E4DD7">
        <w:t>.</w:t>
      </w:r>
      <w:r>
        <w:t xml:space="preserve"> </w:t>
      </w:r>
      <w:r w:rsidR="008E4DD7">
        <w:t>Dodatkowo, spółki skarżące należały do branży mediów i</w:t>
      </w:r>
      <w:r w:rsidR="00E91B95">
        <w:t> </w:t>
      </w:r>
      <w:r w:rsidR="008E4DD7">
        <w:t>w</w:t>
      </w:r>
      <w:r w:rsidR="00E91B95">
        <w:t> </w:t>
      </w:r>
      <w:r w:rsidR="008E4DD7">
        <w:t>związku z tym powinny mieć świadomość możliwości, że masowe zbieranie danych oraz ich hurtowe rozpowszechnianie – dotyczące około jednej trzeciej fińskich podatników lub 1,2 milionów ludzi, liczby od 10 do</w:t>
      </w:r>
      <w:r w:rsidR="00E91B95">
        <w:t> </w:t>
      </w:r>
      <w:r w:rsidR="008E4DD7">
        <w:t>20 razy większej niż te, które opublikowały jakiekolwiek inne organizacje medi</w:t>
      </w:r>
      <w:r w:rsidR="00D9277A">
        <w:t>alne</w:t>
      </w:r>
      <w:r w:rsidR="008E4DD7">
        <w:t xml:space="preserve"> w tamtym czasie – może zostać uznane </w:t>
      </w:r>
      <w:r w:rsidR="008E4DD7">
        <w:lastRenderedPageBreak/>
        <w:t>za</w:t>
      </w:r>
      <w:r w:rsidR="00E91B95">
        <w:t> </w:t>
      </w:r>
      <w:r w:rsidR="008E4DD7">
        <w:t>przetwarzanie przekraczające przetwarzanie „wyłącznie” na cele dziennikarskie według stosownych przepisów prawa fińskiego i unijnego.</w:t>
      </w:r>
    </w:p>
    <w:p w14:paraId="41755703" w14:textId="77E3EC46" w:rsidR="008E4DD7" w:rsidRPr="00841658" w:rsidRDefault="005A22F3" w:rsidP="008C4721">
      <w:pPr>
        <w:pStyle w:val="ECHRPara"/>
      </w:pPr>
      <w:r>
        <w:t>152</w:t>
      </w:r>
      <w:r w:rsidR="008E4DD7">
        <w:t>.</w:t>
      </w:r>
      <w:r>
        <w:t xml:space="preserve"> </w:t>
      </w:r>
      <w:r w:rsidR="008E4DD7">
        <w:t>W przedmiotowej sprawie, po złożeniu wniosków o dane do</w:t>
      </w:r>
      <w:r w:rsidR="00E91B95">
        <w:t> </w:t>
      </w:r>
      <w:r w:rsidR="008E4DD7">
        <w:t>Krajowej Rady Podatkowej w 2000 i 2001</w:t>
      </w:r>
      <w:r w:rsidR="001E5639">
        <w:t xml:space="preserve"> r.</w:t>
      </w:r>
      <w:r w:rsidR="008E4DD7">
        <w:t>, skarżące spółki zostały poproszone przez Rzecznika ds. Ochrony Danych</w:t>
      </w:r>
      <w:r w:rsidR="001E5639">
        <w:t>,</w:t>
      </w:r>
      <w:r w:rsidR="008E4DD7">
        <w:t xml:space="preserve"> by przedstawiły dalsze informacje dotyczące tych wniosków i zostały poinformowane, że dane nie</w:t>
      </w:r>
      <w:r w:rsidR="00F933C1">
        <w:t> </w:t>
      </w:r>
      <w:r w:rsidR="008E4DD7">
        <w:t xml:space="preserve">mogą być ujawnione, jeżeli </w:t>
      </w:r>
      <w:r w:rsidR="008E4DD7">
        <w:rPr>
          <w:i/>
          <w:iCs/>
        </w:rPr>
        <w:t>Veropörssi</w:t>
      </w:r>
      <w:r w:rsidR="008E4DD7">
        <w:t xml:space="preserve"> nadal będzie publikowany w</w:t>
      </w:r>
      <w:r w:rsidR="00E91B95">
        <w:t> </w:t>
      </w:r>
      <w:r w:rsidR="008E4DD7">
        <w:t xml:space="preserve">zwyczajowej formie. Zamiast spełnić prośbę o przedstawienie dalszych informacji wystosowaną przez Rzecznika, skarżące </w:t>
      </w:r>
      <w:r w:rsidR="001E5639">
        <w:t xml:space="preserve">spółki </w:t>
      </w:r>
      <w:r w:rsidR="008E4DD7">
        <w:t>ominęły zwyczajowy tryb uzyskiwania przez dziennikarzy danych podatkowych i</w:t>
      </w:r>
      <w:r w:rsidR="00E91B95">
        <w:t> </w:t>
      </w:r>
      <w:r w:rsidR="008E4DD7">
        <w:t>zorganizowały zbieranie ich ręcznie w lokalnych urzędach podatkowych (zob. paragraf 12 powyżej). Nie jest zadaniem Trybunału spekulowanie na</w:t>
      </w:r>
      <w:r w:rsidR="00E91B95">
        <w:t> </w:t>
      </w:r>
      <w:r w:rsidR="008E4DD7">
        <w:t>temat powodów, dla których działały one w taki sposób, lecz fakt</w:t>
      </w:r>
      <w:r w:rsidR="001E5639">
        <w:t>,</w:t>
      </w:r>
      <w:r w:rsidR="008E4DD7">
        <w:t xml:space="preserve"> iż</w:t>
      </w:r>
      <w:r w:rsidR="00E91B95">
        <w:t> </w:t>
      </w:r>
      <w:r w:rsidR="008E4DD7">
        <w:t>to</w:t>
      </w:r>
      <w:r w:rsidR="00E91B95">
        <w:t> </w:t>
      </w:r>
      <w:r w:rsidR="008E4DD7">
        <w:t>robiły, sugeruje pewne przewidywanie po ich stronie trudności w</w:t>
      </w:r>
      <w:r w:rsidR="00E91B95">
        <w:t> </w:t>
      </w:r>
      <w:r w:rsidR="008E4DD7">
        <w:t>po</w:t>
      </w:r>
      <w:r w:rsidR="001E5639">
        <w:t>woływani</w:t>
      </w:r>
      <w:r w:rsidR="00AD17C2">
        <w:t>u</w:t>
      </w:r>
      <w:r w:rsidR="001E5639">
        <w:t xml:space="preserve"> się na derogację</w:t>
      </w:r>
      <w:r w:rsidR="008E4DD7">
        <w:t xml:space="preserve"> na cel</w:t>
      </w:r>
      <w:r w:rsidR="001E5639">
        <w:t>e dziennikarskie oraz stosowne przepisy krajowe</w:t>
      </w:r>
      <w:r w:rsidR="008E4DD7">
        <w:t xml:space="preserve"> dotyc</w:t>
      </w:r>
      <w:r w:rsidR="001E5639">
        <w:t>zące</w:t>
      </w:r>
      <w:r w:rsidR="008E4DD7">
        <w:t xml:space="preserve"> dostępu do danych podatkowych.</w:t>
      </w:r>
    </w:p>
    <w:p w14:paraId="4D97E408" w14:textId="68CB006C" w:rsidR="008E4DD7" w:rsidRPr="00841658" w:rsidRDefault="005A22F3" w:rsidP="008C4721">
      <w:pPr>
        <w:pStyle w:val="ECHRPara"/>
      </w:pPr>
      <w:r>
        <w:t>153</w:t>
      </w:r>
      <w:r w:rsidR="008E4DD7">
        <w:t>.</w:t>
      </w:r>
      <w:r>
        <w:t xml:space="preserve"> </w:t>
      </w:r>
      <w:r w:rsidR="008E4DD7">
        <w:t>Co więcej, wersja Wytycznych dla Dziennikarzy z 1992</w:t>
      </w:r>
      <w:r w:rsidR="00F6710B" w:rsidRPr="00F6710B">
        <w:t xml:space="preserve"> </w:t>
      </w:r>
      <w:r w:rsidR="00F6710B">
        <w:t>r.</w:t>
      </w:r>
      <w:r w:rsidR="008E4DD7">
        <w:t xml:space="preserve"> – wydana ponownie w latach 2005, 2011 i 2014 – wyraźnie wskazywała, że zasady dotyczące ochrony osób indywidualnych również miały zastosowanie do</w:t>
      </w:r>
      <w:r w:rsidR="00E91B95">
        <w:t> </w:t>
      </w:r>
      <w:r w:rsidR="008E4DD7">
        <w:t>wykorzystywania informacji zawartych w dokumentach publicznych lub</w:t>
      </w:r>
      <w:r w:rsidR="00E91B95">
        <w:t> </w:t>
      </w:r>
      <w:r w:rsidR="008E4DD7">
        <w:t>innych źródłach publicznych oraz że sam fakt</w:t>
      </w:r>
      <w:r w:rsidR="001E5639">
        <w:t>,</w:t>
      </w:r>
      <w:r w:rsidR="008E4DD7">
        <w:t xml:space="preserve"> iż informacje </w:t>
      </w:r>
      <w:r w:rsidR="004A12DD">
        <w:t xml:space="preserve">są </w:t>
      </w:r>
      <w:r w:rsidR="008E4DD7">
        <w:t>dostępne dla opinii publicznej</w:t>
      </w:r>
      <w:r w:rsidR="001E5639">
        <w:t>,</w:t>
      </w:r>
      <w:r w:rsidR="008E4DD7">
        <w:t xml:space="preserve"> nie zawsze oznacza, że można te informacje swobodnie publikować. Wytyczne te, które miały zapewniać samo-regulację fińskich dziennikarzy i wydawców, musiały być znane skarżącym spółkom.</w:t>
      </w:r>
    </w:p>
    <w:p w14:paraId="5713EDDB" w14:textId="101B1C19" w:rsidR="008E4DD7" w:rsidRPr="00841658" w:rsidRDefault="005A22F3" w:rsidP="008C4721">
      <w:pPr>
        <w:pStyle w:val="ECHRPara"/>
      </w:pPr>
      <w:r>
        <w:t>154</w:t>
      </w:r>
      <w:r w:rsidR="008E4DD7">
        <w:t>.</w:t>
      </w:r>
      <w:r>
        <w:t xml:space="preserve"> </w:t>
      </w:r>
      <w:r w:rsidR="008E4DD7">
        <w:t>W świetle powyższych rozważań Trybunał stwierdza, że</w:t>
      </w:r>
      <w:r w:rsidR="00E91B95">
        <w:t> </w:t>
      </w:r>
      <w:r w:rsidR="008E4DD7">
        <w:t>przedmiotow</w:t>
      </w:r>
      <w:r w:rsidR="004921CD">
        <w:t>a ingerencja w prawo</w:t>
      </w:r>
      <w:r w:rsidR="008E4DD7">
        <w:t xml:space="preserve"> do wolności wyrażania opinii przez skarżące spółki był</w:t>
      </w:r>
      <w:r w:rsidR="001E5639">
        <w:t>a</w:t>
      </w:r>
      <w:r w:rsidR="008E4DD7">
        <w:t xml:space="preserve"> „przewidzian</w:t>
      </w:r>
      <w:r w:rsidR="001E5639">
        <w:t>a</w:t>
      </w:r>
      <w:r w:rsidR="008E4DD7">
        <w:t xml:space="preserve"> przez ustawę”.</w:t>
      </w:r>
    </w:p>
    <w:p w14:paraId="3298DA6D" w14:textId="7B11B1E3" w:rsidR="008E4DD7" w:rsidRPr="00841658" w:rsidRDefault="008E4DD7" w:rsidP="00193392">
      <w:pPr>
        <w:pStyle w:val="ECHRHeading3"/>
      </w:pPr>
      <w:r>
        <w:t>4.</w:t>
      </w:r>
      <w:r w:rsidR="005A22F3">
        <w:t xml:space="preserve"> </w:t>
      </w:r>
      <w:r>
        <w:t>U</w:t>
      </w:r>
      <w:r w:rsidR="002652EB">
        <w:t>prawniony</w:t>
      </w:r>
      <w:r>
        <w:t xml:space="preserve"> cel</w:t>
      </w:r>
    </w:p>
    <w:p w14:paraId="2D0068B5" w14:textId="05441C84" w:rsidR="008E4DD7" w:rsidRPr="00841658" w:rsidRDefault="005A22F3" w:rsidP="008C4721">
      <w:pPr>
        <w:pStyle w:val="ECHRPara"/>
      </w:pPr>
      <w:r>
        <w:t>155</w:t>
      </w:r>
      <w:r w:rsidR="008E4DD7">
        <w:t>.</w:t>
      </w:r>
      <w:r>
        <w:t xml:space="preserve"> </w:t>
      </w:r>
      <w:r w:rsidR="008E4DD7">
        <w:t>Strony</w:t>
      </w:r>
      <w:r w:rsidR="001E5639">
        <w:t xml:space="preserve"> </w:t>
      </w:r>
      <w:r w:rsidR="008E4DD7">
        <w:t xml:space="preserve">nie kwestionowały </w:t>
      </w:r>
      <w:r w:rsidR="001E5639">
        <w:t xml:space="preserve">zasadniczo </w:t>
      </w:r>
      <w:r w:rsidR="008E4DD7">
        <w:t xml:space="preserve">faktu, iż </w:t>
      </w:r>
      <w:r w:rsidR="004921CD">
        <w:t>ingerencja w</w:t>
      </w:r>
      <w:r w:rsidR="00E91B95">
        <w:t> </w:t>
      </w:r>
      <w:r w:rsidR="004921CD">
        <w:t>wolność</w:t>
      </w:r>
      <w:r w:rsidR="008E4DD7">
        <w:t xml:space="preserve"> wyrażania op</w:t>
      </w:r>
      <w:r w:rsidR="004921CD">
        <w:t xml:space="preserve">inii </w:t>
      </w:r>
      <w:r w:rsidR="001E5639">
        <w:t>skarżących spółek</w:t>
      </w:r>
      <w:r w:rsidR="004921CD">
        <w:t xml:space="preserve"> mogła być uznana</w:t>
      </w:r>
      <w:r w:rsidR="008E4DD7">
        <w:t xml:space="preserve"> za</w:t>
      </w:r>
      <w:r w:rsidR="00E91B95">
        <w:t> </w:t>
      </w:r>
      <w:r w:rsidR="008E4DD7">
        <w:t>realizowanie u</w:t>
      </w:r>
      <w:r w:rsidR="002652EB">
        <w:t>prawnionego</w:t>
      </w:r>
      <w:r w:rsidR="008E4DD7">
        <w:t xml:space="preserve"> celu </w:t>
      </w:r>
      <w:r w:rsidR="001E5639">
        <w:t xml:space="preserve">ochrony </w:t>
      </w:r>
      <w:r w:rsidR="008E4DD7">
        <w:t>„</w:t>
      </w:r>
      <w:r w:rsidR="001E5639">
        <w:t xml:space="preserve">dobrego imienia </w:t>
      </w:r>
      <w:r w:rsidR="008E4DD7">
        <w:t>i praw innych osób”.</w:t>
      </w:r>
    </w:p>
    <w:p w14:paraId="03BDAAD2" w14:textId="33241818" w:rsidR="008E4DD7" w:rsidRPr="00841658" w:rsidRDefault="005A22F3" w:rsidP="008C4721">
      <w:pPr>
        <w:pStyle w:val="ECHRPara"/>
      </w:pPr>
      <w:r>
        <w:t>156</w:t>
      </w:r>
      <w:r w:rsidR="008E4DD7">
        <w:t>.</w:t>
      </w:r>
      <w:r>
        <w:t xml:space="preserve"> </w:t>
      </w:r>
      <w:r w:rsidR="008E4DD7">
        <w:t xml:space="preserve">Jednakże skarżące spółki argumentowały, że o ile potrzeba ochrony przed naruszeniami prywatności może być istotnym względem, </w:t>
      </w:r>
      <w:r w:rsidR="001E5639">
        <w:t>została już</w:t>
      </w:r>
      <w:r w:rsidR="00E91B95">
        <w:t> </w:t>
      </w:r>
      <w:r w:rsidR="001E5639">
        <w:t xml:space="preserve">uwzględniona, oceniona i zaakceptowana przez </w:t>
      </w:r>
      <w:r w:rsidR="008E4DD7">
        <w:t>fiński</w:t>
      </w:r>
      <w:r w:rsidR="001E5639">
        <w:t>ego ustawodawcę</w:t>
      </w:r>
      <w:r w:rsidR="008E4DD7">
        <w:t xml:space="preserve"> przy uchwalaniu </w:t>
      </w:r>
      <w:r w:rsidR="009C4D21">
        <w:t>ustawy o danych osobowych</w:t>
      </w:r>
      <w:r w:rsidR="008E4DD7">
        <w:t>. Ich zdaniem, podnoszona potrzeba ochrony prywatności w przedmiotowej sprawie była abstrakcyjna i</w:t>
      </w:r>
      <w:r w:rsidR="00E91B95">
        <w:t> </w:t>
      </w:r>
      <w:r w:rsidR="008E4DD7">
        <w:t>hipotetyczna. Wszelkie zagrożenie dla prywatności było praktycznie nieistniejące</w:t>
      </w:r>
      <w:r w:rsidR="001E5639">
        <w:t xml:space="preserve"> i</w:t>
      </w:r>
      <w:r w:rsidR="008E4DD7">
        <w:t xml:space="preserve"> w każdym razie sprawa nie dotyczyła w ogóle prywatności poszczególnych osób.</w:t>
      </w:r>
    </w:p>
    <w:p w14:paraId="1E4EDD35" w14:textId="4EDC2CBD" w:rsidR="008E4DD7" w:rsidRPr="00841658" w:rsidRDefault="005A22F3" w:rsidP="008C4721">
      <w:pPr>
        <w:pStyle w:val="ECHRPara"/>
      </w:pPr>
      <w:r>
        <w:t>157</w:t>
      </w:r>
      <w:r w:rsidR="008E4DD7">
        <w:t>.</w:t>
      </w:r>
      <w:r>
        <w:t xml:space="preserve"> </w:t>
      </w:r>
      <w:r w:rsidR="008E4DD7">
        <w:t>Trybunał odnotowuje, że wbrew suge</w:t>
      </w:r>
      <w:r w:rsidR="001E5639">
        <w:t>stiom skarżących spółek</w:t>
      </w:r>
      <w:r w:rsidR="008E4DD7">
        <w:t xml:space="preserve"> z akt sprawy</w:t>
      </w:r>
      <w:r w:rsidR="001E5639" w:rsidRPr="001E5639">
        <w:t xml:space="preserve"> </w:t>
      </w:r>
      <w:r w:rsidR="001E5639">
        <w:t>wyraźnie wynika</w:t>
      </w:r>
      <w:r w:rsidR="008E4DD7">
        <w:t>, że Rzecznik ds. Ochrony Danych działał na</w:t>
      </w:r>
      <w:r w:rsidR="00E91B95">
        <w:t> </w:t>
      </w:r>
      <w:r w:rsidR="008E4DD7">
        <w:t xml:space="preserve">podstawie konkretnych skarg od osób indywidualnych zgłaszających, </w:t>
      </w:r>
      <w:r w:rsidR="008E4DD7">
        <w:lastRenderedPageBreak/>
        <w:t>że</w:t>
      </w:r>
      <w:r w:rsidR="00E91B95">
        <w:t> </w:t>
      </w:r>
      <w:r w:rsidR="008E4DD7">
        <w:t xml:space="preserve">publikowanie danych podatkowych w </w:t>
      </w:r>
      <w:r w:rsidR="008E4DD7">
        <w:rPr>
          <w:i/>
          <w:iCs/>
        </w:rPr>
        <w:t>Veropörssi</w:t>
      </w:r>
      <w:r w:rsidR="008E4DD7">
        <w:t xml:space="preserve"> naruszyło ich prawo do</w:t>
      </w:r>
      <w:r w:rsidR="00E91B95">
        <w:t> </w:t>
      </w:r>
      <w:r w:rsidR="008E4DD7">
        <w:t>prywatności. Jak jasno wynika z liczb wskazanych w paragrafie 9 powyżej, bardzo duża grupa osób fizycznych, którzy są podatnikami w</w:t>
      </w:r>
      <w:r w:rsidR="00E91B95">
        <w:t> </w:t>
      </w:r>
      <w:r w:rsidR="004A12DD">
        <w:t>Finlandii, odczuła</w:t>
      </w:r>
      <w:r w:rsidR="008E4DD7">
        <w:t xml:space="preserve"> bezpośrednie konsekwencje praktyki publicystycznej skarżących spółek. Można twierdzić, że wszyscy podatnicy fińscy odczuwają skutki, pośrednio lub bezpośrednio, publikacji skarżących spółek, jako że ich dochód podlegający opodatkowaniu może być oszacowany przez czytelników poprzez ich ujęcie </w:t>
      </w:r>
      <w:r w:rsidR="00B30E92">
        <w:t>na liście</w:t>
      </w:r>
      <w:r w:rsidR="008E4DD7">
        <w:t xml:space="preserve"> opublikowanej przez </w:t>
      </w:r>
      <w:r w:rsidR="008E4DD7">
        <w:rPr>
          <w:i/>
          <w:iCs/>
        </w:rPr>
        <w:t>Veropörssi</w:t>
      </w:r>
      <w:r w:rsidR="00B30E92">
        <w:rPr>
          <w:i/>
          <w:iCs/>
        </w:rPr>
        <w:t xml:space="preserve"> </w:t>
      </w:r>
      <w:r w:rsidR="00B30E92" w:rsidRPr="00B30E92">
        <w:rPr>
          <w:iCs/>
        </w:rPr>
        <w:t>lub z niej wykluczenie</w:t>
      </w:r>
      <w:r w:rsidR="008E4DD7">
        <w:t>.</w:t>
      </w:r>
    </w:p>
    <w:p w14:paraId="52890675" w14:textId="6FAD3203" w:rsidR="008E4DD7" w:rsidRPr="00841658" w:rsidRDefault="005A22F3" w:rsidP="008C4721">
      <w:pPr>
        <w:pStyle w:val="ECHRPara"/>
      </w:pPr>
      <w:r>
        <w:t>158</w:t>
      </w:r>
      <w:r w:rsidR="008E4DD7">
        <w:t>.</w:t>
      </w:r>
      <w:r>
        <w:t xml:space="preserve"> </w:t>
      </w:r>
      <w:r w:rsidR="008E4DD7">
        <w:t xml:space="preserve">Pozostawiając na boku pytanie, czy niezbędne było </w:t>
      </w:r>
      <w:r w:rsidR="00B30E92">
        <w:t>z</w:t>
      </w:r>
      <w:r w:rsidR="008E4DD7">
        <w:t xml:space="preserve">identyfikowanie </w:t>
      </w:r>
      <w:r w:rsidR="00B30E92">
        <w:t xml:space="preserve">indywidualnych </w:t>
      </w:r>
      <w:r w:rsidR="008E4DD7">
        <w:t xml:space="preserve">skarżących na poziomie krajowym, argument skarżących spółek nie docenia charakteru i zakresu obowiązków krajowych organów ds. ochrony danych według </w:t>
      </w:r>
      <w:r w:rsidR="00D9277A" w:rsidRPr="00D9277A">
        <w:rPr>
          <w:iCs/>
        </w:rPr>
        <w:t>m.in.</w:t>
      </w:r>
      <w:r w:rsidR="008E4DD7">
        <w:t xml:space="preserve"> art. 44 </w:t>
      </w:r>
      <w:r w:rsidR="009C4D21">
        <w:t>ustawy o</w:t>
      </w:r>
      <w:r w:rsidR="00E91B95">
        <w:t> </w:t>
      </w:r>
      <w:r w:rsidR="009C4D21">
        <w:t xml:space="preserve">danych osobowych </w:t>
      </w:r>
      <w:r w:rsidR="008E4DD7">
        <w:t xml:space="preserve">oraz odpowiednich postanowień </w:t>
      </w:r>
      <w:r w:rsidR="009C4D21">
        <w:t>dyrektywy o ochronie danych.</w:t>
      </w:r>
      <w:r w:rsidR="00B30E92">
        <w:t xml:space="preserve"> W kontekście tego ostatniego</w:t>
      </w:r>
      <w:r w:rsidR="008E4DD7">
        <w:t xml:space="preserve"> należy odnotować, że TSUE uznał, że</w:t>
      </w:r>
      <w:r w:rsidR="00E91B95">
        <w:t> </w:t>
      </w:r>
      <w:r w:rsidR="008E4DD7">
        <w:t>gwarancja niezależności krajowych organów nadzorczych została ustanowiona</w:t>
      </w:r>
      <w:r w:rsidR="00B30E92">
        <w:t>,</w:t>
      </w:r>
      <w:r w:rsidR="008E4DD7">
        <w:t xml:space="preserve"> aby wzmocnić ochronę osób i organów, których dotyczą decyzje tych władz. W c</w:t>
      </w:r>
      <w:r w:rsidR="00B30E92">
        <w:t>elu zagwarantowania tej ochrony</w:t>
      </w:r>
      <w:r w:rsidR="008E4DD7">
        <w:t xml:space="preserve"> krajowe organy nadzorcze muszą, w szczególności, zapewnić sprawiedliwą równowagę pomiędzy przestrzeganiem podstawowego prawa do prywatności po jednej stronie a interesami wymagającymi swobodnego przepływu danych osobowych po drugiej stronie (zob. wyrok TSUE w sprawie </w:t>
      </w:r>
      <w:proofErr w:type="spellStart"/>
      <w:r w:rsidR="008E4DD7">
        <w:rPr>
          <w:i/>
          <w:iCs/>
        </w:rPr>
        <w:t>Schrems</w:t>
      </w:r>
      <w:proofErr w:type="spellEnd"/>
      <w:r w:rsidR="008E4DD7">
        <w:t>, cyt.</w:t>
      </w:r>
      <w:r w:rsidR="00E91B95">
        <w:t> </w:t>
      </w:r>
      <w:r w:rsidR="008E4DD7">
        <w:t>w</w:t>
      </w:r>
      <w:r w:rsidR="00E91B95">
        <w:t> </w:t>
      </w:r>
      <w:r w:rsidR="008E4DD7">
        <w:t xml:space="preserve">paragrafie 76 powyżej). Ochrona prywatności stała zatem </w:t>
      </w:r>
      <w:r w:rsidR="00B30E92">
        <w:t>w centrum</w:t>
      </w:r>
      <w:r w:rsidR="008E4DD7">
        <w:t xml:space="preserve"> przepisów </w:t>
      </w:r>
      <w:r w:rsidR="004A12DD">
        <w:t xml:space="preserve">w sprawie </w:t>
      </w:r>
      <w:r w:rsidR="008E4DD7">
        <w:t>ochrony danych, któr</w:t>
      </w:r>
      <w:r w:rsidR="00B30E92">
        <w:t>ych poszanowanie mają za</w:t>
      </w:r>
      <w:r w:rsidR="00F933C1">
        <w:t> </w:t>
      </w:r>
      <w:r w:rsidR="00B30E92">
        <w:t>zadanie zapewnić te organy</w:t>
      </w:r>
      <w:r w:rsidR="008E4DD7">
        <w:t>.</w:t>
      </w:r>
    </w:p>
    <w:p w14:paraId="6DC985ED" w14:textId="617B86CB" w:rsidR="008E4DD7" w:rsidRPr="00841658" w:rsidRDefault="005A22F3" w:rsidP="008C4721">
      <w:pPr>
        <w:pStyle w:val="ECHRPara"/>
      </w:pPr>
      <w:r>
        <w:t>159</w:t>
      </w:r>
      <w:r w:rsidR="008E4DD7">
        <w:t>.</w:t>
      </w:r>
      <w:r>
        <w:t xml:space="preserve"> </w:t>
      </w:r>
      <w:r w:rsidR="008E4DD7">
        <w:t xml:space="preserve">W świetle powyższych rozważań oraz uwzględniając cele Konwencji o </w:t>
      </w:r>
      <w:r w:rsidR="009C4D21">
        <w:t>ochronie danych</w:t>
      </w:r>
      <w:r w:rsidR="008E4DD7">
        <w:t xml:space="preserve">, odzwierciedlone w </w:t>
      </w:r>
      <w:r w:rsidR="009C4D21">
        <w:t xml:space="preserve">dyrektywie </w:t>
      </w:r>
      <w:r w:rsidR="008E4DD7">
        <w:t xml:space="preserve">95/46 oraz, bardziej niedawno, w </w:t>
      </w:r>
      <w:r w:rsidR="009C4D21">
        <w:t xml:space="preserve">rozporządzeniu </w:t>
      </w:r>
      <w:r w:rsidR="008E4DD7">
        <w:t>2016/79</w:t>
      </w:r>
      <w:r w:rsidR="001B5D23">
        <w:rPr>
          <w:rStyle w:val="Odwoanieprzypisudolnego"/>
        </w:rPr>
        <w:footnoteReference w:id="5"/>
      </w:r>
      <w:r w:rsidR="008E4DD7">
        <w:t xml:space="preserve"> (zob. paragrafy 59 i 67 powyżej), jasne jest, że </w:t>
      </w:r>
      <w:r w:rsidR="004921CD">
        <w:t>ingerencja w prawo</w:t>
      </w:r>
      <w:r w:rsidR="008E4DD7">
        <w:t xml:space="preserve"> do wolności wyrażania opinii skarżących spół</w:t>
      </w:r>
      <w:r w:rsidR="004921CD">
        <w:t>ek realizowała</w:t>
      </w:r>
      <w:r w:rsidR="008E4DD7">
        <w:t xml:space="preserve"> u</w:t>
      </w:r>
      <w:r w:rsidR="002652EB">
        <w:t>prawniony</w:t>
      </w:r>
      <w:r w:rsidR="008E4DD7">
        <w:t xml:space="preserve"> cel ochrony „</w:t>
      </w:r>
      <w:r w:rsidR="002652EB">
        <w:t xml:space="preserve">dobrego imienia </w:t>
      </w:r>
      <w:r w:rsidR="008E4DD7">
        <w:t xml:space="preserve">lub praw innych osób” w rozumieniu </w:t>
      </w:r>
      <w:r w:rsidR="00F6710B">
        <w:t>art.</w:t>
      </w:r>
      <w:r w:rsidR="008E4DD7">
        <w:t xml:space="preserve"> 10 ust. 2 Konwencji.</w:t>
      </w:r>
    </w:p>
    <w:p w14:paraId="6723C39D" w14:textId="5AEF00C5" w:rsidR="008E4DD7" w:rsidRPr="00841658" w:rsidRDefault="008E4DD7" w:rsidP="00193392">
      <w:pPr>
        <w:pStyle w:val="ECHRHeading3"/>
      </w:pPr>
      <w:r>
        <w:t>5.</w:t>
      </w:r>
      <w:r w:rsidR="005A22F3">
        <w:t xml:space="preserve"> </w:t>
      </w:r>
      <w:r>
        <w:t>Niezbędne w społeczeństwie demokratycznym</w:t>
      </w:r>
    </w:p>
    <w:p w14:paraId="62145B3D" w14:textId="5DBE971A" w:rsidR="008E4DD7" w:rsidRPr="00841658" w:rsidRDefault="005A22F3" w:rsidP="007365DD">
      <w:pPr>
        <w:pStyle w:val="ECHRPara"/>
      </w:pPr>
      <w:r>
        <w:t>160</w:t>
      </w:r>
      <w:r w:rsidR="008E4DD7">
        <w:t>.</w:t>
      </w:r>
      <w:r>
        <w:t xml:space="preserve"> </w:t>
      </w:r>
      <w:r w:rsidR="008E4DD7">
        <w:t xml:space="preserve">Podstawowe pytanie w przedmiotowej sprawie, jak wcześniej wskazano, brzmi, czy </w:t>
      </w:r>
      <w:r w:rsidR="004921CD">
        <w:t>ingerencja w prawo</w:t>
      </w:r>
      <w:r w:rsidR="008E4DD7">
        <w:t xml:space="preserve"> do </w:t>
      </w:r>
      <w:r w:rsidR="001923B9">
        <w:t xml:space="preserve">wolności </w:t>
      </w:r>
      <w:r w:rsidR="008E4DD7">
        <w:t>wyrażan</w:t>
      </w:r>
      <w:r w:rsidR="004921CD">
        <w:t>ia opinii skarżących spółek była „niezbędna</w:t>
      </w:r>
      <w:r w:rsidR="008E4DD7">
        <w:t xml:space="preserve"> w społeczeństwie demokratycznym”, oraz czy, odpowiadając na to pytanie, sądy krajowe osiągnęły sprawiedliwą </w:t>
      </w:r>
      <w:r w:rsidR="008E4DD7">
        <w:lastRenderedPageBreak/>
        <w:t>równowagę pomiędzy tym prawem a prawem do poszanowania życia prywatnego.</w:t>
      </w:r>
    </w:p>
    <w:p w14:paraId="41FD2101" w14:textId="18C1527C" w:rsidR="008E4DD7" w:rsidRPr="00841658" w:rsidRDefault="005A22F3" w:rsidP="007365DD">
      <w:pPr>
        <w:pStyle w:val="ECHRPara"/>
      </w:pPr>
      <w:r>
        <w:t>161</w:t>
      </w:r>
      <w:r w:rsidR="008E4DD7">
        <w:t>.</w:t>
      </w:r>
      <w:r>
        <w:t xml:space="preserve"> </w:t>
      </w:r>
      <w:r w:rsidR="008E4DD7">
        <w:t xml:space="preserve">Po zaprezentowaniu powyżej – zob. paragrafy 120-138 – pewnych ogólnych zasad dotyczących prawa do wolności wyrażania opinii oraz poszanowania życia prywatnego, a także </w:t>
      </w:r>
      <w:r w:rsidR="007B68CA">
        <w:t xml:space="preserve">powodów, dla których </w:t>
      </w:r>
      <w:r w:rsidR="00F6710B">
        <w:t xml:space="preserve">art. </w:t>
      </w:r>
      <w:r w:rsidR="008E4DD7">
        <w:t xml:space="preserve">8 Konwencji wyraźnie </w:t>
      </w:r>
      <w:r w:rsidR="007B68CA">
        <w:t xml:space="preserve">wchodzi w grę </w:t>
      </w:r>
      <w:r w:rsidR="008E4DD7">
        <w:t>w okolicznościach takich jak te, Trybunał uważa, że przydatne jest przywołanie kryteriów równoważenia tych dwóch praw w okolicznościach sprawy takich jak ta.</w:t>
      </w:r>
    </w:p>
    <w:p w14:paraId="26E80825" w14:textId="4B8616A5" w:rsidR="008E4DD7" w:rsidRPr="00841658" w:rsidRDefault="008E4DD7" w:rsidP="00193392">
      <w:pPr>
        <w:pStyle w:val="ECHRHeading4"/>
      </w:pPr>
      <w:r>
        <w:t xml:space="preserve">(a) Zasady ogólne dotyczące marginesu </w:t>
      </w:r>
      <w:r w:rsidR="002652EB">
        <w:t>oceny</w:t>
      </w:r>
      <w:r>
        <w:t xml:space="preserve"> i równoważenia praw</w:t>
      </w:r>
    </w:p>
    <w:p w14:paraId="2E8D32AF" w14:textId="1EAE56CA" w:rsidR="008E4DD7" w:rsidRPr="00841658" w:rsidRDefault="005A22F3" w:rsidP="007365DD">
      <w:pPr>
        <w:pStyle w:val="ECHRPara"/>
      </w:pPr>
      <w:r>
        <w:t>162</w:t>
      </w:r>
      <w:r w:rsidR="008E4DD7">
        <w:t>.</w:t>
      </w:r>
      <w:r>
        <w:t xml:space="preserve"> </w:t>
      </w:r>
      <w:r w:rsidR="008E4DD7">
        <w:t xml:space="preserve">Wybór środków </w:t>
      </w:r>
      <w:r w:rsidR="001923B9">
        <w:t>ob</w:t>
      </w:r>
      <w:r w:rsidR="008E4DD7">
        <w:t>liczonych</w:t>
      </w:r>
      <w:r w:rsidR="00E02A1E">
        <w:t>,</w:t>
      </w:r>
      <w:r w:rsidR="008E4DD7">
        <w:t xml:space="preserve"> by zabezpieczyć zgodność z </w:t>
      </w:r>
      <w:r w:rsidR="00F6710B">
        <w:t>art.</w:t>
      </w:r>
      <w:r w:rsidR="008E4DD7">
        <w:t xml:space="preserve"> 8 Konwencji</w:t>
      </w:r>
      <w:r w:rsidR="00E02A1E">
        <w:t>,</w:t>
      </w:r>
      <w:r w:rsidR="008E4DD7">
        <w:t xml:space="preserve"> jest co do zasady kwestią, która mieści się w marginesie </w:t>
      </w:r>
      <w:r w:rsidR="002652EB">
        <w:t>oceny</w:t>
      </w:r>
      <w:r w:rsidR="008E4DD7">
        <w:t xml:space="preserve"> U</w:t>
      </w:r>
      <w:r w:rsidR="00CD7B10">
        <w:t>kładających</w:t>
      </w:r>
      <w:r w:rsidR="008E4DD7">
        <w:t xml:space="preserve"> się Państw, </w:t>
      </w:r>
      <w:r w:rsidR="00E02A1E">
        <w:t xml:space="preserve">niezależnie od tego, czy obowiązki </w:t>
      </w:r>
      <w:r w:rsidR="008E4DD7">
        <w:t>Państwa są pozytywne</w:t>
      </w:r>
      <w:r w:rsidR="00E02A1E">
        <w:t xml:space="preserve">, czy </w:t>
      </w:r>
      <w:r w:rsidR="008E4DD7">
        <w:t xml:space="preserve">negatywne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xml:space="preserve">, cyt. powyżej, § 90; oraz </w:t>
      </w:r>
      <w:r w:rsidR="008E4DD7">
        <w:rPr>
          <w:i/>
          <w:iCs/>
        </w:rPr>
        <w:t xml:space="preserve">Von </w:t>
      </w:r>
      <w:proofErr w:type="spellStart"/>
      <w:r w:rsidR="008E4DD7">
        <w:rPr>
          <w:i/>
          <w:iCs/>
        </w:rPr>
        <w:t>Hannover</w:t>
      </w:r>
      <w:proofErr w:type="spellEnd"/>
      <w:r w:rsidR="008E4DD7">
        <w:rPr>
          <w:i/>
          <w:iCs/>
        </w:rPr>
        <w:t xml:space="preserve"> (nr 2)</w:t>
      </w:r>
      <w:r w:rsidR="008E4DD7">
        <w:t xml:space="preserve">, cyt. powyżej, § 104, </w:t>
      </w:r>
      <w:r w:rsidR="00E02A1E">
        <w:t xml:space="preserve">i </w:t>
      </w:r>
      <w:r w:rsidR="008E4DD7">
        <w:t xml:space="preserve">dalsze odwołania tamże). Podobnie, na mocy </w:t>
      </w:r>
      <w:r w:rsidR="00F6710B">
        <w:t>art.</w:t>
      </w:r>
      <w:r w:rsidR="008E4DD7">
        <w:t xml:space="preserve"> 10 Konwencji U</w:t>
      </w:r>
      <w:r w:rsidR="00CD7B10">
        <w:t>kładające</w:t>
      </w:r>
      <w:r w:rsidR="008E4DD7">
        <w:t xml:space="preserve"> się Państwa mają pewien margines </w:t>
      </w:r>
      <w:r w:rsidR="00CD7B10">
        <w:t>oceny</w:t>
      </w:r>
      <w:r w:rsidR="008E4DD7">
        <w:t xml:space="preserve">, czy i w jakim zakresie </w:t>
      </w:r>
      <w:r w:rsidR="004921CD">
        <w:t>ingerencja w</w:t>
      </w:r>
      <w:r w:rsidR="00C41CE5">
        <w:t> </w:t>
      </w:r>
      <w:r w:rsidR="004921CD">
        <w:t>wolność</w:t>
      </w:r>
      <w:r w:rsidR="008E4DD7">
        <w:t xml:space="preserve"> wyrażania opinii chronionego t</w:t>
      </w:r>
      <w:r w:rsidR="004921CD">
        <w:t xml:space="preserve">ym postanowieniem </w:t>
      </w:r>
      <w:r w:rsidR="00E02A1E">
        <w:t xml:space="preserve">jest </w:t>
      </w:r>
      <w:r w:rsidR="004921CD">
        <w:t>niezbędna</w:t>
      </w:r>
      <w:r w:rsidR="008E4DD7">
        <w:t xml:space="preserve"> (</w:t>
      </w:r>
      <w:r w:rsidR="008E4DD7">
        <w:rPr>
          <w:i/>
          <w:iCs/>
        </w:rPr>
        <w:t>ibid.</w:t>
      </w:r>
      <w:r w:rsidR="008E4DD7">
        <w:t>).</w:t>
      </w:r>
    </w:p>
    <w:p w14:paraId="79DE22BC" w14:textId="481E6190" w:rsidR="008E4DD7" w:rsidRPr="00841658" w:rsidRDefault="005A22F3" w:rsidP="007365DD">
      <w:pPr>
        <w:pStyle w:val="ECHRPara"/>
      </w:pPr>
      <w:r>
        <w:t>163</w:t>
      </w:r>
      <w:r w:rsidR="008E4DD7">
        <w:t>.</w:t>
      </w:r>
      <w:r>
        <w:t xml:space="preserve"> </w:t>
      </w:r>
      <w:r w:rsidR="008E4DD7">
        <w:t>W sprawach, które wymaga</w:t>
      </w:r>
      <w:r w:rsidR="00E02A1E">
        <w:t>ją</w:t>
      </w:r>
      <w:r w:rsidR="008E4DD7">
        <w:t>, by prawo do poszanowania życia prywatnego było zrównoważone z prawem do wyrażania opinii, Trybunał przywołuje, iż wynik skargi nie powinien, co do zasady, zmieniać się zależnie od tego, czy został</w:t>
      </w:r>
      <w:r w:rsidR="00E02A1E">
        <w:t>a</w:t>
      </w:r>
      <w:r w:rsidR="004A12DD">
        <w:t xml:space="preserve"> ona</w:t>
      </w:r>
      <w:r w:rsidR="00E02A1E">
        <w:t xml:space="preserve"> złożona</w:t>
      </w:r>
      <w:r w:rsidR="008E4DD7">
        <w:t xml:space="preserve"> do Trybunału na podstawie </w:t>
      </w:r>
      <w:r w:rsidR="00F6710B">
        <w:t>art.</w:t>
      </w:r>
      <w:r w:rsidR="008E4DD7">
        <w:t xml:space="preserve"> 8 Konwencji przez osobę, która była obiektem reportażu w wiadomościach, czy też na podstawie </w:t>
      </w:r>
      <w:r w:rsidR="00F6710B">
        <w:t>art.</w:t>
      </w:r>
      <w:r w:rsidR="008E4DD7">
        <w:t xml:space="preserve"> 10 Konwencji przez wydawcę. Rzeczywiście, jak</w:t>
      </w:r>
      <w:r w:rsidR="00C41CE5">
        <w:t> </w:t>
      </w:r>
      <w:r w:rsidR="008E4DD7">
        <w:t>wskazano wcześniej, prawa te wymagają równego poszanowania (zob.</w:t>
      </w:r>
      <w:r w:rsidR="00C41CE5">
        <w:t> </w:t>
      </w:r>
      <w:r w:rsidR="008E4DD7">
        <w:t>paragraf 123).</w:t>
      </w:r>
      <w:r w:rsidR="00E02A1E">
        <w:t xml:space="preserve"> Stosownie do tego </w:t>
      </w:r>
      <w:r w:rsidR="008E4DD7">
        <w:t>margines</w:t>
      </w:r>
      <w:r w:rsidR="002652EB">
        <w:t xml:space="preserve"> oceny</w:t>
      </w:r>
      <w:r w:rsidR="008E4DD7">
        <w:t xml:space="preserve"> powinien co</w:t>
      </w:r>
      <w:r w:rsidR="00F933C1">
        <w:t> </w:t>
      </w:r>
      <w:r w:rsidR="008E4DD7">
        <w:t>do</w:t>
      </w:r>
      <w:r w:rsidR="00F933C1">
        <w:t> </w:t>
      </w:r>
      <w:r w:rsidR="008E4DD7">
        <w:t>zasady być taki sam w obu tych sytuacjach.</w:t>
      </w:r>
    </w:p>
    <w:p w14:paraId="59E78B38" w14:textId="5091AFB9" w:rsidR="008E4DD7" w:rsidRPr="00841658" w:rsidRDefault="005A22F3" w:rsidP="007365DD">
      <w:pPr>
        <w:pStyle w:val="ECHRPara"/>
      </w:pPr>
      <w:r>
        <w:t>164</w:t>
      </w:r>
      <w:r w:rsidR="008E4DD7">
        <w:t>.</w:t>
      </w:r>
      <w:r>
        <w:t xml:space="preserve"> </w:t>
      </w:r>
      <w:r w:rsidR="008E4DD7">
        <w:t xml:space="preserve">Według </w:t>
      </w:r>
      <w:r w:rsidR="00E02A1E">
        <w:t xml:space="preserve">ugruntowanego </w:t>
      </w:r>
      <w:r w:rsidR="008E4DD7">
        <w:t>orzecznictwa Trybunału test niezbędności w społeczeństwie demokratycznym wymaga, by Trybunał ustalił, czy</w:t>
      </w:r>
      <w:r w:rsidR="00C41CE5">
        <w:t> </w:t>
      </w:r>
      <w:r w:rsidR="008E4DD7">
        <w:t>z</w:t>
      </w:r>
      <w:r w:rsidR="00E02A1E">
        <w:t>askarżona</w:t>
      </w:r>
      <w:r w:rsidR="008E4DD7">
        <w:t xml:space="preserve"> </w:t>
      </w:r>
      <w:r w:rsidR="004921CD">
        <w:t>ingerencja odpowiadała</w:t>
      </w:r>
      <w:r w:rsidR="008E4DD7">
        <w:t xml:space="preserve"> pilne</w:t>
      </w:r>
      <w:r w:rsidR="004921CD">
        <w:t>j potrzebie społecznej, czy była</w:t>
      </w:r>
      <w:r w:rsidR="00E02A1E">
        <w:t xml:space="preserve"> proporcjonalna</w:t>
      </w:r>
      <w:r w:rsidR="008E4DD7">
        <w:t xml:space="preserve"> do realizowanego u</w:t>
      </w:r>
      <w:r w:rsidR="002652EB">
        <w:t>prawnionego</w:t>
      </w:r>
      <w:r w:rsidR="008E4DD7">
        <w:t xml:space="preserve"> celu, oraz czy powody podane przez władze krajowe na </w:t>
      </w:r>
      <w:r w:rsidR="004921CD">
        <w:t xml:space="preserve">jej </w:t>
      </w:r>
      <w:r w:rsidR="008E4DD7">
        <w:t>uzasadnienie są stosowne i</w:t>
      </w:r>
      <w:r w:rsidR="00C41CE5">
        <w:t> </w:t>
      </w:r>
      <w:r w:rsidR="008E4DD7">
        <w:t xml:space="preserve">wystarczające (zob. The </w:t>
      </w:r>
      <w:proofErr w:type="spellStart"/>
      <w:r w:rsidR="008E4DD7">
        <w:t>Sunday</w:t>
      </w:r>
      <w:proofErr w:type="spellEnd"/>
      <w:r w:rsidR="008E4DD7">
        <w:t xml:space="preserve"> Times</w:t>
      </w:r>
      <w:r w:rsidR="008E4DD7">
        <w:rPr>
          <w:i/>
          <w:iCs/>
        </w:rPr>
        <w:t xml:space="preserve"> przeciwko Wielkiej Brytanii (nr 1)</w:t>
      </w:r>
      <w:r w:rsidR="008E4DD7">
        <w:t xml:space="preserve">, 26 kwietnia 1979 r., § 62, Seria A nr 30). Margines </w:t>
      </w:r>
      <w:r w:rsidR="002652EB">
        <w:t>oceny</w:t>
      </w:r>
      <w:r w:rsidR="008E4DD7">
        <w:t xml:space="preserve"> pozostawiony krajowym władzom w zakresie oceny</w:t>
      </w:r>
      <w:r w:rsidR="00E02A1E">
        <w:t>,</w:t>
      </w:r>
      <w:r w:rsidR="008E4DD7">
        <w:t xml:space="preserve"> czy taka potrzeba istnieje oraz jakie środki powinny być przyjęte celem zajęcia się tą sprawą, nie jest jednakże nieograniczony, lecz </w:t>
      </w:r>
      <w:r w:rsidR="00E02A1E">
        <w:t xml:space="preserve">idzie w parze </w:t>
      </w:r>
      <w:r w:rsidR="008E4DD7">
        <w:t>z europejskim nadzorem realizowanym przez Trybunał, którego zadaniem jest wydanie ostatecznego orzeczenia</w:t>
      </w:r>
      <w:r w:rsidR="00E02A1E">
        <w:t>,</w:t>
      </w:r>
      <w:r w:rsidR="008E4DD7">
        <w:t xml:space="preserve"> czy ograniczenie da się pogodzić z wolnością wyrażania opinii chronioną przez </w:t>
      </w:r>
      <w:r w:rsidR="00F6710B">
        <w:t xml:space="preserve">art. </w:t>
      </w:r>
      <w:r w:rsidR="008E4DD7">
        <w:t xml:space="preserve">10. </w:t>
      </w:r>
      <w:r w:rsidR="00E02A1E">
        <w:t>J</w:t>
      </w:r>
      <w:r w:rsidR="008E4DD7">
        <w:t xml:space="preserve">ak wskazano powyżej, wykonując swoje funkcje nadzorcze, Trybunał </w:t>
      </w:r>
      <w:r w:rsidR="00E02A1E">
        <w:t xml:space="preserve">nie </w:t>
      </w:r>
      <w:r w:rsidR="008E4DD7">
        <w:t xml:space="preserve">ma za zadanie </w:t>
      </w:r>
      <w:r w:rsidR="00E02A1E">
        <w:t>zastępowania sądów krajowych, lecz raczej kontrolowanie</w:t>
      </w:r>
      <w:r w:rsidR="008E4DD7">
        <w:t>, w świetle całej sprawy, czy decyzje, które podjęły w ramach swoich prerogatyw</w:t>
      </w:r>
      <w:r w:rsidR="00E02A1E">
        <w:t>,</w:t>
      </w:r>
      <w:r w:rsidR="008E4DD7">
        <w:t xml:space="preserve"> są zgodne z postanowieniami Konwencji, na których </w:t>
      </w:r>
      <w:r w:rsidR="00E02A1E">
        <w:t xml:space="preserve">się </w:t>
      </w:r>
      <w:r w:rsidR="00E02A1E">
        <w:lastRenderedPageBreak/>
        <w:t>opierały</w:t>
      </w:r>
      <w:r w:rsidR="008E4DD7">
        <w:t xml:space="preserve"> (zob. w szczególności podsumowanie </w:t>
      </w:r>
      <w:r w:rsidR="00292EFF">
        <w:t>istotnych</w:t>
      </w:r>
      <w:r w:rsidR="008E4DD7">
        <w:t xml:space="preserve"> zasad w sprawie </w:t>
      </w:r>
      <w:proofErr w:type="spellStart"/>
      <w:r w:rsidR="008E4DD7">
        <w:rPr>
          <w:i/>
          <w:iCs/>
        </w:rPr>
        <w:t>Perinçek</w:t>
      </w:r>
      <w:proofErr w:type="spellEnd"/>
      <w:r w:rsidR="008E4DD7">
        <w:rPr>
          <w:i/>
          <w:iCs/>
        </w:rPr>
        <w:t xml:space="preserve"> przeciwko Szwajcarii </w:t>
      </w:r>
      <w:r w:rsidR="008E4DD7">
        <w:t xml:space="preserve">[WI], nr 27510/08, § 198, ECHR 2015 (fragmenty); oraz zwłaszcza </w:t>
      </w:r>
      <w:r w:rsidR="008E4DD7">
        <w:rPr>
          <w:i/>
          <w:iCs/>
        </w:rPr>
        <w:t xml:space="preserve">Von </w:t>
      </w:r>
      <w:proofErr w:type="spellStart"/>
      <w:r w:rsidR="008E4DD7">
        <w:rPr>
          <w:i/>
          <w:iCs/>
        </w:rPr>
        <w:t>Hannover</w:t>
      </w:r>
      <w:proofErr w:type="spellEnd"/>
      <w:r w:rsidR="008E4DD7">
        <w:rPr>
          <w:i/>
          <w:iCs/>
        </w:rPr>
        <w:t xml:space="preserve"> (nr 2)</w:t>
      </w:r>
      <w:r w:rsidR="008E4DD7">
        <w:t xml:space="preserve">, cyt. powyżej, § 105). Tam, gdzie zadanie równoważenia podjęte zostało przez władze krajowe zgodnie z kryteriami ustalonymi w orzecznictwie Trybunału, Trybunał wymagałby </w:t>
      </w:r>
      <w:r w:rsidR="00292EFF">
        <w:t>mocnego</w:t>
      </w:r>
      <w:r w:rsidR="008E4DD7">
        <w:t xml:space="preserve"> uzasadnienia</w:t>
      </w:r>
      <w:r w:rsidR="00292EFF">
        <w:t>,</w:t>
      </w:r>
      <w:r w:rsidR="008E4DD7">
        <w:t xml:space="preserve"> by zastąpić swoim poglądem poglądy sądów krajowych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w:t>
      </w:r>
      <w:r w:rsidR="00C41CE5">
        <w:t> </w:t>
      </w:r>
      <w:r w:rsidR="008E4DD7">
        <w:t xml:space="preserve">powyżej, § 92; oraz </w:t>
      </w:r>
      <w:r w:rsidR="008E4DD7">
        <w:rPr>
          <w:i/>
          <w:iCs/>
        </w:rPr>
        <w:t xml:space="preserve">Von </w:t>
      </w:r>
      <w:proofErr w:type="spellStart"/>
      <w:r w:rsidR="008E4DD7">
        <w:rPr>
          <w:i/>
          <w:iCs/>
        </w:rPr>
        <w:t>Hannover</w:t>
      </w:r>
      <w:proofErr w:type="spellEnd"/>
      <w:r w:rsidR="008E4DD7">
        <w:rPr>
          <w:i/>
          <w:iCs/>
        </w:rPr>
        <w:t xml:space="preserve"> (nr 2)</w:t>
      </w:r>
      <w:r w:rsidR="008E4DD7">
        <w:t>, cyt. powyżej, § 107).</w:t>
      </w:r>
    </w:p>
    <w:p w14:paraId="22D4C62D" w14:textId="651027BB" w:rsidR="008E4DD7" w:rsidRPr="00841658" w:rsidRDefault="005A22F3" w:rsidP="007365DD">
      <w:pPr>
        <w:pStyle w:val="ECHRPara"/>
      </w:pPr>
      <w:r>
        <w:t>165</w:t>
      </w:r>
      <w:r w:rsidR="008E4DD7">
        <w:t>.</w:t>
      </w:r>
      <w:r>
        <w:t xml:space="preserve"> </w:t>
      </w:r>
      <w:r w:rsidR="008E4DD7">
        <w:t>Trybunał miał już okazję ustalić od</w:t>
      </w:r>
      <w:r w:rsidR="00292EFF">
        <w:t>powiednie</w:t>
      </w:r>
      <w:r w:rsidR="008E4DD7">
        <w:t xml:space="preserve"> zasady, którymi winien się kierować przy ocenie </w:t>
      </w:r>
      <w:r w:rsidR="00292EFF">
        <w:t xml:space="preserve">niezbędności </w:t>
      </w:r>
      <w:r w:rsidR="008E4DD7">
        <w:t xml:space="preserve">– oraz, co istotniejsze, </w:t>
      </w:r>
      <w:r w:rsidR="00292EFF">
        <w:t>którymi powinny kierować się sądy krajowe</w:t>
      </w:r>
      <w:r w:rsidR="008E4DD7">
        <w:t xml:space="preserve">. Zidentyfikował zatem szereg kryteriów mających zastosowanie w kontekście równoważenia </w:t>
      </w:r>
      <w:r w:rsidR="00292EFF">
        <w:t xml:space="preserve">konkurujących ze sobą </w:t>
      </w:r>
      <w:r w:rsidR="008E4DD7">
        <w:t>praw. Odnośne kryteria zostały zatem zdefiniowane jak dotąd następująco: wkład w debatę o znaczeniu dla interesu publicznego, stopień rozgłosu osoby, której dotyczy sprawa, przedmiot reportażu informacyjnego, wcześniejsze zachowanie danej osoby, treść, forma i konsekwencje publikacji, oraz, jeżeli dotyczy, okoliczności, w</w:t>
      </w:r>
      <w:r w:rsidR="00C41CE5">
        <w:t> </w:t>
      </w:r>
      <w:r w:rsidR="008E4DD7">
        <w:t>których zrobiono fotografie. Tam, gdzie dotyczy to skargi złożonej na</w:t>
      </w:r>
      <w:r w:rsidR="00C41CE5">
        <w:t> </w:t>
      </w:r>
      <w:r w:rsidR="008E4DD7">
        <w:t xml:space="preserve">podstawie </w:t>
      </w:r>
      <w:r w:rsidR="00F6710B">
        <w:t>art.</w:t>
      </w:r>
      <w:r w:rsidR="008E4DD7">
        <w:t xml:space="preserve"> 10, Trybunał zbada również sposób, w jaki pozyskano informacje oraz jej wiarygodność, a także wagę kary nałożonej na</w:t>
      </w:r>
      <w:r w:rsidR="00C41CE5">
        <w:t> </w:t>
      </w:r>
      <w:r w:rsidR="008E4DD7">
        <w:t xml:space="preserve">dziennikarzy i wydawców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xml:space="preserve">, cyt. powyżej, § 93; </w:t>
      </w:r>
      <w:r w:rsidR="008E4DD7">
        <w:rPr>
          <w:i/>
          <w:iCs/>
        </w:rPr>
        <w:t xml:space="preserve">Von </w:t>
      </w:r>
      <w:proofErr w:type="spellStart"/>
      <w:r w:rsidR="008E4DD7">
        <w:rPr>
          <w:i/>
          <w:iCs/>
        </w:rPr>
        <w:t>Hannover</w:t>
      </w:r>
      <w:proofErr w:type="spellEnd"/>
      <w:r w:rsidR="008E4DD7">
        <w:rPr>
          <w:i/>
          <w:iCs/>
        </w:rPr>
        <w:t xml:space="preserve"> (nr 2)</w:t>
      </w:r>
      <w:r w:rsidR="008E4DD7">
        <w:t>, cyt. powyżej, §§ 109-13; oraz</w:t>
      </w:r>
      <w:r w:rsidR="00C41CE5">
        <w:t> </w:t>
      </w:r>
      <w:r w:rsidR="008E4DD7">
        <w:rPr>
          <w:i/>
          <w:iCs/>
        </w:rPr>
        <w:t>Axel Springer AG przeciwko Niemcom</w:t>
      </w:r>
      <w:r w:rsidR="008E4DD7">
        <w:t xml:space="preserve"> [WI], nr 39954/08, §§ 90-95, 7</w:t>
      </w:r>
      <w:r w:rsidR="00C41CE5">
        <w:t> </w:t>
      </w:r>
      <w:r w:rsidR="008E4DD7">
        <w:t>lutego 2012 r.).</w:t>
      </w:r>
    </w:p>
    <w:p w14:paraId="57C3763A" w14:textId="37D119AF" w:rsidR="008E4DD7" w:rsidRPr="00841658" w:rsidRDefault="005A22F3" w:rsidP="007365DD">
      <w:pPr>
        <w:pStyle w:val="ECHRPara"/>
      </w:pPr>
      <w:r>
        <w:t>166</w:t>
      </w:r>
      <w:r w:rsidR="008E4DD7">
        <w:t>.</w:t>
      </w:r>
      <w:r>
        <w:t xml:space="preserve"> </w:t>
      </w:r>
      <w:r w:rsidR="008E4DD7">
        <w:t>Trybunał uważa, że kryteria w ten sposób określone mogą być przeniesione na niniejszą sprawę, choć p</w:t>
      </w:r>
      <w:r w:rsidR="00292EFF">
        <w:t xml:space="preserve">ewne kryteria mogą </w:t>
      </w:r>
      <w:r w:rsidR="00AA6921">
        <w:t>być</w:t>
      </w:r>
      <w:r w:rsidR="00292EFF">
        <w:t xml:space="preserve"> mniej lub</w:t>
      </w:r>
      <w:r w:rsidR="00C41CE5">
        <w:t> </w:t>
      </w:r>
      <w:r w:rsidR="00292EFF">
        <w:t>bardziej istotne</w:t>
      </w:r>
      <w:r w:rsidR="008E4DD7">
        <w:t>, mając na uwadze konkretne okoliczności niniejszej sprawy, które, jak już wyjaśniono (zob. paragrafy 8-9 powyżej), dotyczyły masowego zbierania, przetwarzania i publikowania danych, które były publicznie dostępne zgodnie z pewnymi zasadami, i które dotyczyły dużej liczby osób fizycznych w pozwanym Państwie.</w:t>
      </w:r>
    </w:p>
    <w:p w14:paraId="009B6CA9" w14:textId="184F7DAA" w:rsidR="008E4DD7" w:rsidRPr="00841658" w:rsidRDefault="008E4DD7" w:rsidP="00193392">
      <w:pPr>
        <w:pStyle w:val="ECHRHeading4"/>
      </w:pPr>
      <w:r>
        <w:t>(b)</w:t>
      </w:r>
      <w:r w:rsidR="005A22F3">
        <w:t xml:space="preserve"> </w:t>
      </w:r>
      <w:r>
        <w:t>Zastosowanie stosownych zasad ogólnych do przedmiotowej sprawy</w:t>
      </w:r>
    </w:p>
    <w:p w14:paraId="65A43DD9" w14:textId="77777777" w:rsidR="008E4DD7" w:rsidRPr="00841658" w:rsidRDefault="008E4DD7" w:rsidP="00193392">
      <w:pPr>
        <w:pStyle w:val="ECHRHeading5"/>
      </w:pPr>
      <w:r>
        <w:t>(i) Wkład przedmiotowej publikacji w debatę o znaczeniu dla interesu publicznego</w:t>
      </w:r>
    </w:p>
    <w:p w14:paraId="68E59F59" w14:textId="5D65136F" w:rsidR="008E4DD7" w:rsidRPr="00841658" w:rsidRDefault="005A22F3" w:rsidP="007365DD">
      <w:pPr>
        <w:pStyle w:val="ECHRPara"/>
      </w:pPr>
      <w:r>
        <w:t>167</w:t>
      </w:r>
      <w:r w:rsidR="008E4DD7">
        <w:t xml:space="preserve">. </w:t>
      </w:r>
      <w:r w:rsidR="00B13BBD">
        <w:t>J</w:t>
      </w:r>
      <w:r w:rsidR="008E4DD7">
        <w:t xml:space="preserve">ak konsekwentnie stwierdzał Trybunał, </w:t>
      </w:r>
      <w:r w:rsidR="00B13BBD">
        <w:t xml:space="preserve">na mocy art. 10 ust. 2 Konwencji </w:t>
      </w:r>
      <w:r w:rsidR="008E4DD7">
        <w:t xml:space="preserve">zakres ograniczeń dla </w:t>
      </w:r>
      <w:r w:rsidR="00B13BBD">
        <w:t xml:space="preserve">wypowiedzi </w:t>
      </w:r>
      <w:r w:rsidR="008E4DD7">
        <w:t>politycznych czy debat w</w:t>
      </w:r>
      <w:r w:rsidR="00C41CE5">
        <w:t> </w:t>
      </w:r>
      <w:r w:rsidR="008E4DD7">
        <w:t xml:space="preserve">kwestiach o znaczeniu dla interesu publicznego </w:t>
      </w:r>
      <w:r w:rsidR="00B13BBD">
        <w:t xml:space="preserve">jest niewielki </w:t>
      </w:r>
      <w:r w:rsidR="008E4DD7">
        <w:t xml:space="preserve">(zob. </w:t>
      </w:r>
      <w:proofErr w:type="spellStart"/>
      <w:r w:rsidR="008E4DD7">
        <w:rPr>
          <w:i/>
          <w:iCs/>
        </w:rPr>
        <w:t>Sürek</w:t>
      </w:r>
      <w:proofErr w:type="spellEnd"/>
      <w:r w:rsidR="008E4DD7">
        <w:rPr>
          <w:i/>
          <w:iCs/>
        </w:rPr>
        <w:t xml:space="preserve"> przeciwko Turcji (nr 1)</w:t>
      </w:r>
      <w:r w:rsidR="008E4DD7">
        <w:t xml:space="preserve"> [WI], nr 26682/95, § 61, ECHR 1999-IV; oraz</w:t>
      </w:r>
      <w:r w:rsidR="00C41CE5">
        <w:t> </w:t>
      </w:r>
      <w:proofErr w:type="spellStart"/>
      <w:r w:rsidR="008E4DD7">
        <w:rPr>
          <w:i/>
          <w:iCs/>
        </w:rPr>
        <w:t>Wingrove</w:t>
      </w:r>
      <w:proofErr w:type="spellEnd"/>
      <w:r w:rsidR="008E4DD7">
        <w:rPr>
          <w:i/>
          <w:iCs/>
        </w:rPr>
        <w:t xml:space="preserve"> przeciwko Wielkiej Brytanii</w:t>
      </w:r>
      <w:r w:rsidR="008E4DD7">
        <w:t xml:space="preserve">, 25 listopada 1996 r., § 58, </w:t>
      </w:r>
      <w:r w:rsidR="008E4DD7">
        <w:rPr>
          <w:i/>
          <w:iCs/>
        </w:rPr>
        <w:t>Reports of Judgments and Decisions</w:t>
      </w:r>
      <w:r w:rsidR="008E4DD7">
        <w:t xml:space="preserve"> 1996</w:t>
      </w:r>
      <w:r w:rsidR="008E4DD7">
        <w:noBreakHyphen/>
        <w:t xml:space="preserve">V). Margines </w:t>
      </w:r>
      <w:r w:rsidR="00CD7B10">
        <w:t>oceny</w:t>
      </w:r>
      <w:r w:rsidR="008E4DD7">
        <w:t xml:space="preserve"> państw jest zatem </w:t>
      </w:r>
      <w:r w:rsidR="00B13BBD">
        <w:t xml:space="preserve">ograniczony </w:t>
      </w:r>
      <w:r w:rsidR="008E4DD7">
        <w:t xml:space="preserve">tam, gdzie dotyczy debaty w kwestii o znaczeniu </w:t>
      </w:r>
      <w:r w:rsidR="008E4DD7">
        <w:lastRenderedPageBreak/>
        <w:t>dla</w:t>
      </w:r>
      <w:r w:rsidR="00C41CE5">
        <w:t> </w:t>
      </w:r>
      <w:r w:rsidR="008E4DD7">
        <w:t xml:space="preserve">interesu publicznego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w:t>
      </w:r>
      <w:r w:rsidR="00C41CE5">
        <w:t> </w:t>
      </w:r>
      <w:r w:rsidR="008E4DD7">
        <w:t xml:space="preserve">powyżej, § 96, </w:t>
      </w:r>
      <w:r w:rsidR="00B13BBD">
        <w:t xml:space="preserve">i </w:t>
      </w:r>
      <w:r w:rsidR="008E4DD7">
        <w:t>dalsze odwołania tamże).</w:t>
      </w:r>
    </w:p>
    <w:p w14:paraId="4C1F05C1" w14:textId="6BD325DD" w:rsidR="008E4DD7" w:rsidRPr="00841658" w:rsidRDefault="005A22F3" w:rsidP="007365DD">
      <w:pPr>
        <w:pStyle w:val="ECHRPara"/>
      </w:pPr>
      <w:r>
        <w:t>168</w:t>
      </w:r>
      <w:r w:rsidR="008E4DD7">
        <w:t>.</w:t>
      </w:r>
      <w:r>
        <w:t xml:space="preserve"> </w:t>
      </w:r>
      <w:r w:rsidR="008E4DD7">
        <w:t>Ustalając, czy publikacja ujawniająca elementy życia prywatnego dotyczy</w:t>
      </w:r>
      <w:r w:rsidR="00B13BBD">
        <w:t>ła</w:t>
      </w:r>
      <w:r w:rsidR="008E4DD7">
        <w:t xml:space="preserve"> również kwestii o znaczeniu dla interesu publicznego</w:t>
      </w:r>
      <w:r w:rsidR="00B13BBD">
        <w:t>,</w:t>
      </w:r>
      <w:r w:rsidR="008E4DD7">
        <w:t xml:space="preserve"> Trybunał </w:t>
      </w:r>
      <w:r w:rsidR="00B13BBD">
        <w:t>brał</w:t>
      </w:r>
      <w:r w:rsidR="008E4DD7">
        <w:t xml:space="preserve"> pod uwagę istotność tej kwestii dla opinii publicznej oraz charakter ujawnianych informacji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w:t>
      </w:r>
      <w:r w:rsidR="00F933C1">
        <w:t> </w:t>
      </w:r>
      <w:r w:rsidR="008E4DD7">
        <w:t xml:space="preserve">powyżej, § 98; oraz </w:t>
      </w:r>
      <w:r w:rsidR="008E4DD7">
        <w:rPr>
          <w:i/>
          <w:iCs/>
        </w:rPr>
        <w:t xml:space="preserve">Von </w:t>
      </w:r>
      <w:proofErr w:type="spellStart"/>
      <w:r w:rsidR="008E4DD7">
        <w:rPr>
          <w:i/>
          <w:iCs/>
        </w:rPr>
        <w:t>Hannover</w:t>
      </w:r>
      <w:proofErr w:type="spellEnd"/>
      <w:r w:rsidR="008E4DD7">
        <w:rPr>
          <w:i/>
          <w:iCs/>
        </w:rPr>
        <w:t xml:space="preserve"> nr 2</w:t>
      </w:r>
      <w:r w:rsidR="008E4DD7">
        <w:t>, cyt. powyżej, § 109).</w:t>
      </w:r>
    </w:p>
    <w:p w14:paraId="5D2C9095" w14:textId="7DE3382B" w:rsidR="008E4DD7" w:rsidRPr="00841658" w:rsidRDefault="005A22F3" w:rsidP="007365DD">
      <w:pPr>
        <w:pStyle w:val="ECHRPara"/>
      </w:pPr>
      <w:r>
        <w:t>169</w:t>
      </w:r>
      <w:r w:rsidR="008E4DD7">
        <w:t>.</w:t>
      </w:r>
      <w:r>
        <w:t xml:space="preserve"> </w:t>
      </w:r>
      <w:r w:rsidR="008E4DD7">
        <w:t>Opinia publiczna ma prawo do uzyskania informacji oraz jest to</w:t>
      </w:r>
      <w:r w:rsidR="00C41CE5">
        <w:t> </w:t>
      </w:r>
      <w:r w:rsidR="008E4DD7">
        <w:t xml:space="preserve">podstawowe prawo w społeczeństwie demokratycznym, które w pewnych szczególnych okolicznościach może być rozszerzone </w:t>
      </w:r>
      <w:r w:rsidR="00B13BBD">
        <w:t xml:space="preserve">nawet </w:t>
      </w:r>
      <w:r w:rsidR="008E4DD7">
        <w:t xml:space="preserve">na aspekty życia prywatnego osób publicznych. Jednakże artykuły, których celem jest wyłącznie zaspokojenie ciekawości konkretnej grupy czytelników na temat szczegółów życia prywatnego danej osoby, niezależnie od tego, jak znana dana osoba jest, nie mogą być uznane za </w:t>
      </w:r>
      <w:r w:rsidR="00ED0B0A">
        <w:t>wnoszące</w:t>
      </w:r>
      <w:r w:rsidR="008E4DD7">
        <w:t xml:space="preserve"> wkład </w:t>
      </w:r>
      <w:r w:rsidR="00ED0B0A">
        <w:t>do debaty</w:t>
      </w:r>
      <w:r w:rsidR="008E4DD7">
        <w:t xml:space="preserve"> o</w:t>
      </w:r>
      <w:r w:rsidR="00C41CE5">
        <w:t> </w:t>
      </w:r>
      <w:r w:rsidR="008E4DD7">
        <w:t xml:space="preserve">znaczeniu dla interesu publicznego (zob. </w:t>
      </w:r>
      <w:r w:rsidR="008E4DD7">
        <w:rPr>
          <w:i/>
          <w:iCs/>
        </w:rPr>
        <w:t>Von </w:t>
      </w:r>
      <w:proofErr w:type="spellStart"/>
      <w:r w:rsidR="008E4DD7">
        <w:rPr>
          <w:i/>
          <w:iCs/>
        </w:rPr>
        <w:t>Hannover</w:t>
      </w:r>
      <w:proofErr w:type="spellEnd"/>
      <w:r w:rsidR="008E4DD7">
        <w:t>, cyt. powyżej, §</w:t>
      </w:r>
      <w:r w:rsidR="00C41CE5">
        <w:t> </w:t>
      </w:r>
      <w:r w:rsidR="008E4DD7">
        <w:t xml:space="preserve">65; </w:t>
      </w:r>
      <w:r w:rsidR="008E4DD7">
        <w:rPr>
          <w:i/>
          <w:iCs/>
        </w:rPr>
        <w:t>MGN Limited przeciwko Wielkiej Brytanii</w:t>
      </w:r>
      <w:r w:rsidR="008E4DD7">
        <w:t>, nr 39401/04, § 143, 18</w:t>
      </w:r>
      <w:r w:rsidR="00C41CE5">
        <w:t> </w:t>
      </w:r>
      <w:r w:rsidR="008E4DD7">
        <w:t xml:space="preserve">stycznia 2011 r.; oraz </w:t>
      </w:r>
      <w:proofErr w:type="spellStart"/>
      <w:r w:rsidR="008E4DD7">
        <w:rPr>
          <w:i/>
          <w:iCs/>
        </w:rPr>
        <w:t>Alkaya</w:t>
      </w:r>
      <w:proofErr w:type="spellEnd"/>
      <w:r w:rsidR="008E4DD7">
        <w:rPr>
          <w:i/>
          <w:iCs/>
        </w:rPr>
        <w:t xml:space="preserve"> przeciwko Turcji</w:t>
      </w:r>
      <w:r w:rsidR="008E4DD7">
        <w:t>, nr 42811/06, § 35, 9</w:t>
      </w:r>
      <w:r w:rsidR="00C41CE5">
        <w:t> </w:t>
      </w:r>
      <w:r w:rsidR="008E4DD7">
        <w:t>października 2012 r.).</w:t>
      </w:r>
    </w:p>
    <w:p w14:paraId="11B38B4F" w14:textId="3308D526" w:rsidR="008E4DD7" w:rsidRPr="00841658" w:rsidRDefault="005A22F3" w:rsidP="007365DD">
      <w:pPr>
        <w:pStyle w:val="ECHRPara"/>
      </w:pPr>
      <w:r>
        <w:t>170</w:t>
      </w:r>
      <w:r w:rsidR="008E4DD7">
        <w:t>.</w:t>
      </w:r>
      <w:r>
        <w:t xml:space="preserve"> </w:t>
      </w:r>
      <w:r w:rsidR="008E4DD7">
        <w:t>Aby ustalić, czy publikacja dotycząca życia prywatnego danej osoby nie ma na celu wyłącznie zaspokojenia ciekawości pewnej grupy czytelników</w:t>
      </w:r>
      <w:r w:rsidR="00093232">
        <w:t>,</w:t>
      </w:r>
      <w:r w:rsidR="008E4DD7">
        <w:t xml:space="preserve"> lecz dotyczy tematu mającego znaczenie ogólne, istotne jest przeprowadzenie oceny publikacji w całości oraz uwzględnienie kontekstu, w jakim się pojawia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w:t>
      </w:r>
      <w:r w:rsidR="00C41CE5">
        <w:t> </w:t>
      </w:r>
      <w:r w:rsidR="008E4DD7">
        <w:t xml:space="preserve">powyżej, § 102; </w:t>
      </w:r>
      <w:proofErr w:type="spellStart"/>
      <w:r w:rsidR="008E4DD7">
        <w:rPr>
          <w:i/>
          <w:iCs/>
        </w:rPr>
        <w:t>Tønsbergs</w:t>
      </w:r>
      <w:proofErr w:type="spellEnd"/>
      <w:r w:rsidR="008E4DD7">
        <w:rPr>
          <w:i/>
          <w:iCs/>
        </w:rPr>
        <w:t xml:space="preserve"> </w:t>
      </w:r>
      <w:proofErr w:type="spellStart"/>
      <w:r w:rsidR="008E4DD7">
        <w:rPr>
          <w:i/>
          <w:iCs/>
        </w:rPr>
        <w:t>Blad</w:t>
      </w:r>
      <w:proofErr w:type="spellEnd"/>
      <w:r w:rsidR="008E4DD7">
        <w:rPr>
          <w:i/>
          <w:iCs/>
        </w:rPr>
        <w:t xml:space="preserve"> A.S. i Haukom przeciwko Norwegii</w:t>
      </w:r>
      <w:r w:rsidR="008E4DD7">
        <w:t>, nr</w:t>
      </w:r>
      <w:r w:rsidR="00C41CE5">
        <w:t> </w:t>
      </w:r>
      <w:r w:rsidR="008E4DD7">
        <w:t xml:space="preserve">510/04, § 87, 1 marca 2007 r.; </w:t>
      </w:r>
      <w:proofErr w:type="spellStart"/>
      <w:r w:rsidR="008E4DD7">
        <w:rPr>
          <w:i/>
          <w:iCs/>
        </w:rPr>
        <w:t>Björk</w:t>
      </w:r>
      <w:proofErr w:type="spellEnd"/>
      <w:r w:rsidR="008E4DD7">
        <w:rPr>
          <w:i/>
          <w:iCs/>
        </w:rPr>
        <w:t xml:space="preserve"> </w:t>
      </w:r>
      <w:proofErr w:type="spellStart"/>
      <w:r w:rsidR="008E4DD7">
        <w:rPr>
          <w:i/>
          <w:iCs/>
        </w:rPr>
        <w:t>Eiðsdóttir</w:t>
      </w:r>
      <w:proofErr w:type="spellEnd"/>
      <w:r w:rsidR="008E4DD7">
        <w:rPr>
          <w:i/>
          <w:iCs/>
        </w:rPr>
        <w:t xml:space="preserve"> przeciwko Islandii</w:t>
      </w:r>
      <w:r w:rsidR="008E4DD7">
        <w:t>, nr</w:t>
      </w:r>
      <w:r w:rsidR="00C41CE5">
        <w:t> </w:t>
      </w:r>
      <w:r w:rsidR="008E4DD7">
        <w:t xml:space="preserve">46443/09, § 67, 10 lipca 2012 r.; oraz </w:t>
      </w:r>
      <w:proofErr w:type="spellStart"/>
      <w:r w:rsidR="008E4DD7">
        <w:rPr>
          <w:i/>
          <w:iCs/>
        </w:rPr>
        <w:t>Erla</w:t>
      </w:r>
      <w:proofErr w:type="spellEnd"/>
      <w:r w:rsidR="008E4DD7">
        <w:rPr>
          <w:i/>
          <w:iCs/>
        </w:rPr>
        <w:t xml:space="preserve"> </w:t>
      </w:r>
      <w:proofErr w:type="spellStart"/>
      <w:r w:rsidR="008E4DD7">
        <w:rPr>
          <w:i/>
          <w:iCs/>
        </w:rPr>
        <w:t>Hlynsdόttir</w:t>
      </w:r>
      <w:proofErr w:type="spellEnd"/>
      <w:r w:rsidR="008E4DD7">
        <w:rPr>
          <w:i/>
          <w:iCs/>
        </w:rPr>
        <w:t xml:space="preserve"> przeciwko Islandii</w:t>
      </w:r>
      <w:r w:rsidR="008E4DD7">
        <w:t>, nr 43380/10, § 64, 10 lipca 2012 r.).</w:t>
      </w:r>
    </w:p>
    <w:p w14:paraId="2FF40DBF" w14:textId="06031410" w:rsidR="008E4DD7" w:rsidRPr="00841658" w:rsidRDefault="005A22F3" w:rsidP="007365DD">
      <w:pPr>
        <w:pStyle w:val="ECHRPara"/>
      </w:pPr>
      <w:r>
        <w:t>171</w:t>
      </w:r>
      <w:r w:rsidR="008E4DD7">
        <w:t>.</w:t>
      </w:r>
      <w:r>
        <w:t xml:space="preserve"> </w:t>
      </w:r>
      <w:r w:rsidR="008E4DD7">
        <w:t xml:space="preserve">Interes publiczny z reguły dotyczy kwestii, które </w:t>
      </w:r>
      <w:r w:rsidR="002E1F46">
        <w:t>wpływają na</w:t>
      </w:r>
      <w:r w:rsidR="00C41CE5">
        <w:t> </w:t>
      </w:r>
      <w:r w:rsidR="002E1F46">
        <w:t>społeczeństwo</w:t>
      </w:r>
      <w:r w:rsidR="008E4DD7">
        <w:t xml:space="preserve"> </w:t>
      </w:r>
      <w:r w:rsidR="002E1F46">
        <w:t xml:space="preserve">w takim </w:t>
      </w:r>
      <w:r w:rsidR="008E4DD7">
        <w:t>zakresie</w:t>
      </w:r>
      <w:r w:rsidR="002E1F46">
        <w:t xml:space="preserve">, że </w:t>
      </w:r>
      <w:r w:rsidR="00AA6921">
        <w:t xml:space="preserve">w uprawniony sposób </w:t>
      </w:r>
      <w:r w:rsidR="008E4DD7">
        <w:t xml:space="preserve">może </w:t>
      </w:r>
      <w:r w:rsidR="002E1F46">
        <w:t xml:space="preserve">się </w:t>
      </w:r>
      <w:r w:rsidR="0021655C">
        <w:t xml:space="preserve">ono </w:t>
      </w:r>
      <w:r w:rsidR="002E1F46">
        <w:t>nimi interesować, które</w:t>
      </w:r>
      <w:r w:rsidR="008E4DD7">
        <w:t xml:space="preserve"> mo</w:t>
      </w:r>
      <w:r w:rsidR="002E1F46">
        <w:t>gą</w:t>
      </w:r>
      <w:r w:rsidR="008E4DD7">
        <w:t xml:space="preserve"> zwrócić </w:t>
      </w:r>
      <w:r w:rsidR="002E1F46">
        <w:t>jego uwagę lub które</w:t>
      </w:r>
      <w:r w:rsidR="008E4DD7">
        <w:t xml:space="preserve"> dotyc</w:t>
      </w:r>
      <w:r w:rsidR="002E1F46">
        <w:t>zą</w:t>
      </w:r>
      <w:r w:rsidR="008E4DD7">
        <w:t xml:space="preserve"> </w:t>
      </w:r>
      <w:r w:rsidR="002E1F46">
        <w:t>go</w:t>
      </w:r>
      <w:r w:rsidR="00F933C1">
        <w:t> </w:t>
      </w:r>
      <w:r w:rsidR="008E4DD7">
        <w:t>w</w:t>
      </w:r>
      <w:r w:rsidR="00C41CE5">
        <w:t> </w:t>
      </w:r>
      <w:r w:rsidR="008E4DD7">
        <w:t xml:space="preserve">znacznym stopniu, zwłaszcza </w:t>
      </w:r>
      <w:r w:rsidR="002E1F46">
        <w:t>przez to, że wpływają na dobrostan obywateli lub życie społeczne</w:t>
      </w:r>
      <w:r w:rsidR="008E4DD7">
        <w:t>. Ma to również miejsce w odniesieniu do</w:t>
      </w:r>
      <w:r w:rsidR="00C41CE5">
        <w:t> </w:t>
      </w:r>
      <w:r w:rsidR="008E4DD7">
        <w:t>kwestii, które mogą powodować znaczne kontrowersje, które dotyczą istotnych kwestii społecznych, lub które dotyczą problemu, o którym opinia publiczna powinna być poinformowana (miałaby w tym interes).</w:t>
      </w:r>
      <w:r w:rsidR="008E4DD7">
        <w:rPr>
          <w:b/>
          <w:bCs/>
        </w:rPr>
        <w:t xml:space="preserve"> </w:t>
      </w:r>
      <w:r w:rsidR="008E4DD7">
        <w:t>Interes publiczny nie może być zredukowany do apetytu opinii publicznej na</w:t>
      </w:r>
      <w:r w:rsidR="00C41CE5">
        <w:t> </w:t>
      </w:r>
      <w:r w:rsidR="008E4DD7">
        <w:t>informacje o życiu prywatnym innych [osób] lub apetytu widzów na</w:t>
      </w:r>
      <w:r w:rsidR="00C41CE5">
        <w:t> </w:t>
      </w:r>
      <w:r w:rsidR="008E4DD7">
        <w:t xml:space="preserve">sensacje lub nawet na voyeuryzm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 powyżej, §§ 101 i 103, i dalsze odwołania wspomniane tamże).</w:t>
      </w:r>
    </w:p>
    <w:p w14:paraId="40C02D22" w14:textId="33321357" w:rsidR="008E4DD7" w:rsidRPr="00841658" w:rsidRDefault="005A22F3" w:rsidP="007365DD">
      <w:pPr>
        <w:pStyle w:val="ECHRPara"/>
      </w:pPr>
      <w:r>
        <w:t>172</w:t>
      </w:r>
      <w:r w:rsidR="008E4DD7">
        <w:t>.</w:t>
      </w:r>
      <w:r>
        <w:t xml:space="preserve"> </w:t>
      </w:r>
      <w:r w:rsidR="008E4DD7">
        <w:t>Nie ma wątpliwości, że pozwolenie na dostęp publiczny do</w:t>
      </w:r>
      <w:r w:rsidR="00C41CE5">
        <w:t> </w:t>
      </w:r>
      <w:r w:rsidR="008E4DD7">
        <w:t xml:space="preserve">dokumentów urzędowych, takich jak dane podatkowe, zostało zaprojektowane tak, by zabezpieczyć dostępność informacji w celu umożliwienia debaty w kwestiach o znaczeniu dla interesu publicznego. </w:t>
      </w:r>
      <w:r w:rsidR="008E4DD7">
        <w:lastRenderedPageBreak/>
        <w:t>Taki dostęp, choć podlegający jasnym regułom i ograniczeniom ustawowym, ma podstawy konstytucyjne w prawie fińskim i był szeroko gwarantowany od wielu dekad (zob. paragrafy 37-39 powyżej).</w:t>
      </w:r>
    </w:p>
    <w:p w14:paraId="2790358A" w14:textId="085273AD" w:rsidR="008E4DD7" w:rsidRPr="00841658" w:rsidRDefault="005A22F3" w:rsidP="007365DD">
      <w:pPr>
        <w:pStyle w:val="ECHRPara"/>
      </w:pPr>
      <w:r>
        <w:t>173</w:t>
      </w:r>
      <w:r w:rsidR="008E4DD7">
        <w:t>.</w:t>
      </w:r>
      <w:r>
        <w:t xml:space="preserve"> </w:t>
      </w:r>
      <w:r w:rsidR="008E4DD7">
        <w:t xml:space="preserve">U podstaw fińskiej polityki ustawowej udostępniania danych podatkowych publicznie była potrzeba </w:t>
      </w:r>
      <w:r w:rsidR="00C77CF2">
        <w:t>zapewnienia</w:t>
      </w:r>
      <w:r w:rsidR="008E4DD7">
        <w:t>, by opinia publiczna mogła monitorować działania organów rządowych. Podczas gdy skarżące spółki powoływały się na fakt</w:t>
      </w:r>
      <w:r w:rsidR="00C77CF2">
        <w:t>,</w:t>
      </w:r>
      <w:r w:rsidR="008E4DD7">
        <w:t xml:space="preserve"> iż dostęp do danych podatkowych umożliwia </w:t>
      </w:r>
      <w:r w:rsidR="00C77CF2">
        <w:t xml:space="preserve">również </w:t>
      </w:r>
      <w:r w:rsidR="008E4DD7">
        <w:t xml:space="preserve">nadzór wzajemny przez obywateli oraz zgłaszanie unikania płacenia podatków, Trybunał, na podstawie prac przygotowawczych oraz dostępnych </w:t>
      </w:r>
      <w:r w:rsidR="00C77CF2">
        <w:t>mu materiałów</w:t>
      </w:r>
      <w:r w:rsidR="008E4DD7">
        <w:t xml:space="preserve">, nie był w stanie potwierdzić, że taki był cel fińskiego systemu dostępowego (zob. paragraf 43 powyżej) lub też, </w:t>
      </w:r>
      <w:r w:rsidR="00C77CF2">
        <w:t>że</w:t>
      </w:r>
      <w:r w:rsidR="00C41CE5">
        <w:t> </w:t>
      </w:r>
      <w:r w:rsidR="00C77CF2">
        <w:t>z</w:t>
      </w:r>
      <w:r w:rsidR="00C41CE5">
        <w:t> </w:t>
      </w:r>
      <w:r w:rsidR="00C77CF2">
        <w:t xml:space="preserve">upływem </w:t>
      </w:r>
      <w:r w:rsidR="008E4DD7">
        <w:t>czasu taki cel nadzorczy się rozwinął.</w:t>
      </w:r>
    </w:p>
    <w:p w14:paraId="6262ADD9" w14:textId="78429C7A" w:rsidR="008E4DD7" w:rsidRPr="00841658" w:rsidRDefault="005A22F3" w:rsidP="007365DD">
      <w:pPr>
        <w:pStyle w:val="ECHRPara"/>
      </w:pPr>
      <w:r>
        <w:t>174</w:t>
      </w:r>
      <w:r w:rsidR="008E4DD7">
        <w:t>. </w:t>
      </w:r>
      <w:r w:rsidR="00C77CF2">
        <w:t xml:space="preserve">Niemniej jednak </w:t>
      </w:r>
      <w:r w:rsidR="008E4DD7">
        <w:t>publiczny dostęp do danych podatkowych, z</w:t>
      </w:r>
      <w:r w:rsidR="00C41CE5">
        <w:t> </w:t>
      </w:r>
      <w:r w:rsidR="008E4DD7">
        <w:t xml:space="preserve">zastrzeżeniem jasnych zasad i procedur, oraz ogólna przejrzystość fińskiego systemu podatkowego, nie oznacza, że </w:t>
      </w:r>
      <w:r w:rsidR="00C25831">
        <w:t>zakwestionowana</w:t>
      </w:r>
      <w:r w:rsidR="008E4DD7">
        <w:t xml:space="preserve"> publikacja sama w sobie </w:t>
      </w:r>
      <w:r w:rsidR="00C77CF2">
        <w:t>wnosiła</w:t>
      </w:r>
      <w:r w:rsidR="008E4DD7">
        <w:t xml:space="preserve"> wkład </w:t>
      </w:r>
      <w:r w:rsidR="00C77CF2">
        <w:t>do debaty</w:t>
      </w:r>
      <w:r w:rsidR="008E4DD7">
        <w:t xml:space="preserve"> o znaczeniu dla interesu publicznego. Analizując publikację jako całość i w kontekście oraz analizując ją w świetle wspomnianego orzecznictwa (paragrafy 162-166 powyżej), Trybunał, podobnie jak Najwyższy Sąd Administracyjny, nie jest przekonany, że publikacja danych podatkowych w sposób oraz w zakresie przeprowadzonym przez skarżące </w:t>
      </w:r>
      <w:r w:rsidR="00C77CF2">
        <w:t xml:space="preserve">spółki </w:t>
      </w:r>
      <w:r w:rsidR="008E4DD7">
        <w:t xml:space="preserve">przyczyniła się do takiej debaty oraz że rzeczywiście </w:t>
      </w:r>
      <w:r w:rsidR="00C77CF2">
        <w:t>to było</w:t>
      </w:r>
      <w:r w:rsidR="008E4DD7">
        <w:t xml:space="preserve"> głównym celem tej publikacji.</w:t>
      </w:r>
    </w:p>
    <w:p w14:paraId="7EB438F1" w14:textId="622E69B3" w:rsidR="008E4DD7" w:rsidRPr="00841658" w:rsidRDefault="005A22F3" w:rsidP="007365DD">
      <w:pPr>
        <w:pStyle w:val="ECHRPara"/>
      </w:pPr>
      <w:r>
        <w:t>175</w:t>
      </w:r>
      <w:r w:rsidR="008E4DD7">
        <w:t>.</w:t>
      </w:r>
      <w:r>
        <w:t xml:space="preserve"> </w:t>
      </w:r>
      <w:r w:rsidR="008E4DD7">
        <w:t xml:space="preserve">Derogacja na cele dziennikarskie z art. 2 ust. 5 </w:t>
      </w:r>
      <w:r w:rsidR="009C4D21">
        <w:t>ustawy o danych osobowyc</w:t>
      </w:r>
      <w:r w:rsidR="008E4DD7">
        <w:t xml:space="preserve">h ma </w:t>
      </w:r>
      <w:r w:rsidR="00AA6921">
        <w:t>umożliwić</w:t>
      </w:r>
      <w:r w:rsidR="008E4DD7">
        <w:t xml:space="preserve"> dziennikarzom uzyskani</w:t>
      </w:r>
      <w:r w:rsidR="00AA6921">
        <w:t>e</w:t>
      </w:r>
      <w:r w:rsidR="008E4DD7">
        <w:t xml:space="preserve"> dostępu do</w:t>
      </w:r>
      <w:r w:rsidR="00C41CE5">
        <w:t> </w:t>
      </w:r>
      <w:r w:rsidR="00C77CF2">
        <w:t>danych oraz</w:t>
      </w:r>
      <w:r w:rsidR="00F933C1">
        <w:t> </w:t>
      </w:r>
      <w:r w:rsidR="00C77CF2">
        <w:t xml:space="preserve">ich </w:t>
      </w:r>
      <w:r w:rsidR="008E4DD7">
        <w:t>zbierani</w:t>
      </w:r>
      <w:r w:rsidR="00AA6921">
        <w:t>e</w:t>
      </w:r>
      <w:r w:rsidR="008E4DD7">
        <w:t xml:space="preserve"> i przetwarzani</w:t>
      </w:r>
      <w:r w:rsidR="00AA6921">
        <w:t>e</w:t>
      </w:r>
      <w:r w:rsidR="008E4DD7">
        <w:t xml:space="preserve"> w celu zapewnienia, by mogli wykonywać swoją działalność dziennikarską, uznawaną za niezbędną w</w:t>
      </w:r>
      <w:r w:rsidR="00C41CE5">
        <w:t> </w:t>
      </w:r>
      <w:r w:rsidR="008E4DD7">
        <w:t>społeczeństwie demokratycznym. Ten fakt został wyraźnie podkreślony przez Najwyższy Sąd Administracyjny w orzeczeniu z 2009</w:t>
      </w:r>
      <w:r w:rsidR="00F6710B" w:rsidRPr="00F6710B">
        <w:t xml:space="preserve"> </w:t>
      </w:r>
      <w:r w:rsidR="00F6710B">
        <w:t>r.</w:t>
      </w:r>
      <w:r w:rsidR="008E4DD7">
        <w:t xml:space="preserve"> (zob.</w:t>
      </w:r>
      <w:r w:rsidR="00C41CE5">
        <w:t> </w:t>
      </w:r>
      <w:r w:rsidR="008E4DD7">
        <w:t>paragraf 22 powyżej), w którym stwierdzono, że ograniczenie przetwarzania danych podatkowych przez dziennikarzy na etapie przed</w:t>
      </w:r>
      <w:r w:rsidR="00F933C1">
        <w:t> </w:t>
      </w:r>
      <w:r w:rsidR="008E4DD7">
        <w:t>publikacją lub na etapie ujawnienia byłoby niedopuszczalne, jako</w:t>
      </w:r>
      <w:r w:rsidR="00F933C1">
        <w:t> </w:t>
      </w:r>
      <w:r w:rsidR="008E4DD7">
        <w:t>że</w:t>
      </w:r>
      <w:r w:rsidR="00F933C1">
        <w:t> </w:t>
      </w:r>
      <w:r w:rsidR="008E4DD7">
        <w:t>w</w:t>
      </w:r>
      <w:r w:rsidR="00C41CE5">
        <w:t> </w:t>
      </w:r>
      <w:r w:rsidR="008E4DD7">
        <w:t>praktyce oznaczałoby, że podjęto decyzję co do tego, jakie</w:t>
      </w:r>
      <w:r w:rsidR="00F933C1">
        <w:t> </w:t>
      </w:r>
      <w:r w:rsidR="008E4DD7">
        <w:t>materiały mogły być publikowane. Jednakże istnienie interesu publicznego w</w:t>
      </w:r>
      <w:r w:rsidR="00C41CE5">
        <w:t> </w:t>
      </w:r>
      <w:r w:rsidR="008E4DD7">
        <w:t>udostępnianiu i zezwalaniu na zbieranie dużych ilości danych podatkowych wcale nie oznaczało koniecznie czy</w:t>
      </w:r>
      <w:r w:rsidR="00F933C1">
        <w:t xml:space="preserve"> </w:t>
      </w:r>
      <w:r w:rsidR="008E4DD7">
        <w:t>automatycznie, że</w:t>
      </w:r>
      <w:r w:rsidR="00F933C1">
        <w:t> </w:t>
      </w:r>
      <w:r w:rsidR="008E4DD7">
        <w:t>istniał również interes publiczny w</w:t>
      </w:r>
      <w:r w:rsidR="00F933C1">
        <w:t xml:space="preserve"> </w:t>
      </w:r>
      <w:r w:rsidR="008E4DD7">
        <w:t xml:space="preserve">rozpowszechnianiu </w:t>
      </w:r>
      <w:r w:rsidR="008E4DD7">
        <w:rPr>
          <w:i/>
          <w:iCs/>
        </w:rPr>
        <w:t xml:space="preserve">en </w:t>
      </w:r>
      <w:proofErr w:type="spellStart"/>
      <w:r w:rsidR="008E4DD7">
        <w:rPr>
          <w:i/>
          <w:iCs/>
        </w:rPr>
        <w:t>masse</w:t>
      </w:r>
      <w:proofErr w:type="spellEnd"/>
      <w:r w:rsidR="008E4DD7">
        <w:t xml:space="preserve"> takich </w:t>
      </w:r>
      <w:r w:rsidR="00C77CF2">
        <w:t xml:space="preserve">danych </w:t>
      </w:r>
      <w:r w:rsidR="00DD517A">
        <w:t xml:space="preserve">surowych </w:t>
      </w:r>
      <w:r w:rsidR="008E4DD7">
        <w:t>w niezmienionej</w:t>
      </w:r>
      <w:r w:rsidR="00C77CF2" w:rsidRPr="00C77CF2">
        <w:t xml:space="preserve"> </w:t>
      </w:r>
      <w:r w:rsidR="00C77CF2">
        <w:t>formie</w:t>
      </w:r>
      <w:r w:rsidR="008E4DD7">
        <w:t xml:space="preserve">, bez żadnego wkładu analitycznego. Jasno wskazano w </w:t>
      </w:r>
      <w:r w:rsidR="00A27BEF">
        <w:t>trakcie prac</w:t>
      </w:r>
      <w:r w:rsidR="008E4DD7">
        <w:t xml:space="preserve"> przygotowawczych nad przepisami krajowymi (zob. paragraf 36 powyżej), że bazy danych utworzone na cele dziennikarskie nie miały być udostępniane osobom niezaangażowanym w</w:t>
      </w:r>
      <w:r w:rsidR="00C41CE5">
        <w:t> </w:t>
      </w:r>
      <w:r w:rsidR="008E4DD7">
        <w:t>działalność dziennikarską, podkreślając zatem przywilej dziennikarski w</w:t>
      </w:r>
      <w:r w:rsidR="00C41CE5">
        <w:t> </w:t>
      </w:r>
      <w:r w:rsidR="008E4DD7">
        <w:t>kwestiach związanych z przetwarzaniem danych na cele wewnętrzne. Rozróżnienie pomiędzy przetwarzaniem danych na</w:t>
      </w:r>
      <w:r w:rsidR="00F933C1">
        <w:t> </w:t>
      </w:r>
      <w:r w:rsidR="008E4DD7">
        <w:t>cele dziennikarskie i</w:t>
      </w:r>
      <w:r w:rsidR="00C41CE5">
        <w:t> </w:t>
      </w:r>
      <w:r w:rsidR="008E4DD7">
        <w:t>rozpowszechnianie danych</w:t>
      </w:r>
      <w:r w:rsidR="00DD517A" w:rsidRPr="00DD517A">
        <w:t xml:space="preserve"> </w:t>
      </w:r>
      <w:r w:rsidR="00DD517A">
        <w:t>surowych</w:t>
      </w:r>
      <w:r w:rsidR="008E4DD7">
        <w:t xml:space="preserve">, do których </w:t>
      </w:r>
      <w:r w:rsidR="008E4DD7">
        <w:lastRenderedPageBreak/>
        <w:t>dziennikarze otrzymali uprzywilejowany dostęp, zostało wyraźnie wskazane przez Najwyższy Sąd Administracyjny w swoim pierwszym orzeczeniu w</w:t>
      </w:r>
      <w:r w:rsidR="00F933C1">
        <w:t> </w:t>
      </w:r>
      <w:r w:rsidR="008E4DD7">
        <w:t>2009</w:t>
      </w:r>
      <w:r w:rsidR="00F6710B" w:rsidRPr="00F6710B">
        <w:t xml:space="preserve"> </w:t>
      </w:r>
      <w:r w:rsidR="00F6710B">
        <w:t>r.</w:t>
      </w:r>
    </w:p>
    <w:p w14:paraId="62F970F5" w14:textId="35ABAE7F" w:rsidR="008E4DD7" w:rsidRPr="00841658" w:rsidRDefault="005A22F3" w:rsidP="007365DD">
      <w:pPr>
        <w:pStyle w:val="ECHRPara"/>
      </w:pPr>
      <w:r>
        <w:t>176</w:t>
      </w:r>
      <w:r w:rsidR="008E4DD7">
        <w:t>.</w:t>
      </w:r>
      <w:r>
        <w:t xml:space="preserve"> </w:t>
      </w:r>
      <w:r w:rsidR="008E4DD7">
        <w:t>Co więcej po</w:t>
      </w:r>
      <w:r w:rsidR="00DD517A">
        <w:t>woływanie się na derogację</w:t>
      </w:r>
      <w:r w:rsidR="008E4DD7">
        <w:t xml:space="preserve"> zależało od przetwarzania danych „wyłącznie” na cele dziennikarskie. </w:t>
      </w:r>
      <w:r w:rsidR="00AA6921">
        <w:t>Natomiast</w:t>
      </w:r>
      <w:r w:rsidR="008E4DD7">
        <w:t xml:space="preserve"> wedle ustaleń Najwyższego Sądu Administracyjnego publikowanie danych podatkowych w </w:t>
      </w:r>
      <w:r w:rsidR="008E4DD7">
        <w:rPr>
          <w:i/>
          <w:iCs/>
        </w:rPr>
        <w:t>Veropörssi</w:t>
      </w:r>
      <w:r w:rsidR="008E4DD7">
        <w:t>, nieomal słowo w słowo, w postaci katalogów, choć</w:t>
      </w:r>
      <w:r w:rsidR="00C41CE5">
        <w:t> </w:t>
      </w:r>
      <w:r w:rsidR="008E4DD7">
        <w:t>podzielonych na różne części i posortowan</w:t>
      </w:r>
      <w:r w:rsidR="00DD517A">
        <w:t>e w podziale na gminy, stanowiło</w:t>
      </w:r>
      <w:r w:rsidR="008E4DD7">
        <w:t xml:space="preserve"> ujawnienie całości akt </w:t>
      </w:r>
      <w:r w:rsidR="00AE00B1">
        <w:t xml:space="preserve">źródłowych </w:t>
      </w:r>
      <w:r w:rsidR="008E4DD7">
        <w:t>przechowywanych na cele dziennikarskie i</w:t>
      </w:r>
      <w:r w:rsidR="00C41CE5">
        <w:t> </w:t>
      </w:r>
      <w:r w:rsidR="00AE00B1">
        <w:t xml:space="preserve">w takich okolicznościach </w:t>
      </w:r>
      <w:r w:rsidR="008E4DD7">
        <w:t>nie mo</w:t>
      </w:r>
      <w:r w:rsidR="00AE00B1">
        <w:t>gła</w:t>
      </w:r>
      <w:r w:rsidR="008E4DD7">
        <w:t xml:space="preserve"> to </w:t>
      </w:r>
      <w:r w:rsidR="00AE00B1">
        <w:t xml:space="preserve">być </w:t>
      </w:r>
      <w:r w:rsidR="008E4DD7">
        <w:t xml:space="preserve">kwestia </w:t>
      </w:r>
      <w:r w:rsidR="00B07EFE">
        <w:t xml:space="preserve">próby </w:t>
      </w:r>
      <w:r w:rsidR="008E4DD7">
        <w:t>wyrażenia informacji, opinii czy idei. Wprawdzie skarżące spółki argumentowały, iż</w:t>
      </w:r>
      <w:r w:rsidR="00C41CE5">
        <w:t> </w:t>
      </w:r>
      <w:r w:rsidR="008E4DD7">
        <w:t>publiczne ujawnienie rejestrów podatkowych umożliwiło opinii publicznej obserwowanie wyników polityki podatkowej – w jaki sposób zmieniają się różnice między dochodami a majątkiem, dla</w:t>
      </w:r>
      <w:r w:rsidR="00F933C1">
        <w:t> </w:t>
      </w:r>
      <w:r w:rsidR="008E4DD7">
        <w:t>przykładu, w</w:t>
      </w:r>
      <w:r w:rsidR="00C41CE5">
        <w:t> </w:t>
      </w:r>
      <w:r w:rsidR="008E4DD7">
        <w:t>porównaniu pomiędzy regionami</w:t>
      </w:r>
      <w:r w:rsidR="00B07EFE">
        <w:t xml:space="preserve"> czy</w:t>
      </w:r>
      <w:r w:rsidR="008E4DD7">
        <w:t xml:space="preserve"> zawodami</w:t>
      </w:r>
      <w:r w:rsidR="00B07EFE">
        <w:t xml:space="preserve"> lub</w:t>
      </w:r>
      <w:r w:rsidR="00F933C1">
        <w:t> </w:t>
      </w:r>
      <w:r w:rsidR="00B07EFE">
        <w:t>w</w:t>
      </w:r>
      <w:r w:rsidR="00F933C1">
        <w:t> </w:t>
      </w:r>
      <w:r w:rsidR="00B07EFE">
        <w:t xml:space="preserve">zależności od </w:t>
      </w:r>
      <w:r w:rsidR="008E4DD7">
        <w:t>płci – nie wyjaśniły jednak</w:t>
      </w:r>
      <w:r w:rsidR="00B07EFE">
        <w:t>,</w:t>
      </w:r>
      <w:r w:rsidR="008E4DD7">
        <w:t xml:space="preserve"> w jaki sposób ich czytelnicy byliby w stanie przeprowadzić taki rodzaj analizy na podstawie sur</w:t>
      </w:r>
      <w:r w:rsidR="00AE00B1">
        <w:t>owych danych</w:t>
      </w:r>
      <w:r w:rsidR="008E4DD7">
        <w:t xml:space="preserve"> publikowanych </w:t>
      </w:r>
      <w:r w:rsidR="008E4DD7">
        <w:rPr>
          <w:i/>
          <w:iCs/>
        </w:rPr>
        <w:t xml:space="preserve">en </w:t>
      </w:r>
      <w:proofErr w:type="spellStart"/>
      <w:r w:rsidR="008E4DD7">
        <w:rPr>
          <w:i/>
          <w:iCs/>
        </w:rPr>
        <w:t>masse</w:t>
      </w:r>
      <w:proofErr w:type="spellEnd"/>
      <w:r w:rsidR="008E4DD7">
        <w:t xml:space="preserve"> w </w:t>
      </w:r>
      <w:r w:rsidR="008E4DD7">
        <w:rPr>
          <w:i/>
          <w:iCs/>
        </w:rPr>
        <w:t>Veropörssi</w:t>
      </w:r>
      <w:r w:rsidR="008E4DD7">
        <w:t>.</w:t>
      </w:r>
    </w:p>
    <w:p w14:paraId="166F4724" w14:textId="3C57697A" w:rsidR="008E4DD7" w:rsidRPr="00841658" w:rsidRDefault="005A22F3" w:rsidP="007365DD">
      <w:pPr>
        <w:pStyle w:val="ECHRPara"/>
      </w:pPr>
      <w:r>
        <w:t>177</w:t>
      </w:r>
      <w:r w:rsidR="008E4DD7">
        <w:t>.</w:t>
      </w:r>
      <w:r>
        <w:t xml:space="preserve"> </w:t>
      </w:r>
      <w:r w:rsidR="008E4DD7">
        <w:t xml:space="preserve">Wreszcie, o ile informacje mogłyby umożliwić ciekawym członkom społeczeństwa skategoryzowanie wymienionych </w:t>
      </w:r>
      <w:r w:rsidR="00B07EFE">
        <w:t xml:space="preserve">z nazwiska </w:t>
      </w:r>
      <w:r w:rsidR="008E4DD7">
        <w:t xml:space="preserve">osób niebędących osobami publicznymi według ich statusu ekonomicznego, można to było uznać za </w:t>
      </w:r>
      <w:r w:rsidR="00B07EFE">
        <w:t>przejaw</w:t>
      </w:r>
      <w:r w:rsidR="008E4DD7">
        <w:t xml:space="preserve"> apetytu opinii publicznej na informacje o</w:t>
      </w:r>
      <w:r w:rsidR="00C41CE5">
        <w:t> </w:t>
      </w:r>
      <w:r w:rsidR="008E4DD7">
        <w:t>życiu prywatnym innych [osób] oraz, jako takie, na sensacje lub nawet na</w:t>
      </w:r>
      <w:r w:rsidR="00C41CE5">
        <w:t> </w:t>
      </w:r>
      <w:r w:rsidR="008E4DD7">
        <w:t>voyeuryzm</w:t>
      </w:r>
      <w:r w:rsidR="00B07EFE">
        <w:t xml:space="preserve"> </w:t>
      </w:r>
      <w:r w:rsidR="008E4DD7">
        <w:t xml:space="preserve">(zob.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 powyżej, § 101).</w:t>
      </w:r>
    </w:p>
    <w:p w14:paraId="4608E547" w14:textId="06439794" w:rsidR="008E4DD7" w:rsidRPr="00841658" w:rsidRDefault="005A22F3" w:rsidP="007365DD">
      <w:pPr>
        <w:pStyle w:val="ECHRPara"/>
      </w:pPr>
      <w:r>
        <w:t>178</w:t>
      </w:r>
      <w:r w:rsidR="008E4DD7">
        <w:t>.</w:t>
      </w:r>
      <w:r>
        <w:t xml:space="preserve"> </w:t>
      </w:r>
      <w:r w:rsidR="008E4DD7">
        <w:t>W świetle tych względów Trybunał może tylko zgodzić się z</w:t>
      </w:r>
      <w:r w:rsidR="00C41CE5">
        <w:t> </w:t>
      </w:r>
      <w:r w:rsidR="008E4DD7">
        <w:t>Najwyższym Sądem Admini</w:t>
      </w:r>
      <w:r w:rsidR="00C25831">
        <w:t xml:space="preserve">stracyjnym, iż jedynym celem </w:t>
      </w:r>
      <w:r w:rsidR="008E4DD7">
        <w:t>k</w:t>
      </w:r>
      <w:r w:rsidR="00C25831">
        <w:t>westionowanej</w:t>
      </w:r>
      <w:r w:rsidR="008E4DD7">
        <w:t xml:space="preserve"> publikacji nie było</w:t>
      </w:r>
      <w:r w:rsidR="009740CF">
        <w:t xml:space="preserve"> </w:t>
      </w:r>
      <w:r w:rsidR="008E4DD7">
        <w:t>ujawnianie informacji, opinii i idei opinii publicznej</w:t>
      </w:r>
      <w:r w:rsidR="009740CF">
        <w:t xml:space="preserve">, zgodnie z wymogiem prawa krajowego i unijnego, </w:t>
      </w:r>
      <w:r w:rsidR="008E4DD7">
        <w:t xml:space="preserve"> a wniosek ten płynął z</w:t>
      </w:r>
      <w:r w:rsidR="00C41CE5">
        <w:t> </w:t>
      </w:r>
      <w:r w:rsidR="008E4DD7">
        <w:t>formatu publikacji, jej formy, treści oraz zakresu ujawnianych danych. Co</w:t>
      </w:r>
      <w:r w:rsidR="00C41CE5">
        <w:t> </w:t>
      </w:r>
      <w:r w:rsidR="008E4DD7">
        <w:t>więcej nie stwierdza</w:t>
      </w:r>
      <w:r w:rsidR="009740CF">
        <w:t xml:space="preserve"> on</w:t>
      </w:r>
      <w:r w:rsidR="008E4DD7">
        <w:t xml:space="preserve">, że </w:t>
      </w:r>
      <w:r w:rsidR="00C25831">
        <w:t xml:space="preserve">kwestionowana </w:t>
      </w:r>
      <w:r w:rsidR="008E4DD7">
        <w:t>publikacja mo</w:t>
      </w:r>
      <w:r w:rsidR="009740CF">
        <w:t>głaby</w:t>
      </w:r>
      <w:r w:rsidR="008E4DD7">
        <w:t xml:space="preserve"> być uznana za przyczyniającą się do debaty mającej znaczenie dla interesu publicznego ani</w:t>
      </w:r>
      <w:r w:rsidR="009740CF">
        <w:t xml:space="preserve"> przypisana do tego rodzaju wypowiedzi, a mianowicie wypowiedzi politycznej, </w:t>
      </w:r>
      <w:r w:rsidR="008E4DD7">
        <w:t>która tradycyjnie korzysta z uprzywilejowanej pozycji w</w:t>
      </w:r>
      <w:r w:rsidR="00C41CE5">
        <w:t> </w:t>
      </w:r>
      <w:r w:rsidR="008E4DD7">
        <w:t>orzecznictwie, w</w:t>
      </w:r>
      <w:r w:rsidR="009740CF">
        <w:t>ymagając</w:t>
      </w:r>
      <w:r w:rsidR="008E4DD7">
        <w:t xml:space="preserve"> zatem ścisłej kontroli na mocy Konwencji i</w:t>
      </w:r>
      <w:r w:rsidR="00C41CE5">
        <w:t> </w:t>
      </w:r>
      <w:r w:rsidR="009740CF">
        <w:t>co</w:t>
      </w:r>
      <w:r w:rsidR="00C41CE5">
        <w:t> </w:t>
      </w:r>
      <w:r w:rsidR="009740CF">
        <w:t xml:space="preserve">do której dopuszczalny jest </w:t>
      </w:r>
      <w:r w:rsidR="008E4DD7">
        <w:t xml:space="preserve">niewielki zakres ograniczeń z </w:t>
      </w:r>
      <w:r w:rsidR="00F6710B">
        <w:t>art.</w:t>
      </w:r>
      <w:r w:rsidR="008E4DD7">
        <w:t xml:space="preserve"> 10 ust. 2 Konwencji (zob. w tym zakresie, </w:t>
      </w:r>
      <w:proofErr w:type="spellStart"/>
      <w:r w:rsidR="008E4DD7">
        <w:rPr>
          <w:i/>
          <w:iCs/>
        </w:rPr>
        <w:t>Sürek</w:t>
      </w:r>
      <w:proofErr w:type="spellEnd"/>
      <w:r w:rsidR="008E4DD7">
        <w:rPr>
          <w:i/>
          <w:iCs/>
        </w:rPr>
        <w:t xml:space="preserve"> przeciwko Turcji (nr 1), </w:t>
      </w:r>
      <w:r w:rsidR="008E4DD7">
        <w:t>cyt.</w:t>
      </w:r>
      <w:r w:rsidR="00C41CE5">
        <w:t> </w:t>
      </w:r>
      <w:r w:rsidR="008E4DD7">
        <w:t xml:space="preserve">powyżej, § 61; oraz </w:t>
      </w:r>
      <w:proofErr w:type="spellStart"/>
      <w:r w:rsidR="008E4DD7">
        <w:rPr>
          <w:i/>
          <w:iCs/>
        </w:rPr>
        <w:t>Wingrove</w:t>
      </w:r>
      <w:proofErr w:type="spellEnd"/>
      <w:r w:rsidR="008E4DD7">
        <w:rPr>
          <w:i/>
          <w:iCs/>
        </w:rPr>
        <w:t xml:space="preserve">, </w:t>
      </w:r>
      <w:r w:rsidR="008E4DD7">
        <w:t>cyt. powyżej, § 58).</w:t>
      </w:r>
    </w:p>
    <w:p w14:paraId="5E50AD48" w14:textId="32F7BDC0" w:rsidR="008E4DD7" w:rsidRPr="007D3CC6" w:rsidRDefault="008E4DD7" w:rsidP="00FC431B">
      <w:pPr>
        <w:pStyle w:val="ECHRHeading5"/>
      </w:pPr>
      <w:r w:rsidRPr="007D3CC6">
        <w:t xml:space="preserve">(ii) Przedmiot </w:t>
      </w:r>
      <w:r w:rsidR="00AE00B1" w:rsidRPr="007D3CC6">
        <w:t>kwestionowanej</w:t>
      </w:r>
      <w:r w:rsidRPr="007D3CC6">
        <w:t xml:space="preserve"> publikacji oraz jak znane były osoby, o których mowa</w:t>
      </w:r>
    </w:p>
    <w:p w14:paraId="581490DA" w14:textId="28C37053" w:rsidR="008E4DD7" w:rsidRPr="00841658" w:rsidRDefault="005A22F3" w:rsidP="007365DD">
      <w:pPr>
        <w:pStyle w:val="ECHRPara"/>
      </w:pPr>
      <w:r w:rsidRPr="007D3CC6">
        <w:t>179</w:t>
      </w:r>
      <w:r w:rsidR="008E4DD7" w:rsidRPr="007D3CC6">
        <w:t>.</w:t>
      </w:r>
      <w:r w:rsidRPr="007D3CC6">
        <w:t xml:space="preserve"> </w:t>
      </w:r>
      <w:r w:rsidR="008E4DD7" w:rsidRPr="007D3CC6">
        <w:t xml:space="preserve">Dane opublikowane w </w:t>
      </w:r>
      <w:r w:rsidR="008E4DD7" w:rsidRPr="007D3CC6">
        <w:rPr>
          <w:i/>
          <w:iCs/>
        </w:rPr>
        <w:t>Veropörssi</w:t>
      </w:r>
      <w:r w:rsidR="008E4DD7" w:rsidRPr="007D3CC6">
        <w:t xml:space="preserve"> obejmowały nazwiska i</w:t>
      </w:r>
      <w:r w:rsidR="008E4DD7">
        <w:t xml:space="preserve"> imiona osób fizycznych, których roczny dochód podlegający opodatkowaniu </w:t>
      </w:r>
      <w:r w:rsidR="008E4DD7">
        <w:lastRenderedPageBreak/>
        <w:t>przekraczał pewne progi (zob. paragraf 9 powyżej). Dane obejmowały również kwotę, zaokrągloną do 100 EUR, dochodu pochodzącego i</w:t>
      </w:r>
      <w:r w:rsidR="00C41CE5">
        <w:t> </w:t>
      </w:r>
      <w:r w:rsidR="008E4DD7">
        <w:t>niepochodzącego z pracy zarobkowej, a także szczegóły dotyczące majątku netto podlegającego opodatkowaniu. P</w:t>
      </w:r>
      <w:r w:rsidR="007D3CC6">
        <w:t xml:space="preserve">rzy </w:t>
      </w:r>
      <w:r w:rsidR="008E4DD7">
        <w:t>publikowaniu w gazecie dane zostały umieszczone w formie listy alfabetycznej oraz zostały zorganizowane według gminy oraz progu dochodowego.</w:t>
      </w:r>
    </w:p>
    <w:p w14:paraId="2805D20A" w14:textId="77E6138C" w:rsidR="008E4DD7" w:rsidRPr="00C025DA" w:rsidRDefault="005A22F3" w:rsidP="00407352">
      <w:pPr>
        <w:pStyle w:val="ECHRPara"/>
      </w:pPr>
      <w:r>
        <w:t>180</w:t>
      </w:r>
      <w:r w:rsidR="008E4DD7">
        <w:t>.</w:t>
      </w:r>
      <w:r>
        <w:t xml:space="preserve"> </w:t>
      </w:r>
      <w:r w:rsidR="008E4DD7">
        <w:t xml:space="preserve">W przedmiotowej sprawie 1,2 miliona osób fizycznych zostało objętych publikacją </w:t>
      </w:r>
      <w:r w:rsidR="008E4DD7">
        <w:rPr>
          <w:i/>
          <w:iCs/>
        </w:rPr>
        <w:t>Veropörssi</w:t>
      </w:r>
      <w:r w:rsidR="008E4DD7">
        <w:t>. Wszystkie te osoby były podatnikami, lecz</w:t>
      </w:r>
      <w:r w:rsidR="00C41CE5">
        <w:t> </w:t>
      </w:r>
      <w:r w:rsidR="008E4DD7">
        <w:t xml:space="preserve">tylko niektóre, </w:t>
      </w:r>
      <w:r w:rsidR="009740CF">
        <w:t>a w rzeczywistości bardzo nieliczne, były</w:t>
      </w:r>
      <w:r w:rsidR="008E4DD7">
        <w:t xml:space="preserve"> osobami o</w:t>
      </w:r>
      <w:r w:rsidR="00C41CE5">
        <w:t> </w:t>
      </w:r>
      <w:r w:rsidR="008E4DD7">
        <w:t>wysokim dochodzie netto, osobami publicznymi lub osobami bardzo znanymi w rozumieniu orzecznictwa Trybunału. Większość osób, których dane zamieszczono w gazecie, należała do grup o niskich dochodach. Szacowano, iż dane obejmowały jedną trzecią populacji Finlandii i</w:t>
      </w:r>
      <w:r w:rsidR="00C41CE5">
        <w:t> </w:t>
      </w:r>
      <w:r w:rsidR="008E4DD7">
        <w:t xml:space="preserve">większość </w:t>
      </w:r>
      <w:r w:rsidR="009740CF">
        <w:t xml:space="preserve">spośród </w:t>
      </w:r>
      <w:r w:rsidR="008E4DD7">
        <w:t>wszystkich pracowników pełnoetatowych. W</w:t>
      </w:r>
      <w:r w:rsidR="00C41CE5">
        <w:t> </w:t>
      </w:r>
      <w:r w:rsidR="008E4DD7">
        <w:t xml:space="preserve">przeciwieństwie do innych fińskich publikacji informacje opublikowane przez skarżące spółki nie dotyczyły konkretnie żadnej konkretnej kategorii osób takich jak politycy, urzędnicy publiczni, osoby publiczne lub inne osoby należące do sfery publicznej ze względu na </w:t>
      </w:r>
      <w:r w:rsidR="00637FBC">
        <w:t xml:space="preserve">swą </w:t>
      </w:r>
      <w:r w:rsidR="008E4DD7">
        <w:t>działalność lub</w:t>
      </w:r>
      <w:r w:rsidR="00C41CE5">
        <w:t> </w:t>
      </w:r>
      <w:r w:rsidR="008E4DD7">
        <w:t xml:space="preserve">wysokie zarobki (zob. w tym zakresie </w:t>
      </w:r>
      <w:proofErr w:type="spellStart"/>
      <w:r w:rsidR="008E4DD7">
        <w:rPr>
          <w:i/>
          <w:iCs/>
        </w:rPr>
        <w:t>Krone</w:t>
      </w:r>
      <w:proofErr w:type="spellEnd"/>
      <w:r w:rsidR="008E4DD7">
        <w:rPr>
          <w:i/>
          <w:iCs/>
        </w:rPr>
        <w:t xml:space="preserve"> </w:t>
      </w:r>
      <w:proofErr w:type="spellStart"/>
      <w:r w:rsidR="008E4DD7">
        <w:rPr>
          <w:i/>
          <w:iCs/>
        </w:rPr>
        <w:t>Verlag</w:t>
      </w:r>
      <w:proofErr w:type="spellEnd"/>
      <w:r w:rsidR="008E4DD7">
        <w:rPr>
          <w:i/>
          <w:iCs/>
        </w:rPr>
        <w:t xml:space="preserve"> GmbH &amp; Co. KG przeciwko Austrii</w:t>
      </w:r>
      <w:r w:rsidR="008E4DD7">
        <w:t xml:space="preserve">, nr 34315/96, § 37, 26 lutego 2002 r.; oraz </w:t>
      </w:r>
      <w:r w:rsidR="008E4DD7">
        <w:rPr>
          <w:i/>
          <w:iCs/>
        </w:rPr>
        <w:t xml:space="preserve">News </w:t>
      </w:r>
      <w:proofErr w:type="spellStart"/>
      <w:r w:rsidR="008E4DD7">
        <w:rPr>
          <w:i/>
          <w:iCs/>
        </w:rPr>
        <w:t>Verlags</w:t>
      </w:r>
      <w:proofErr w:type="spellEnd"/>
      <w:r w:rsidR="008E4DD7">
        <w:rPr>
          <w:i/>
          <w:iCs/>
        </w:rPr>
        <w:t xml:space="preserve"> GmbH &amp; Co.</w:t>
      </w:r>
      <w:r w:rsidR="00D9277A">
        <w:rPr>
          <w:i/>
          <w:iCs/>
        </w:rPr>
        <w:t>KG przeciwko Austrii</w:t>
      </w:r>
      <w:r w:rsidR="00D9277A">
        <w:t>, nr 31457/96, § 54, ECHR 2000</w:t>
      </w:r>
      <w:r w:rsidR="00D9277A">
        <w:noBreakHyphen/>
        <w:t>I) lub</w:t>
      </w:r>
      <w:r w:rsidR="00C41CE5">
        <w:t> </w:t>
      </w:r>
      <w:r w:rsidR="00637FBC">
        <w:t xml:space="preserve">swe </w:t>
      </w:r>
      <w:r w:rsidR="00D9277A">
        <w:t xml:space="preserve">stanowiska (zob. </w:t>
      </w:r>
      <w:proofErr w:type="spellStart"/>
      <w:r w:rsidR="00D9277A">
        <w:rPr>
          <w:i/>
          <w:iCs/>
        </w:rPr>
        <w:t>Verlagsgruppe</w:t>
      </w:r>
      <w:proofErr w:type="spellEnd"/>
      <w:r w:rsidR="00D9277A">
        <w:rPr>
          <w:i/>
          <w:iCs/>
        </w:rPr>
        <w:t xml:space="preserve"> News GmbH przeciwko Austrii (nr</w:t>
      </w:r>
      <w:r w:rsidR="00C41CE5">
        <w:rPr>
          <w:i/>
          <w:iCs/>
        </w:rPr>
        <w:t> </w:t>
      </w:r>
      <w:r w:rsidR="00D9277A">
        <w:rPr>
          <w:i/>
          <w:iCs/>
        </w:rPr>
        <w:t>2),</w:t>
      </w:r>
      <w:r w:rsidR="00D9277A">
        <w:t xml:space="preserve"> nr 10520/02, § 36, 14 grudnia 2006 r.). </w:t>
      </w:r>
      <w:r w:rsidR="00637FBC">
        <w:t>J</w:t>
      </w:r>
      <w:r w:rsidR="00D9277A">
        <w:t xml:space="preserve">ak Trybunał wcześniej stwierdził, osoby takie </w:t>
      </w:r>
      <w:r w:rsidR="00637FBC">
        <w:t xml:space="preserve">nieuchronnie </w:t>
      </w:r>
      <w:r w:rsidR="00D9277A">
        <w:t xml:space="preserve">i świadomie </w:t>
      </w:r>
      <w:r w:rsidR="00637FBC">
        <w:t xml:space="preserve">poddały się </w:t>
      </w:r>
      <w:r w:rsidR="00D9277A">
        <w:t xml:space="preserve">możliwości ścisłej kontroli zarówno </w:t>
      </w:r>
      <w:r w:rsidR="00637FBC">
        <w:t>ze strony</w:t>
      </w:r>
      <w:r w:rsidR="00D9277A">
        <w:t xml:space="preserve"> dziennikarzy jak i </w:t>
      </w:r>
      <w:r w:rsidR="00637FBC">
        <w:t xml:space="preserve">ogółu </w:t>
      </w:r>
      <w:r w:rsidR="0096361B">
        <w:t xml:space="preserve">społeczeństwa </w:t>
      </w:r>
      <w:r w:rsidR="00D9277A">
        <w:t xml:space="preserve">(zob. </w:t>
      </w:r>
      <w:r w:rsidR="00D9277A" w:rsidRPr="00D9277A">
        <w:rPr>
          <w:iCs/>
        </w:rPr>
        <w:t>m.in.</w:t>
      </w:r>
      <w:r w:rsidR="00D9277A">
        <w:t xml:space="preserve"> </w:t>
      </w:r>
      <w:proofErr w:type="spellStart"/>
      <w:r w:rsidR="00D9277A">
        <w:rPr>
          <w:i/>
          <w:iCs/>
        </w:rPr>
        <w:t>Lingens</w:t>
      </w:r>
      <w:proofErr w:type="spellEnd"/>
      <w:r w:rsidR="00D9277A">
        <w:rPr>
          <w:i/>
          <w:iCs/>
        </w:rPr>
        <w:t xml:space="preserve"> przeciwko Austrii</w:t>
      </w:r>
      <w:r w:rsidR="00D9277A">
        <w:t>, 8 lipca 1986 r., § 42, Seria A nr 103 i</w:t>
      </w:r>
      <w:r w:rsidR="00C41CE5">
        <w:t> </w:t>
      </w:r>
      <w:proofErr w:type="spellStart"/>
      <w:r w:rsidR="00D9277A">
        <w:rPr>
          <w:i/>
          <w:iCs/>
        </w:rPr>
        <w:t>Couderc</w:t>
      </w:r>
      <w:proofErr w:type="spellEnd"/>
      <w:r w:rsidR="00D9277A">
        <w:rPr>
          <w:i/>
          <w:iCs/>
        </w:rPr>
        <w:t xml:space="preserve"> i Hachette </w:t>
      </w:r>
      <w:proofErr w:type="spellStart"/>
      <w:r w:rsidR="00D9277A">
        <w:rPr>
          <w:i/>
          <w:iCs/>
        </w:rPr>
        <w:t>Filipacchi</w:t>
      </w:r>
      <w:proofErr w:type="spellEnd"/>
      <w:r w:rsidR="00D9277A">
        <w:rPr>
          <w:i/>
          <w:iCs/>
        </w:rPr>
        <w:t xml:space="preserve"> </w:t>
      </w:r>
      <w:proofErr w:type="spellStart"/>
      <w:r w:rsidR="00D9277A">
        <w:rPr>
          <w:i/>
          <w:iCs/>
        </w:rPr>
        <w:t>Associés</w:t>
      </w:r>
      <w:proofErr w:type="spellEnd"/>
      <w:r w:rsidR="00D9277A">
        <w:rPr>
          <w:i/>
          <w:iCs/>
        </w:rPr>
        <w:t>,</w:t>
      </w:r>
      <w:r w:rsidR="00D9277A">
        <w:t xml:space="preserve"> cyt. powyżej, §§ 120-121).</w:t>
      </w:r>
    </w:p>
    <w:p w14:paraId="0257911E" w14:textId="7C6F67B6" w:rsidR="008E4DD7" w:rsidRPr="00C025DA" w:rsidRDefault="005A22F3" w:rsidP="007365DD">
      <w:pPr>
        <w:pStyle w:val="ECHRPara"/>
      </w:pPr>
      <w:r>
        <w:t>181</w:t>
      </w:r>
      <w:r w:rsidR="008E4DD7">
        <w:t>.</w:t>
      </w:r>
      <w:r>
        <w:t xml:space="preserve"> </w:t>
      </w:r>
      <w:r w:rsidR="008E4DD7">
        <w:t>Skarżące spółki po</w:t>
      </w:r>
      <w:r w:rsidR="0096361B">
        <w:t>wołują się na względną anonimowość</w:t>
      </w:r>
      <w:r w:rsidR="008E4DD7">
        <w:t xml:space="preserve"> osób fizycznych, których nazwiska i dane zamieszczono w gazecie i były dostępne w usłudze tekstowej (SMS), a także </w:t>
      </w:r>
      <w:r w:rsidR="0096361B">
        <w:t>na samą</w:t>
      </w:r>
      <w:r w:rsidR="008E4DD7">
        <w:t xml:space="preserve"> ilość publikowanych danych, aby zbagatelizować wszelkie </w:t>
      </w:r>
      <w:r w:rsidR="004921CD">
        <w:t xml:space="preserve">ingerencje w </w:t>
      </w:r>
      <w:r w:rsidR="0096361B">
        <w:t xml:space="preserve">ich </w:t>
      </w:r>
      <w:r w:rsidR="008E4DD7">
        <w:t>praw</w:t>
      </w:r>
      <w:r w:rsidR="004921CD">
        <w:t>o</w:t>
      </w:r>
      <w:r w:rsidR="008E4DD7">
        <w:t xml:space="preserve"> do</w:t>
      </w:r>
      <w:r w:rsidR="00C41CE5">
        <w:t> </w:t>
      </w:r>
      <w:r w:rsidR="008E4DD7">
        <w:t xml:space="preserve">prywatności, sugerując, że im więcej </w:t>
      </w:r>
      <w:r w:rsidR="0096361B">
        <w:t>publikowały, tym mniej ingerowały w prywatność</w:t>
      </w:r>
      <w:r w:rsidR="008E4DD7">
        <w:t>, mając na uwadze to, co nazywają czynnikiem „</w:t>
      </w:r>
      <w:r w:rsidR="0096361B">
        <w:t>wtopienia się</w:t>
      </w:r>
      <w:r w:rsidR="008E4DD7">
        <w:t>” (zob. paragraf 103 powyżej). Jednakże, nawet zakładając, że</w:t>
      </w:r>
      <w:r w:rsidR="00C41CE5">
        <w:t> </w:t>
      </w:r>
      <w:r w:rsidR="008E4DD7">
        <w:t xml:space="preserve">taki czynnik może </w:t>
      </w:r>
      <w:r w:rsidR="0096361B">
        <w:t>osłabiać lub zmniejszać</w:t>
      </w:r>
      <w:r w:rsidR="008E4DD7">
        <w:t xml:space="preserve"> </w:t>
      </w:r>
      <w:r w:rsidR="0096361B">
        <w:t>stopień</w:t>
      </w:r>
      <w:r w:rsidR="008E4DD7">
        <w:t xml:space="preserve"> </w:t>
      </w:r>
      <w:r w:rsidR="004921CD">
        <w:t>ingerencji wynikającej</w:t>
      </w:r>
      <w:r w:rsidR="008E4DD7">
        <w:t xml:space="preserve"> z za</w:t>
      </w:r>
      <w:r w:rsidR="00C25831">
        <w:t>kwestionowanej</w:t>
      </w:r>
      <w:r w:rsidR="008E4DD7">
        <w:t xml:space="preserve"> publikacji, nie uwzględnia to osobistego charakteru danych oraz faktu</w:t>
      </w:r>
      <w:r w:rsidR="0096361B">
        <w:t>,</w:t>
      </w:r>
      <w:r w:rsidR="008E4DD7">
        <w:t xml:space="preserve"> iż zostały one przekazane właściwym organom podatkowym w</w:t>
      </w:r>
      <w:r w:rsidR="00C41CE5">
        <w:t> </w:t>
      </w:r>
      <w:r w:rsidR="008E4DD7">
        <w:t>jednym celu, lecz dostęp do nich został uzyskany przez skarżące spółki w</w:t>
      </w:r>
      <w:r w:rsidR="00C41CE5">
        <w:t> </w:t>
      </w:r>
      <w:r w:rsidR="008E4DD7">
        <w:t xml:space="preserve">celu zupełnie innym. Ignoruje również fakt iż sposób i zakres publikacji oznaczał, iż w taki czy inny sposób powstała publikacja dotyczyła całej populacji </w:t>
      </w:r>
      <w:r w:rsidR="0096361B">
        <w:t xml:space="preserve">osób </w:t>
      </w:r>
      <w:r w:rsidR="008E4DD7">
        <w:t xml:space="preserve">dorosłych, ujawnionych jako otrzymujących pewien poziom dochodów, jeżeli zostali ujęci na liście, a także jako nieotrzymujących takich dochodów, jeżeli nie zostali ujęci ze względu na próg zarobkowy, który został zastosowany (zob. również paragraf 157 </w:t>
      </w:r>
      <w:r w:rsidR="008E4DD7">
        <w:lastRenderedPageBreak/>
        <w:t>powyżej). To właśnie masowe</w:t>
      </w:r>
      <w:r w:rsidR="00434EDC">
        <w:t>go zbierania, przetwarzania</w:t>
      </w:r>
      <w:r w:rsidR="008E4DD7">
        <w:t xml:space="preserve"> i rozpowszech</w:t>
      </w:r>
      <w:r w:rsidR="00434EDC">
        <w:t>niania</w:t>
      </w:r>
      <w:r w:rsidR="008E4DD7">
        <w:t xml:space="preserve"> danych </w:t>
      </w:r>
      <w:r w:rsidR="00434EDC">
        <w:t xml:space="preserve">dotyczyć mają </w:t>
      </w:r>
      <w:r w:rsidR="0084330B">
        <w:t xml:space="preserve"> </w:t>
      </w:r>
      <w:r w:rsidR="00434EDC">
        <w:t>przepisy o ochronie danych</w:t>
      </w:r>
      <w:r w:rsidR="0084330B">
        <w:t>,</w:t>
      </w:r>
      <w:r w:rsidR="00434EDC">
        <w:t xml:space="preserve"> jakie były </w:t>
      </w:r>
      <w:r w:rsidR="008E4DD7">
        <w:t>przedmiotem sprawy</w:t>
      </w:r>
      <w:r w:rsidR="00434EDC">
        <w:t xml:space="preserve"> </w:t>
      </w:r>
      <w:r w:rsidR="008E4DD7">
        <w:t>przed sądami krajowymi.</w:t>
      </w:r>
    </w:p>
    <w:p w14:paraId="7466EA50" w14:textId="77777777" w:rsidR="008E4DD7" w:rsidRPr="00841658" w:rsidRDefault="008E4DD7" w:rsidP="00640749">
      <w:pPr>
        <w:pStyle w:val="ECHRHeading5"/>
      </w:pPr>
      <w:r>
        <w:t>(iii) Sposób uzyskania informacji oraz ich prawdziwość</w:t>
      </w:r>
    </w:p>
    <w:p w14:paraId="2B37E4AB" w14:textId="34011F14" w:rsidR="008E4DD7" w:rsidRPr="00841658" w:rsidRDefault="005A22F3" w:rsidP="007365DD">
      <w:pPr>
        <w:pStyle w:val="ECHRPara"/>
      </w:pPr>
      <w:r>
        <w:t>182</w:t>
      </w:r>
      <w:r w:rsidR="008E4DD7">
        <w:t>.</w:t>
      </w:r>
      <w:r>
        <w:t xml:space="preserve"> </w:t>
      </w:r>
      <w:r w:rsidR="0084330B">
        <w:t xml:space="preserve">Dokładność </w:t>
      </w:r>
      <w:r w:rsidR="008E4DD7">
        <w:t>opublikowanych informacji nigdy nie była kwestionowana w przedmiotowej sprawie. Opublikowane informacje zostały zebrane w lokalnych urzędach podatkowych i były</w:t>
      </w:r>
      <w:r w:rsidR="0084330B">
        <w:t xml:space="preserve"> dokładne</w:t>
      </w:r>
      <w:r w:rsidR="008E4DD7">
        <w:t>.</w:t>
      </w:r>
    </w:p>
    <w:p w14:paraId="1A4C4A5E" w14:textId="58EAB943" w:rsidR="008E4DD7" w:rsidRPr="00841658" w:rsidRDefault="005A22F3" w:rsidP="007365DD">
      <w:pPr>
        <w:pStyle w:val="ECHRPara"/>
      </w:pPr>
      <w:r>
        <w:t>183</w:t>
      </w:r>
      <w:r w:rsidR="008E4DD7">
        <w:t>.</w:t>
      </w:r>
      <w:r>
        <w:t xml:space="preserve"> </w:t>
      </w:r>
      <w:r w:rsidR="008E4DD7">
        <w:t>Jeśli chodzi o sposób, w jaki uzyskano informacje, należy pamiętać, iż w obszarze wolności prasy Trybunał</w:t>
      </w:r>
      <w:r w:rsidR="0084330B">
        <w:t xml:space="preserve"> </w:t>
      </w:r>
      <w:r w:rsidR="008E4DD7">
        <w:t>uznał, że ze względu na obowiązki i</w:t>
      </w:r>
      <w:r w:rsidR="00C41CE5">
        <w:t> </w:t>
      </w:r>
      <w:r w:rsidR="008E4DD7">
        <w:t>odpowiedzi</w:t>
      </w:r>
      <w:r w:rsidR="0084330B">
        <w:t>alność, które są</w:t>
      </w:r>
      <w:r w:rsidR="008E4DD7">
        <w:t xml:space="preserve"> nieodłączną częścią </w:t>
      </w:r>
      <w:r w:rsidR="0084330B">
        <w:t xml:space="preserve">korzystania z </w:t>
      </w:r>
      <w:r w:rsidR="008E4DD7">
        <w:t xml:space="preserve">wolności wyrażania opinii, zabezpieczenia gwarantowane w </w:t>
      </w:r>
      <w:r w:rsidR="00F6710B">
        <w:t>art.</w:t>
      </w:r>
      <w:r w:rsidR="008E4DD7">
        <w:t xml:space="preserve"> 10 dziennikarzom w</w:t>
      </w:r>
      <w:r w:rsidR="00C41CE5">
        <w:t> </w:t>
      </w:r>
      <w:r w:rsidR="008E4DD7">
        <w:t xml:space="preserve">odniesieniu do dziennikarstwa na tematy leżące w zainteresowaniu opinii publicznej podlegają zastrzeżeniu, że działają </w:t>
      </w:r>
      <w:r w:rsidR="0084330B">
        <w:t xml:space="preserve">oni </w:t>
      </w:r>
      <w:r w:rsidR="008E4DD7">
        <w:t xml:space="preserve">w dobrej wierze w celu zapewnienia dokładnych i wiarygodnych informacji zgodnie z etyką dziennikarską (zob. </w:t>
      </w:r>
      <w:proofErr w:type="spellStart"/>
      <w:r w:rsidR="008E4DD7">
        <w:rPr>
          <w:i/>
          <w:iCs/>
        </w:rPr>
        <w:t>Magyar</w:t>
      </w:r>
      <w:proofErr w:type="spellEnd"/>
      <w:r w:rsidR="008E4DD7">
        <w:rPr>
          <w:i/>
          <w:iCs/>
        </w:rPr>
        <w:t xml:space="preserve"> Helsinki </w:t>
      </w:r>
      <w:proofErr w:type="spellStart"/>
      <w:r w:rsidR="008E4DD7">
        <w:rPr>
          <w:i/>
          <w:iCs/>
        </w:rPr>
        <w:t>Bizottság</w:t>
      </w:r>
      <w:proofErr w:type="spellEnd"/>
      <w:r w:rsidR="008E4DD7">
        <w:t>, cyt. powyżej, § 159,</w:t>
      </w:r>
      <w:r w:rsidR="00B44278">
        <w:t xml:space="preserve"> i</w:t>
      </w:r>
      <w:r w:rsidR="008E4DD7">
        <w:t xml:space="preserve"> dalsze odwołania tamże).</w:t>
      </w:r>
    </w:p>
    <w:p w14:paraId="7BCDAE3E" w14:textId="47BF5E0C" w:rsidR="008E4DD7" w:rsidRPr="00841658" w:rsidRDefault="005A22F3" w:rsidP="007365DD">
      <w:pPr>
        <w:pStyle w:val="ECHRPara"/>
      </w:pPr>
      <w:r>
        <w:t>184</w:t>
      </w:r>
      <w:r w:rsidR="008E4DD7">
        <w:t>.</w:t>
      </w:r>
      <w:r>
        <w:t xml:space="preserve"> </w:t>
      </w:r>
      <w:r w:rsidR="008E4DD7">
        <w:t>Trybunał powt</w:t>
      </w:r>
      <w:r w:rsidR="0084330B">
        <w:t>arza</w:t>
      </w:r>
      <w:r w:rsidR="008E4DD7">
        <w:t xml:space="preserve">, że w przedmiotowej sprawie skarżące spółki wycofały swoje wnioski o uzyskanie danych od Krajowej Rady Podatkowej i w zamian zatrudniły dodatkowe osoby do zbierania danych podatkowych </w:t>
      </w:r>
      <w:r w:rsidR="0084330B">
        <w:t>ręcznie</w:t>
      </w:r>
      <w:r w:rsidR="008E4DD7">
        <w:t xml:space="preserve"> w lokalnych urzędach podatkowych (zob. paragraf 12 powyżej). Obesz</w:t>
      </w:r>
      <w:r w:rsidR="0084330B">
        <w:t>ły</w:t>
      </w:r>
      <w:r w:rsidR="008E4DD7">
        <w:t xml:space="preserve"> zatem zarówno ograniczenia prawne (obowiązek uzasadnienia, że</w:t>
      </w:r>
      <w:r w:rsidR="00C41CE5">
        <w:t> </w:t>
      </w:r>
      <w:r w:rsidR="008E4DD7">
        <w:t xml:space="preserve">dane byłyby zbierane na cele dziennikarskie oraz </w:t>
      </w:r>
      <w:r w:rsidR="0084330B">
        <w:t xml:space="preserve">nie byłyby </w:t>
      </w:r>
      <w:r w:rsidR="008E4DD7">
        <w:t>publikowane w postaci listy) oraz ograniczenia praktyczne (poprzez zatrudnianie ludzi do zbierania informacji ręcznie</w:t>
      </w:r>
      <w:r w:rsidR="0084330B">
        <w:t>,</w:t>
      </w:r>
      <w:r w:rsidR="008E4DD7">
        <w:t xml:space="preserve"> aby uzyskać nieograniczony dostęp do osobistych danych podatkowych, z zamiarem późniejszego rozpowszechniania) nałożone przez stosowne przepisy krajowe. Dane zostały opublikowane w formie surowej, jako katalogi lub</w:t>
      </w:r>
      <w:r w:rsidR="00C41CE5">
        <w:t> </w:t>
      </w:r>
      <w:r w:rsidR="008E4DD7">
        <w:t>listy.</w:t>
      </w:r>
    </w:p>
    <w:p w14:paraId="1CA28646" w14:textId="7A5C0889" w:rsidR="008E4DD7" w:rsidRPr="00841658" w:rsidRDefault="005A22F3" w:rsidP="007365DD">
      <w:pPr>
        <w:pStyle w:val="ECHRPara"/>
      </w:pPr>
      <w:r>
        <w:t>185</w:t>
      </w:r>
      <w:r w:rsidR="008E4DD7">
        <w:t>.</w:t>
      </w:r>
      <w:r>
        <w:t xml:space="preserve"> </w:t>
      </w:r>
      <w:r w:rsidR="008E4DD7">
        <w:t xml:space="preserve">O ile Trybunał nie może się nie zgodzić z wyrokiem Izby, iż dane nie zostały pozyskane w sposób nielegalny, </w:t>
      </w:r>
      <w:r w:rsidR="00D555EE">
        <w:t xml:space="preserve">jest </w:t>
      </w:r>
      <w:r w:rsidR="008E4DD7">
        <w:t>jas</w:t>
      </w:r>
      <w:r w:rsidR="00D555EE">
        <w:t>ne</w:t>
      </w:r>
      <w:r w:rsidR="008E4DD7">
        <w:t xml:space="preserve">, że skarżące spółki </w:t>
      </w:r>
      <w:r w:rsidR="0084330B">
        <w:t xml:space="preserve">stosowały </w:t>
      </w:r>
      <w:r w:rsidR="008E4DD7">
        <w:t xml:space="preserve">politykę obchodzenia zwykłych kanałów </w:t>
      </w:r>
      <w:r w:rsidR="000C3ED9">
        <w:t>przewidzianych dla dziennikarzy</w:t>
      </w:r>
      <w:r w:rsidR="008E4DD7">
        <w:t xml:space="preserve"> na potrzeby uzyskiwania dostępu do danych</w:t>
      </w:r>
      <w:r w:rsidR="0021655C">
        <w:t>,</w:t>
      </w:r>
      <w:r w:rsidR="008E4DD7">
        <w:t xml:space="preserve"> </w:t>
      </w:r>
      <w:r w:rsidR="000C3ED9">
        <w:t>a</w:t>
      </w:r>
      <w:r w:rsidR="00D555EE">
        <w:t xml:space="preserve"> tym samym mechanizmów </w:t>
      </w:r>
      <w:r w:rsidR="008E4DD7">
        <w:t xml:space="preserve">kontroli </w:t>
      </w:r>
      <w:r w:rsidR="00D555EE">
        <w:t xml:space="preserve">i równowagi </w:t>
      </w:r>
      <w:r w:rsidR="008E4DD7">
        <w:t xml:space="preserve">ustanowionych przez władze krajowe celem regulowania dostępu do danych i </w:t>
      </w:r>
      <w:r w:rsidR="00D555EE">
        <w:t xml:space="preserve">ich </w:t>
      </w:r>
      <w:r w:rsidR="008E4DD7">
        <w:t>rozpowszechniania.</w:t>
      </w:r>
    </w:p>
    <w:p w14:paraId="2205E7C0" w14:textId="77777777" w:rsidR="008E4DD7" w:rsidRPr="00841658" w:rsidRDefault="008E4DD7" w:rsidP="00640749">
      <w:pPr>
        <w:pStyle w:val="ECHRHeading5"/>
      </w:pPr>
      <w:r>
        <w:t>(iv) Treść, forma i konsekwencje publikacji i powiązane względy</w:t>
      </w:r>
    </w:p>
    <w:p w14:paraId="57986CB1" w14:textId="3BC5BC8F" w:rsidR="008E4DD7" w:rsidRPr="00841658" w:rsidRDefault="005A22F3" w:rsidP="007365DD">
      <w:pPr>
        <w:pStyle w:val="ECHRPara"/>
      </w:pPr>
      <w:r>
        <w:t>186</w:t>
      </w:r>
      <w:r w:rsidR="008E4DD7">
        <w:t>.</w:t>
      </w:r>
      <w:r>
        <w:t xml:space="preserve"> </w:t>
      </w:r>
      <w:r w:rsidR="008E4DD7">
        <w:t xml:space="preserve">Trybunał uznał, jak wskazano wcześniej (zob. paragraf 127 powyżej), że podejście do </w:t>
      </w:r>
      <w:r w:rsidR="00234840">
        <w:t xml:space="preserve">relacjonowania </w:t>
      </w:r>
      <w:r w:rsidR="008E4DD7">
        <w:t xml:space="preserve">danego tematu jest kwestią swobody dziennikarskiej. </w:t>
      </w:r>
      <w:r w:rsidR="00234840">
        <w:t>Nie jest z</w:t>
      </w:r>
      <w:r w:rsidR="008E4DD7">
        <w:t xml:space="preserve">adaniem Trybunału ani sądów krajowych zastępowanie własnymi poglądami poglądów prasy w tym obszarze (zob. </w:t>
      </w:r>
      <w:proofErr w:type="spellStart"/>
      <w:r w:rsidR="008E4DD7">
        <w:rPr>
          <w:i/>
          <w:iCs/>
        </w:rPr>
        <w:t>Jersild</w:t>
      </w:r>
      <w:proofErr w:type="spellEnd"/>
      <w:r w:rsidR="008E4DD7">
        <w:t xml:space="preserve">, cyt. powyżej, § 31; i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xml:space="preserve">, cyt. powyżej, § 139). </w:t>
      </w:r>
      <w:r w:rsidR="00F6710B">
        <w:t xml:space="preserve">Art. </w:t>
      </w:r>
      <w:r w:rsidR="008E4DD7">
        <w:t xml:space="preserve">10 Konwencji pozostawia również dziennikarzom swobodę decydowania o tym, jakie szczegóły powinny być </w:t>
      </w:r>
      <w:r w:rsidR="008E4DD7">
        <w:lastRenderedPageBreak/>
        <w:t>publikowane</w:t>
      </w:r>
      <w:r w:rsidR="00234840">
        <w:t>,</w:t>
      </w:r>
      <w:r w:rsidR="008E4DD7">
        <w:t xml:space="preserve"> by zapewnić wiarygodność </w:t>
      </w:r>
      <w:r w:rsidR="00F6710B">
        <w:t>art</w:t>
      </w:r>
      <w:r w:rsidR="00234840">
        <w:t>ykułu</w:t>
      </w:r>
      <w:r w:rsidR="008E4DD7">
        <w:t xml:space="preserve"> (zob. </w:t>
      </w:r>
      <w:proofErr w:type="spellStart"/>
      <w:r w:rsidR="008E4DD7">
        <w:rPr>
          <w:i/>
          <w:iCs/>
        </w:rPr>
        <w:t>Fressoz</w:t>
      </w:r>
      <w:proofErr w:type="spellEnd"/>
      <w:r w:rsidR="008E4DD7">
        <w:rPr>
          <w:i/>
          <w:iCs/>
        </w:rPr>
        <w:t xml:space="preserve"> i </w:t>
      </w:r>
      <w:proofErr w:type="spellStart"/>
      <w:r w:rsidR="008E4DD7">
        <w:rPr>
          <w:i/>
          <w:iCs/>
        </w:rPr>
        <w:t>Roire</w:t>
      </w:r>
      <w:proofErr w:type="spellEnd"/>
      <w:r w:rsidR="008E4DD7">
        <w:t xml:space="preserve">, cyt. powyżej, § 54; i </w:t>
      </w:r>
      <w:r w:rsidR="008E4DD7">
        <w:rPr>
          <w:i/>
          <w:iCs/>
        </w:rPr>
        <w:t>ibid</w:t>
      </w:r>
      <w:r w:rsidR="008E4DD7">
        <w:t xml:space="preserve">.). Dodatkowo dziennikarze korzystają ze swobody wybierania z informacji, które do nich trafiają, </w:t>
      </w:r>
      <w:r w:rsidR="00234840">
        <w:t xml:space="preserve">tych, </w:t>
      </w:r>
      <w:r w:rsidR="008E4DD7">
        <w:t>którymi się zajmą i</w:t>
      </w:r>
      <w:r w:rsidR="00C41CE5">
        <w:t> </w:t>
      </w:r>
      <w:r w:rsidR="008E4DD7">
        <w:t>w</w:t>
      </w:r>
      <w:r w:rsidR="00C41CE5">
        <w:t> </w:t>
      </w:r>
      <w:r w:rsidR="008E4DD7">
        <w:t>jaki sposób. Ta swoboda jednakże nie jest pozbawiona odpowiedzialności (</w:t>
      </w:r>
      <w:r w:rsidR="008E4DD7">
        <w:rPr>
          <w:i/>
          <w:iCs/>
        </w:rPr>
        <w:t>ibid.</w:t>
      </w:r>
      <w:r w:rsidR="008E4DD7">
        <w:t>). Wybory, jakich dokonują w tym aspekcie, muszą być dokonywane na podstawie ich zawodowych zasad etycznych oraz</w:t>
      </w:r>
      <w:r w:rsidR="00C41CE5">
        <w:t> </w:t>
      </w:r>
      <w:r w:rsidR="008E4DD7">
        <w:t xml:space="preserve">kodeksów postępowania (zob. </w:t>
      </w:r>
      <w:proofErr w:type="spellStart"/>
      <w:r w:rsidR="008E4DD7">
        <w:rPr>
          <w:i/>
          <w:iCs/>
        </w:rPr>
        <w:t>Couderc</w:t>
      </w:r>
      <w:proofErr w:type="spellEnd"/>
      <w:r w:rsidR="008E4DD7">
        <w:rPr>
          <w:i/>
          <w:iCs/>
        </w:rPr>
        <w:t xml:space="preserve"> i Hachette </w:t>
      </w:r>
      <w:proofErr w:type="spellStart"/>
      <w:r w:rsidR="008E4DD7">
        <w:rPr>
          <w:i/>
          <w:iCs/>
        </w:rPr>
        <w:t>Filipacchi</w:t>
      </w:r>
      <w:proofErr w:type="spellEnd"/>
      <w:r w:rsidR="008E4DD7">
        <w:rPr>
          <w:i/>
          <w:iCs/>
        </w:rPr>
        <w:t xml:space="preserve"> </w:t>
      </w:r>
      <w:proofErr w:type="spellStart"/>
      <w:r w:rsidR="008E4DD7">
        <w:rPr>
          <w:i/>
          <w:iCs/>
        </w:rPr>
        <w:t>Associés</w:t>
      </w:r>
      <w:proofErr w:type="spellEnd"/>
      <w:r w:rsidR="008E4DD7">
        <w:t>, cyt. powyżej, § 138).</w:t>
      </w:r>
    </w:p>
    <w:p w14:paraId="0D8EA822" w14:textId="79D0E72E" w:rsidR="008E4DD7" w:rsidRPr="00841658" w:rsidRDefault="005A22F3" w:rsidP="007365DD">
      <w:pPr>
        <w:pStyle w:val="ECHRPara"/>
        <w:rPr>
          <w:i/>
          <w:iCs/>
        </w:rPr>
      </w:pPr>
      <w:r>
        <w:t>187</w:t>
      </w:r>
      <w:r w:rsidR="008E4DD7">
        <w:t>.</w:t>
      </w:r>
      <w:r>
        <w:t xml:space="preserve"> </w:t>
      </w:r>
      <w:r w:rsidR="008E4DD7">
        <w:t>Tam gdzie rzeczone informacje były już dostępne publicznie, Trybunał uwzględni</w:t>
      </w:r>
      <w:r w:rsidR="00234840">
        <w:t>a</w:t>
      </w:r>
      <w:r w:rsidR="008E4DD7">
        <w:t>ł ten czynnik w swojej ocenie</w:t>
      </w:r>
      <w:r w:rsidR="00234840">
        <w:t>,</w:t>
      </w:r>
      <w:r w:rsidR="008E4DD7">
        <w:t xml:space="preserve"> czy rzeczone ograniczenie wolności słowa było „niezbędne” na potrzeby </w:t>
      </w:r>
      <w:r w:rsidR="00F6710B">
        <w:t>art.</w:t>
      </w:r>
      <w:r w:rsidR="008E4DD7">
        <w:t xml:space="preserve"> 10 ust. 2. W</w:t>
      </w:r>
      <w:r w:rsidR="00C41CE5">
        <w:t> </w:t>
      </w:r>
      <w:r w:rsidR="008E4DD7">
        <w:t xml:space="preserve">niektórych przypadkach był to </w:t>
      </w:r>
      <w:r w:rsidR="00CD1133">
        <w:t xml:space="preserve">czynnik </w:t>
      </w:r>
      <w:r w:rsidR="008E4DD7">
        <w:t xml:space="preserve">decydujący, </w:t>
      </w:r>
      <w:r w:rsidR="00CD1133">
        <w:t>który prowadził</w:t>
      </w:r>
      <w:r w:rsidR="008E4DD7">
        <w:t xml:space="preserve"> Trybunał do stwierdzenia naruszenia </w:t>
      </w:r>
      <w:r w:rsidR="00F6710B">
        <w:t>art.</w:t>
      </w:r>
      <w:r w:rsidR="008E4DD7">
        <w:t xml:space="preserve"> 10 (zob. </w:t>
      </w:r>
      <w:r w:rsidR="008E4DD7">
        <w:rPr>
          <w:i/>
          <w:iCs/>
        </w:rPr>
        <w:t>Weber przeciwko Szwajcarii</w:t>
      </w:r>
      <w:r w:rsidR="008E4DD7">
        <w:t xml:space="preserve">, 22 maja 1990 r., §§ 48-52, Seria A nr 177; </w:t>
      </w:r>
      <w:proofErr w:type="spellStart"/>
      <w:r w:rsidR="008E4DD7">
        <w:t>Observer</w:t>
      </w:r>
      <w:proofErr w:type="spellEnd"/>
      <w:r w:rsidR="008E4DD7">
        <w:t xml:space="preserve"> </w:t>
      </w:r>
      <w:r w:rsidR="008E4DD7">
        <w:rPr>
          <w:i/>
          <w:iCs/>
        </w:rPr>
        <w:t>oraz</w:t>
      </w:r>
      <w:r w:rsidR="008E4DD7">
        <w:t xml:space="preserve"> Guardian</w:t>
      </w:r>
      <w:r w:rsidR="008E4DD7">
        <w:rPr>
          <w:i/>
          <w:iCs/>
        </w:rPr>
        <w:t xml:space="preserve"> przeciwko Wielkiej Brytanii</w:t>
      </w:r>
      <w:r w:rsidR="008E4DD7">
        <w:t xml:space="preserve">, 26 listopada 1991 r., §§ 66-71, Seria A nr 216; The </w:t>
      </w:r>
      <w:proofErr w:type="spellStart"/>
      <w:r w:rsidR="008E4DD7">
        <w:t>Sunday</w:t>
      </w:r>
      <w:proofErr w:type="spellEnd"/>
      <w:r w:rsidR="008E4DD7">
        <w:t xml:space="preserve"> Times</w:t>
      </w:r>
      <w:r w:rsidR="008E4DD7">
        <w:rPr>
          <w:i/>
          <w:iCs/>
        </w:rPr>
        <w:t xml:space="preserve"> przeciwko Wielkiej Brytanii (nr 2)</w:t>
      </w:r>
      <w:r w:rsidR="008E4DD7">
        <w:t>, 26</w:t>
      </w:r>
      <w:r w:rsidR="00C41CE5">
        <w:t> </w:t>
      </w:r>
      <w:r w:rsidR="008E4DD7">
        <w:t xml:space="preserve">listopada 1991 r., §§ 52-56, Seria A nr 217; oraz </w:t>
      </w:r>
      <w:proofErr w:type="spellStart"/>
      <w:r w:rsidR="008E4DD7">
        <w:rPr>
          <w:i/>
          <w:iCs/>
        </w:rPr>
        <w:t>Vereniging</w:t>
      </w:r>
      <w:proofErr w:type="spellEnd"/>
      <w:r w:rsidR="008E4DD7">
        <w:rPr>
          <w:i/>
          <w:iCs/>
        </w:rPr>
        <w:t xml:space="preserve"> </w:t>
      </w:r>
      <w:proofErr w:type="spellStart"/>
      <w:r w:rsidR="008E4DD7">
        <w:rPr>
          <w:i/>
          <w:iCs/>
        </w:rPr>
        <w:t>Weekblad</w:t>
      </w:r>
      <w:proofErr w:type="spellEnd"/>
      <w:r w:rsidR="008E4DD7">
        <w:t xml:space="preserve"> </w:t>
      </w:r>
      <w:proofErr w:type="spellStart"/>
      <w:r w:rsidR="008E4DD7">
        <w:t>Bluf</w:t>
      </w:r>
      <w:proofErr w:type="spellEnd"/>
      <w:r w:rsidR="008E4DD7">
        <w:t>!</w:t>
      </w:r>
      <w:r w:rsidR="008E4DD7">
        <w:rPr>
          <w:i/>
          <w:iCs/>
        </w:rPr>
        <w:t xml:space="preserve"> przeciwko Holandii</w:t>
      </w:r>
      <w:r w:rsidR="008E4DD7">
        <w:t>, 9 lutego 1995 r., §§ 41-46, Seria A nr 306-A)</w:t>
      </w:r>
      <w:r w:rsidR="00CD1133">
        <w:t>,</w:t>
      </w:r>
      <w:r w:rsidR="008E4DD7">
        <w:t xml:space="preserve"> podczas gdy w innych</w:t>
      </w:r>
      <w:r w:rsidR="00CD1133">
        <w:t xml:space="preserve"> sprawach</w:t>
      </w:r>
      <w:r w:rsidR="008E4DD7">
        <w:t>, zwłaszcza dotyczących swobody prasy w</w:t>
      </w:r>
      <w:r w:rsidR="00C41CE5">
        <w:t> </w:t>
      </w:r>
      <w:r w:rsidR="008E4DD7">
        <w:t>zakresie raportowania na temat publicznych postępowań sądowych, fakt</w:t>
      </w:r>
      <w:r w:rsidR="00CD1133">
        <w:t>,</w:t>
      </w:r>
      <w:r w:rsidR="008E4DD7">
        <w:t xml:space="preserve"> że</w:t>
      </w:r>
      <w:r w:rsidR="00C41CE5">
        <w:t> </w:t>
      </w:r>
      <w:r w:rsidR="008E4DD7">
        <w:t>informacje były dostępne publicznie</w:t>
      </w:r>
      <w:r w:rsidR="00CD1133">
        <w:t>,</w:t>
      </w:r>
      <w:r w:rsidR="008E4DD7">
        <w:t xml:space="preserve"> uznawany był za drugorzędny w</w:t>
      </w:r>
      <w:r w:rsidR="00C41CE5">
        <w:t> </w:t>
      </w:r>
      <w:r w:rsidR="008E4DD7">
        <w:t xml:space="preserve">stosunku do potrzeby chronienia prawa do poszanowania </w:t>
      </w:r>
      <w:r w:rsidR="00CD1133">
        <w:t xml:space="preserve">życia prywatnego </w:t>
      </w:r>
      <w:r w:rsidR="008E4DD7">
        <w:t xml:space="preserve">prywatności </w:t>
      </w:r>
      <w:r w:rsidR="00CD1133">
        <w:t xml:space="preserve">na podstawie </w:t>
      </w:r>
      <w:r w:rsidR="00F6710B">
        <w:t>art.</w:t>
      </w:r>
      <w:r w:rsidR="008E4DD7">
        <w:t xml:space="preserve"> 8 Konwencji (zob. </w:t>
      </w:r>
      <w:proofErr w:type="spellStart"/>
      <w:r w:rsidR="008E4DD7">
        <w:rPr>
          <w:i/>
          <w:iCs/>
        </w:rPr>
        <w:t>Egeland</w:t>
      </w:r>
      <w:proofErr w:type="spellEnd"/>
      <w:r w:rsidR="008E4DD7">
        <w:rPr>
          <w:i/>
          <w:iCs/>
        </w:rPr>
        <w:t xml:space="preserve"> i</w:t>
      </w:r>
      <w:r w:rsidR="00C41CE5">
        <w:rPr>
          <w:i/>
          <w:iCs/>
        </w:rPr>
        <w:t> </w:t>
      </w:r>
      <w:proofErr w:type="spellStart"/>
      <w:r w:rsidR="008E4DD7">
        <w:rPr>
          <w:i/>
          <w:iCs/>
        </w:rPr>
        <w:t>Hanseid</w:t>
      </w:r>
      <w:proofErr w:type="spellEnd"/>
      <w:r w:rsidR="008E4DD7">
        <w:rPr>
          <w:i/>
          <w:iCs/>
        </w:rPr>
        <w:t xml:space="preserve"> przeciwko Norwegii</w:t>
      </w:r>
      <w:r w:rsidR="008E4DD7">
        <w:t xml:space="preserve">, nr 34438/04, </w:t>
      </w:r>
      <w:r w:rsidR="008E4DD7">
        <w:rPr>
          <w:snapToGrid w:val="0"/>
        </w:rPr>
        <w:t xml:space="preserve">§§ 62-63, 16 kwietnia 2009 r.; oraz </w:t>
      </w:r>
      <w:proofErr w:type="spellStart"/>
      <w:r w:rsidR="008E4DD7">
        <w:rPr>
          <w:i/>
          <w:iCs/>
        </w:rPr>
        <w:t>Shabanov</w:t>
      </w:r>
      <w:proofErr w:type="spellEnd"/>
      <w:r w:rsidR="008E4DD7">
        <w:rPr>
          <w:i/>
          <w:iCs/>
        </w:rPr>
        <w:t xml:space="preserve"> i Tren przeciwko Rosji</w:t>
      </w:r>
      <w:r w:rsidR="008E4DD7">
        <w:t>, nr 5433/02, §§ 44-50, 14 grudnia 2006 r.).</w:t>
      </w:r>
    </w:p>
    <w:p w14:paraId="34D4CE0F" w14:textId="04ED9CEA" w:rsidR="008E4DD7" w:rsidRPr="00841658" w:rsidRDefault="005A22F3" w:rsidP="007365DD">
      <w:pPr>
        <w:pStyle w:val="ECHRPara"/>
      </w:pPr>
      <w:r>
        <w:t>188</w:t>
      </w:r>
      <w:r w:rsidR="008E4DD7">
        <w:t>.</w:t>
      </w:r>
      <w:r>
        <w:t xml:space="preserve"> </w:t>
      </w:r>
      <w:r w:rsidR="008E4DD7">
        <w:t>Warto odnotować, że TSUE</w:t>
      </w:r>
      <w:r w:rsidR="00CD1133">
        <w:t xml:space="preserve"> wyjaśnił </w:t>
      </w:r>
      <w:r w:rsidR="008E4DD7">
        <w:t xml:space="preserve">– nie tylko w sprawie </w:t>
      </w:r>
      <w:proofErr w:type="spellStart"/>
      <w:r w:rsidR="008E4DD7">
        <w:rPr>
          <w:i/>
          <w:iCs/>
        </w:rPr>
        <w:t>Satakunnan</w:t>
      </w:r>
      <w:proofErr w:type="spellEnd"/>
      <w:r w:rsidR="008E4DD7">
        <w:t xml:space="preserve"> </w:t>
      </w:r>
      <w:proofErr w:type="spellStart"/>
      <w:r w:rsidR="008E4DD7">
        <w:rPr>
          <w:i/>
          <w:iCs/>
        </w:rPr>
        <w:t>Markkinapörssi</w:t>
      </w:r>
      <w:proofErr w:type="spellEnd"/>
      <w:r w:rsidR="008E4DD7">
        <w:rPr>
          <w:i/>
          <w:iCs/>
        </w:rPr>
        <w:t xml:space="preserve"> </w:t>
      </w:r>
      <w:proofErr w:type="spellStart"/>
      <w:r w:rsidR="008E4DD7">
        <w:rPr>
          <w:i/>
          <w:iCs/>
        </w:rPr>
        <w:t>Oy</w:t>
      </w:r>
      <w:proofErr w:type="spellEnd"/>
      <w:r w:rsidR="008E4DD7">
        <w:t xml:space="preserve">, cyt. powyżej, § 48; i </w:t>
      </w:r>
      <w:r w:rsidR="008E4DD7">
        <w:rPr>
          <w:i/>
          <w:iCs/>
        </w:rPr>
        <w:t xml:space="preserve">Google </w:t>
      </w:r>
      <w:proofErr w:type="spellStart"/>
      <w:r w:rsidR="008E4DD7">
        <w:rPr>
          <w:i/>
          <w:iCs/>
        </w:rPr>
        <w:t>Spain</w:t>
      </w:r>
      <w:proofErr w:type="spellEnd"/>
      <w:r w:rsidR="008E4DD7">
        <w:t>, cyt.</w:t>
      </w:r>
      <w:r w:rsidR="00C41CE5">
        <w:t> </w:t>
      </w:r>
      <w:r w:rsidR="008E4DD7">
        <w:t xml:space="preserve">powyżej, § 30 – że publiczny charakter </w:t>
      </w:r>
      <w:r w:rsidR="00CD1133">
        <w:t xml:space="preserve">przetwarzanych </w:t>
      </w:r>
      <w:r w:rsidR="008E4DD7">
        <w:t>danych nie</w:t>
      </w:r>
      <w:r w:rsidR="00C41CE5">
        <w:t> </w:t>
      </w:r>
      <w:r w:rsidR="008E4DD7">
        <w:t xml:space="preserve">wyłącza takich danych spod ochrony </w:t>
      </w:r>
      <w:r w:rsidR="009C4D21">
        <w:t xml:space="preserve">dyrektywy o ochronie danych </w:t>
      </w:r>
      <w:r w:rsidR="008E4DD7">
        <w:t>i</w:t>
      </w:r>
      <w:r w:rsidR="00C41CE5">
        <w:t> </w:t>
      </w:r>
      <w:r w:rsidR="008E4DD7">
        <w:t xml:space="preserve">gwarancji ustanawianych przez </w:t>
      </w:r>
      <w:r w:rsidR="00CD1133">
        <w:t xml:space="preserve">tę </w:t>
      </w:r>
      <w:r w:rsidR="009C4D21">
        <w:t xml:space="preserve">dyrektywę </w:t>
      </w:r>
      <w:r w:rsidR="008E4DD7">
        <w:t>w zakresie ochrony prywatności (zob. paragrafy 20 i 75 powyżej).</w:t>
      </w:r>
    </w:p>
    <w:p w14:paraId="62F1E7A5" w14:textId="084C9553" w:rsidR="008E4DD7" w:rsidRPr="00841658" w:rsidRDefault="005A22F3" w:rsidP="007365DD">
      <w:pPr>
        <w:pStyle w:val="ECHRPara"/>
      </w:pPr>
      <w:r>
        <w:t>189</w:t>
      </w:r>
      <w:r w:rsidR="008E4DD7">
        <w:t>.</w:t>
      </w:r>
      <w:r>
        <w:t xml:space="preserve"> </w:t>
      </w:r>
      <w:r w:rsidR="00CD1133">
        <w:t>Chociaż</w:t>
      </w:r>
      <w:r w:rsidR="008E4DD7">
        <w:t xml:space="preserve"> przedmiotowe dane podatkowe były dostępne publicznie w</w:t>
      </w:r>
      <w:r w:rsidR="00C41CE5">
        <w:t> </w:t>
      </w:r>
      <w:r w:rsidR="008E4DD7">
        <w:t xml:space="preserve">Finlandii, można było się z nimi zapoznawać </w:t>
      </w:r>
      <w:r w:rsidR="00CD1133">
        <w:t xml:space="preserve">tylko </w:t>
      </w:r>
      <w:r w:rsidR="008E4DD7">
        <w:t xml:space="preserve">w lokalnych urzędach podatkowych, a wgląd odbywał się na jasnych zasadach. Kopiowanie danych na karty pamięci było zakazane. Dziennikarze mogli otrzymać dane podatkowe w formacie cyfrowym, lecz warunki otrzymywania również istniały i takie otrzymanie ograniczone było do pewnej ilości danych. Dziennikarze musieli </w:t>
      </w:r>
      <w:r w:rsidR="00CD1133">
        <w:t xml:space="preserve">również </w:t>
      </w:r>
      <w:r w:rsidR="008E4DD7">
        <w:t>wskazać, że informacje te były pozyskiwane na cele dziennikarskie oraz że nie będą one publikowane w formie listy (zob. paragrafy 49-51 powyżej). A zatem, o ile informacje dotyczące osób fizycznych były dostępne publicznie, konkretne zasady i zabezpieczenia regulowały ich dostępność.</w:t>
      </w:r>
    </w:p>
    <w:p w14:paraId="755088BE" w14:textId="4BC6BC8D" w:rsidR="008E4DD7" w:rsidRPr="00841658" w:rsidRDefault="005A22F3" w:rsidP="007365DD">
      <w:pPr>
        <w:pStyle w:val="ECHRPara"/>
      </w:pPr>
      <w:r>
        <w:lastRenderedPageBreak/>
        <w:t>190</w:t>
      </w:r>
      <w:r w:rsidR="008E4DD7">
        <w:t>.</w:t>
      </w:r>
      <w:r>
        <w:t xml:space="preserve"> </w:t>
      </w:r>
      <w:r w:rsidR="008E4DD7">
        <w:t>Fakt</w:t>
      </w:r>
      <w:r w:rsidR="00CD1133">
        <w:t>,</w:t>
      </w:r>
      <w:r w:rsidR="008E4DD7">
        <w:t xml:space="preserve"> że przedmiotowe dane były dostępne publicznie zgodnie z</w:t>
      </w:r>
      <w:r w:rsidR="00C41CE5">
        <w:t> </w:t>
      </w:r>
      <w:r w:rsidR="008E4DD7">
        <w:t>prawem krajowym</w:t>
      </w:r>
      <w:r w:rsidR="00CD1133">
        <w:t>,</w:t>
      </w:r>
      <w:r w:rsidR="008E4DD7">
        <w:t xml:space="preserve"> niekoniecznie oznaczał, że mogły one być publikowane w sposób nieograniczony (zob. paragrafy 48 i 54 powyżej). Publikowanie danych w czasopiśmie i dalsze rozpowszechnianie ich poprzez usługę tekstową (SMS) stanowiło udostępnienie danych w sposób i</w:t>
      </w:r>
      <w:r w:rsidR="00C41CE5">
        <w:t> </w:t>
      </w:r>
      <w:r w:rsidR="008E4DD7">
        <w:t>w zakresie niezamierzonym przez ustawodawcę.</w:t>
      </w:r>
    </w:p>
    <w:p w14:paraId="2D9ADF21" w14:textId="4CCBAEB1" w:rsidR="008E4DD7" w:rsidRPr="00841658" w:rsidRDefault="005A22F3" w:rsidP="007365DD">
      <w:pPr>
        <w:pStyle w:val="ECHRPara"/>
      </w:pPr>
      <w:r>
        <w:t>191</w:t>
      </w:r>
      <w:r w:rsidR="008E4DD7">
        <w:t>.</w:t>
      </w:r>
      <w:r>
        <w:t xml:space="preserve"> </w:t>
      </w:r>
      <w:r w:rsidR="00CD1133">
        <w:t>J</w:t>
      </w:r>
      <w:r w:rsidR="008E4DD7">
        <w:t xml:space="preserve">ak wskazano wcześniej, zbieranie informacji jest kluczowym wstępnym krokiem w dziennikarstwie i nieodłącznym, chronionym elementem </w:t>
      </w:r>
      <w:r w:rsidR="00CD1133">
        <w:t xml:space="preserve">wolności </w:t>
      </w:r>
      <w:r w:rsidR="008E4DD7">
        <w:t xml:space="preserve">prasy (zob. paragraf 128 powyżej). Warto odnotować, iż w przedmiotowej sprawie Najwyższy Sąd Administracyjny nie </w:t>
      </w:r>
      <w:r w:rsidR="001D2D5C">
        <w:t>próbował ingerować</w:t>
      </w:r>
      <w:r w:rsidR="00CD1133">
        <w:t xml:space="preserve"> w zbieranie</w:t>
      </w:r>
      <w:r w:rsidR="008E4DD7">
        <w:t xml:space="preserve"> przez skarżące spółki danych surowych</w:t>
      </w:r>
      <w:r w:rsidR="001D2D5C">
        <w:t xml:space="preserve"> –</w:t>
      </w:r>
      <w:r w:rsidR="008E4DD7">
        <w:t xml:space="preserve"> działalnoś</w:t>
      </w:r>
      <w:r w:rsidR="001D2D5C">
        <w:t>ć</w:t>
      </w:r>
      <w:r w:rsidR="008E4DD7">
        <w:t xml:space="preserve">, która leży u podstaw </w:t>
      </w:r>
      <w:r w:rsidR="001D2D5C">
        <w:t xml:space="preserve">wolności </w:t>
      </w:r>
      <w:r w:rsidR="008E4DD7">
        <w:t>prasy</w:t>
      </w:r>
      <w:r w:rsidR="001D2D5C">
        <w:t xml:space="preserve"> –</w:t>
      </w:r>
      <w:r w:rsidR="008E4DD7">
        <w:t xml:space="preserve"> lecz raczej </w:t>
      </w:r>
      <w:r w:rsidR="001D2D5C">
        <w:t>w</w:t>
      </w:r>
      <w:r w:rsidR="00C41CE5">
        <w:t> </w:t>
      </w:r>
      <w:r w:rsidR="001D2D5C">
        <w:t>rozpowszechnianie</w:t>
      </w:r>
      <w:r w:rsidR="008E4DD7">
        <w:t xml:space="preserve"> danych w sposób i w zakresie, o jakich mowa powyżej.</w:t>
      </w:r>
    </w:p>
    <w:p w14:paraId="296EC371" w14:textId="5C1D229F" w:rsidR="008E4DD7" w:rsidRPr="00841658" w:rsidRDefault="005A22F3" w:rsidP="007365DD">
      <w:pPr>
        <w:pStyle w:val="ECHRPara"/>
      </w:pPr>
      <w:r>
        <w:t>192</w:t>
      </w:r>
      <w:r w:rsidR="008E4DD7">
        <w:t>.</w:t>
      </w:r>
      <w:r>
        <w:t xml:space="preserve"> </w:t>
      </w:r>
      <w:r w:rsidR="008E4DD7">
        <w:t xml:space="preserve">Należy również w tym miejscu przypomnieć, że Finlandia jest jednym z nielicznych państw członkowskich Rady Europy, które udostępniają taki stopień dostępu publicznego do danych podatkowych. Oceniając margines </w:t>
      </w:r>
      <w:r w:rsidR="002652EB">
        <w:t>oceny</w:t>
      </w:r>
      <w:r w:rsidR="008E4DD7">
        <w:t xml:space="preserve"> w sprawie takiej jak ta</w:t>
      </w:r>
      <w:r w:rsidR="004D5195">
        <w:t xml:space="preserve"> oraz</w:t>
      </w:r>
      <w:r w:rsidR="008E4DD7">
        <w:t xml:space="preserve"> proporcjonalność zaskarżone</w:t>
      </w:r>
      <w:r w:rsidR="004921CD">
        <w:t>j ingerencji</w:t>
      </w:r>
      <w:r w:rsidR="004D5195">
        <w:t xml:space="preserve">, a także </w:t>
      </w:r>
      <w:r w:rsidR="008E4DD7">
        <w:t>fiński system, zgodnie z którym został</w:t>
      </w:r>
      <w:r w:rsidR="001D2D5C">
        <w:t xml:space="preserve">a </w:t>
      </w:r>
      <w:r w:rsidR="004D5195">
        <w:t xml:space="preserve">ona </w:t>
      </w:r>
      <w:r w:rsidR="001D2D5C">
        <w:t>zastosowana</w:t>
      </w:r>
      <w:r w:rsidR="008E4DD7">
        <w:t xml:space="preserve">, Trybunał musi ocenić </w:t>
      </w:r>
      <w:r w:rsidR="001237AA">
        <w:t xml:space="preserve">również </w:t>
      </w:r>
      <w:r w:rsidR="008E4DD7">
        <w:t xml:space="preserve">wybory ustawodawcze, które za nim leżały, </w:t>
      </w:r>
      <w:r w:rsidR="001237AA">
        <w:t>a</w:t>
      </w:r>
      <w:r w:rsidR="008E4DD7">
        <w:t xml:space="preserve"> w tym kontekście jakość parlamentarnej i sądowej </w:t>
      </w:r>
      <w:r w:rsidR="001D2D5C">
        <w:t xml:space="preserve">kontroli </w:t>
      </w:r>
      <w:r w:rsidR="008E4DD7">
        <w:t xml:space="preserve">konieczności przyjęcia przedmiotowych przepisów ustawowych oraz </w:t>
      </w:r>
      <w:r w:rsidR="001D2D5C">
        <w:t>p</w:t>
      </w:r>
      <w:r w:rsidR="001237AA">
        <w:t>odjętych</w:t>
      </w:r>
      <w:r w:rsidR="001D2D5C">
        <w:t xml:space="preserve"> na tej podstawie </w:t>
      </w:r>
      <w:r w:rsidR="008E4DD7">
        <w:t>środków</w:t>
      </w:r>
      <w:r w:rsidR="001237AA">
        <w:t xml:space="preserve"> ingerujących </w:t>
      </w:r>
      <w:r w:rsidR="001D2D5C">
        <w:t xml:space="preserve">w wolność </w:t>
      </w:r>
      <w:r w:rsidR="008E4DD7">
        <w:t xml:space="preserve">wyrażania opinii (zob. w tym zakresie </w:t>
      </w:r>
      <w:proofErr w:type="spellStart"/>
      <w:r w:rsidR="008E4DD7">
        <w:rPr>
          <w:i/>
          <w:iCs/>
        </w:rPr>
        <w:t>Animal</w:t>
      </w:r>
      <w:proofErr w:type="spellEnd"/>
      <w:r w:rsidR="008E4DD7">
        <w:rPr>
          <w:i/>
          <w:iCs/>
        </w:rPr>
        <w:t xml:space="preserve"> </w:t>
      </w:r>
      <w:proofErr w:type="spellStart"/>
      <w:r w:rsidR="008E4DD7">
        <w:rPr>
          <w:i/>
          <w:iCs/>
        </w:rPr>
        <w:t>Defenders</w:t>
      </w:r>
      <w:proofErr w:type="spellEnd"/>
      <w:r w:rsidR="008E4DD7">
        <w:rPr>
          <w:i/>
          <w:iCs/>
        </w:rPr>
        <w:t xml:space="preserve"> International przeciwko Wielkiej Brytanii</w:t>
      </w:r>
      <w:r w:rsidR="008E4DD7">
        <w:t xml:space="preserve"> [WI], nr 48876/08</w:t>
      </w:r>
      <w:r w:rsidR="008E4DD7">
        <w:rPr>
          <w:snapToGrid w:val="0"/>
        </w:rPr>
        <w:t xml:space="preserve">, </w:t>
      </w:r>
      <w:r w:rsidR="008E4DD7">
        <w:t>§§ 108 i 110</w:t>
      </w:r>
      <w:r w:rsidR="008E4DD7">
        <w:rPr>
          <w:snapToGrid w:val="0"/>
        </w:rPr>
        <w:t xml:space="preserve">, </w:t>
      </w:r>
      <w:r w:rsidR="008E4DD7">
        <w:t>ECHR 2013 (fragmenty)).</w:t>
      </w:r>
    </w:p>
    <w:p w14:paraId="194C8059" w14:textId="2A52640A" w:rsidR="008E4DD7" w:rsidRPr="00841658" w:rsidRDefault="005A22F3" w:rsidP="007365DD">
      <w:pPr>
        <w:pStyle w:val="ECHRPara"/>
      </w:pPr>
      <w:r>
        <w:t>193</w:t>
      </w:r>
      <w:r w:rsidR="008E4DD7">
        <w:t>.</w:t>
      </w:r>
      <w:r>
        <w:t xml:space="preserve"> </w:t>
      </w:r>
      <w:r w:rsidR="008E4DD7">
        <w:t xml:space="preserve">Jak wykazały obie strony, parlamentarna </w:t>
      </w:r>
      <w:r w:rsidR="001D2D5C">
        <w:t xml:space="preserve">kontrola </w:t>
      </w:r>
      <w:r w:rsidR="008E4DD7">
        <w:t>fińskich przepisów dotyczących dostępu do informacji i danych podatkowych w</w:t>
      </w:r>
      <w:r w:rsidR="00C41CE5">
        <w:t> </w:t>
      </w:r>
      <w:r w:rsidR="008E4DD7">
        <w:t>szczególności, a także dotyczących ochrony danych, była zarówno dokładna</w:t>
      </w:r>
      <w:r w:rsidR="001D2D5C">
        <w:t>,</w:t>
      </w:r>
      <w:r w:rsidR="008E4DD7">
        <w:t xml:space="preserve"> jak i istotna. Kontrola i debata na poziomie krajowym była </w:t>
      </w:r>
      <w:r w:rsidR="001D2D5C">
        <w:t>ponadto</w:t>
      </w:r>
      <w:r w:rsidR="008E4DD7">
        <w:t xml:space="preserve"> odzwierciedlona w kontekście ochrony danych na poziomie UE, kiedy przyjmowano </w:t>
      </w:r>
      <w:r w:rsidR="009C4D21">
        <w:t>dyrektywę o ochronie danych</w:t>
      </w:r>
      <w:r w:rsidR="008E4DD7">
        <w:t xml:space="preserve">, a następnie </w:t>
      </w:r>
      <w:r w:rsidR="009C4D21">
        <w:t xml:space="preserve">rozporządzenie </w:t>
      </w:r>
      <w:r w:rsidR="008E4DD7">
        <w:t>2016/79.</w:t>
      </w:r>
    </w:p>
    <w:p w14:paraId="26E495F3" w14:textId="1C1727F8" w:rsidR="008E4DD7" w:rsidRPr="00841658" w:rsidRDefault="005A22F3" w:rsidP="007365DD">
      <w:pPr>
        <w:pStyle w:val="ECHRPara"/>
      </w:pPr>
      <w:r>
        <w:t>194</w:t>
      </w:r>
      <w:r w:rsidR="008E4DD7">
        <w:t>.</w:t>
      </w:r>
      <w:r>
        <w:t xml:space="preserve"> </w:t>
      </w:r>
      <w:r w:rsidR="008E4DD7">
        <w:t xml:space="preserve">Trybunał wskazuje, że fiński ustawodawca zdecydował, przyjmując </w:t>
      </w:r>
      <w:r w:rsidR="009C4D21">
        <w:t xml:space="preserve">ustawę </w:t>
      </w:r>
      <w:r w:rsidR="008E4DD7">
        <w:t>o ujawnianiu publicznym i poufności danych podatkowych, utrzymać publiczny dostęp do przedmiotowych danych podatkowych. Choć</w:t>
      </w:r>
      <w:r w:rsidR="00C41CE5">
        <w:t> </w:t>
      </w:r>
      <w:r w:rsidR="008E4DD7">
        <w:t>zadanie zrównoważenia interesów publicznych i prywatnych w tym zakresie zostało przeprowadzone, kiedy sprawą tą zajmował się fiński parlament, nie wynika stąd</w:t>
      </w:r>
      <w:r w:rsidR="006E0778">
        <w:t>,</w:t>
      </w:r>
      <w:r w:rsidR="008E4DD7">
        <w:t xml:space="preserve"> iż przetwarzanie takich danych podatkowych nie będzie </w:t>
      </w:r>
      <w:r w:rsidR="001D2D5C">
        <w:t xml:space="preserve">już </w:t>
      </w:r>
      <w:r w:rsidR="008E4DD7">
        <w:t xml:space="preserve">podlegało żadnym względom ochrony danych, jak podnosiły skarżące spółki. </w:t>
      </w:r>
      <w:r w:rsidR="00F6710B">
        <w:t xml:space="preserve">Art. </w:t>
      </w:r>
      <w:r w:rsidR="008E4DD7">
        <w:t xml:space="preserve">2 ust. 5 </w:t>
      </w:r>
      <w:r w:rsidR="009C4D21">
        <w:t xml:space="preserve">ustawy o danych osobowych </w:t>
      </w:r>
      <w:r w:rsidR="008E4DD7">
        <w:t>został przyjęty po</w:t>
      </w:r>
      <w:r w:rsidR="00C41CE5">
        <w:t> </w:t>
      </w:r>
      <w:r w:rsidR="008E4DD7">
        <w:t xml:space="preserve">to, by pogodzić prawa do prywatności i do </w:t>
      </w:r>
      <w:r w:rsidR="001D2D5C">
        <w:t xml:space="preserve">wolności </w:t>
      </w:r>
      <w:r w:rsidR="008E4DD7">
        <w:t>wyrażania opinii oraz uwzględnić rolę prasy</w:t>
      </w:r>
      <w:r w:rsidR="00B27069">
        <w:t>,</w:t>
      </w:r>
      <w:r w:rsidR="008E4DD7">
        <w:t xml:space="preserve"> lecz </w:t>
      </w:r>
      <w:r w:rsidR="00B27069">
        <w:t>powoływanie się na derogację dziennikarską</w:t>
      </w:r>
      <w:r w:rsidR="008E4DD7">
        <w:t xml:space="preserve"> było, jak wskazał Najwyższy Sąd Administracyjny, zależne </w:t>
      </w:r>
      <w:r w:rsidR="008E4DD7">
        <w:lastRenderedPageBreak/>
        <w:t xml:space="preserve">od spełnienia konkretnych warunków. Ustawa o ujawnianiu publicznym </w:t>
      </w:r>
      <w:r w:rsidR="0076056F">
        <w:t>i</w:t>
      </w:r>
      <w:r w:rsidR="00C41CE5">
        <w:t> </w:t>
      </w:r>
      <w:r w:rsidR="008E4DD7">
        <w:t xml:space="preserve">poufności danych podatkowych wyraźnie wskazuje, że takie informacje „są publiczne w zakresie, o którym mowa w </w:t>
      </w:r>
      <w:r w:rsidR="009C4D21">
        <w:t>ustawie</w:t>
      </w:r>
      <w:r w:rsidR="008E4DD7">
        <w:t>” (zob. paragraf 39 powyżej).</w:t>
      </w:r>
    </w:p>
    <w:p w14:paraId="2A5946EC" w14:textId="6F48A88B" w:rsidR="008E4DD7" w:rsidRPr="00841658" w:rsidRDefault="005A22F3" w:rsidP="007365DD">
      <w:pPr>
        <w:pStyle w:val="ECHRPara"/>
      </w:pPr>
      <w:r>
        <w:t>195</w:t>
      </w:r>
      <w:r w:rsidR="008E4DD7">
        <w:t>.</w:t>
      </w:r>
      <w:r>
        <w:t xml:space="preserve"> </w:t>
      </w:r>
      <w:r w:rsidR="008E4DD7">
        <w:t>Trybunał podkreśla, że zabezpieczenia w prawie krajowym zostały wprowadzone właśnie ze względu na publiczną dostępność osobistych danych podatkowych, charakter i cel przepisów o ochronie danych oraz</w:t>
      </w:r>
      <w:r w:rsidR="00C41CE5">
        <w:t> </w:t>
      </w:r>
      <w:r w:rsidR="008E4DD7">
        <w:t>towarzyszącą im derogację dzienn</w:t>
      </w:r>
      <w:r w:rsidR="00B27069">
        <w:t>ikarską. W tych okolicznościach</w:t>
      </w:r>
      <w:r w:rsidR="008E4DD7">
        <w:t xml:space="preserve"> oraz</w:t>
      </w:r>
      <w:r w:rsidR="00C41CE5">
        <w:t> </w:t>
      </w:r>
      <w:r w:rsidR="008E4DD7">
        <w:t xml:space="preserve">zgodnie z podejściem określonym w sprawie </w:t>
      </w:r>
      <w:proofErr w:type="spellStart"/>
      <w:r w:rsidR="008E4DD7">
        <w:rPr>
          <w:i/>
          <w:iCs/>
        </w:rPr>
        <w:t>Animal</w:t>
      </w:r>
      <w:proofErr w:type="spellEnd"/>
      <w:r w:rsidR="008E4DD7">
        <w:rPr>
          <w:i/>
          <w:iCs/>
        </w:rPr>
        <w:t xml:space="preserve"> </w:t>
      </w:r>
      <w:proofErr w:type="spellStart"/>
      <w:r w:rsidR="008E4DD7">
        <w:rPr>
          <w:i/>
          <w:iCs/>
        </w:rPr>
        <w:t>Defenders</w:t>
      </w:r>
      <w:proofErr w:type="spellEnd"/>
      <w:r w:rsidR="008E4DD7">
        <w:rPr>
          <w:i/>
          <w:iCs/>
        </w:rPr>
        <w:t xml:space="preserve"> International</w:t>
      </w:r>
      <w:r w:rsidR="008E4DD7">
        <w:t xml:space="preserve"> (cyt. powyżej</w:t>
      </w:r>
      <w:r w:rsidR="008E4DD7">
        <w:rPr>
          <w:snapToGrid w:val="0"/>
        </w:rPr>
        <w:t xml:space="preserve">, </w:t>
      </w:r>
      <w:r w:rsidR="008E4DD7">
        <w:t>§ 108)</w:t>
      </w:r>
      <w:r w:rsidR="008E4DD7">
        <w:rPr>
          <w:snapToGrid w:val="0"/>
        </w:rPr>
        <w:t xml:space="preserve">, </w:t>
      </w:r>
      <w:r w:rsidR="008E4DD7">
        <w:t xml:space="preserve">władze pozwanego </w:t>
      </w:r>
      <w:r w:rsidR="00CD7B10">
        <w:t xml:space="preserve">Państwa </w:t>
      </w:r>
      <w:r w:rsidR="008E4DD7">
        <w:t xml:space="preserve">cieszyły się szerokim marginesem </w:t>
      </w:r>
      <w:r w:rsidR="002652EB">
        <w:t>oceny</w:t>
      </w:r>
      <w:r w:rsidR="008E4DD7">
        <w:t xml:space="preserve"> w decydowaniu</w:t>
      </w:r>
      <w:r w:rsidR="002652EB">
        <w:t>,</w:t>
      </w:r>
      <w:r w:rsidR="008E4DD7">
        <w:t xml:space="preserve"> jak ustalić sprawiedliwą równowagę pomiędzy poszczególnymi prawami z artykułów 8 i 10 Konwencji w przedmiotowej sprawie. Co więcej, o ile margines </w:t>
      </w:r>
      <w:r w:rsidR="002652EB">
        <w:t>oceny każdego Państwa</w:t>
      </w:r>
      <w:r w:rsidR="008E4DD7">
        <w:t xml:space="preserve"> musi być ograniczony, a jego wykonywanie podlega zewnętrznemu nadzorowi Trybunału, może </w:t>
      </w:r>
      <w:r w:rsidR="00B27069">
        <w:t xml:space="preserve">on </w:t>
      </w:r>
      <w:r w:rsidR="008E4DD7">
        <w:t>również uwzględnić przy ocenie ogólnej równowagi fakt, że dane Państwo</w:t>
      </w:r>
      <w:r w:rsidR="008E4DD7" w:rsidRPr="0098098D">
        <w:t xml:space="preserve">, </w:t>
      </w:r>
      <w:r w:rsidR="008E4DD7" w:rsidRPr="00463E62">
        <w:t>nieco</w:t>
      </w:r>
      <w:r w:rsidR="008E4DD7" w:rsidRPr="0098098D">
        <w:t xml:space="preserve"> wyjątkowo,</w:t>
      </w:r>
      <w:r w:rsidR="008E4DD7">
        <w:t xml:space="preserve"> w</w:t>
      </w:r>
      <w:r w:rsidR="00C41CE5">
        <w:t> </w:t>
      </w:r>
      <w:r w:rsidR="008E4DD7">
        <w:t xml:space="preserve">ramach wyboru konstytucyjnego </w:t>
      </w:r>
      <w:r w:rsidR="00B27069">
        <w:t>oraz w interesie przejrzystości,</w:t>
      </w:r>
      <w:r w:rsidR="008E4DD7">
        <w:t xml:space="preserve"> podjęło decyzję o udostępnieniu opinii publicznej danych podatkowych.</w:t>
      </w:r>
    </w:p>
    <w:p w14:paraId="3E0295B0" w14:textId="19DA42CB" w:rsidR="008E4DD7" w:rsidRPr="00841658" w:rsidRDefault="005A22F3" w:rsidP="007365DD">
      <w:pPr>
        <w:pStyle w:val="ECHRPara"/>
      </w:pPr>
      <w:r>
        <w:t>196</w:t>
      </w:r>
      <w:r w:rsidR="008E4DD7">
        <w:t>.</w:t>
      </w:r>
      <w:r>
        <w:t xml:space="preserve"> </w:t>
      </w:r>
      <w:r w:rsidR="008E4DD7">
        <w:t>W przedmiotowej sprawie sądy krajowe, przy rozważaniu tych praw, starały się osiągnąć równowagę pomiędzy wolnością wyrażania opinii a prawem do prywatności ujętym w przepisach o ochronie danych. Stosując</w:t>
      </w:r>
      <w:r w:rsidR="00C41CE5">
        <w:t> </w:t>
      </w:r>
      <w:r w:rsidR="008E4DD7">
        <w:t xml:space="preserve">derogację z art. 2 ust. 2 </w:t>
      </w:r>
      <w:r w:rsidR="009C4D21">
        <w:t xml:space="preserve">ustawy o danych osobowych </w:t>
      </w:r>
      <w:r w:rsidR="008E4DD7">
        <w:t>oraz test intere</w:t>
      </w:r>
      <w:r w:rsidR="009C4D21">
        <w:t>su</w:t>
      </w:r>
      <w:r w:rsidR="00C41CE5">
        <w:t> </w:t>
      </w:r>
      <w:r w:rsidR="009C4D21">
        <w:t>publicznego do zaskarżonej ingerencji</w:t>
      </w:r>
      <w:r w:rsidR="008E4DD7">
        <w:t xml:space="preserve">, </w:t>
      </w:r>
      <w:r w:rsidR="00B27069">
        <w:t>przeanalizowały one</w:t>
      </w:r>
      <w:r w:rsidR="008E4DD7">
        <w:t xml:space="preserve">, </w:t>
      </w:r>
      <w:r w:rsidR="00B27069">
        <w:t>a</w:t>
      </w:r>
      <w:r w:rsidR="00C41CE5">
        <w:t> </w:t>
      </w:r>
      <w:r w:rsidR="008E4DD7">
        <w:t>w</w:t>
      </w:r>
      <w:r w:rsidR="00C41CE5">
        <w:t> </w:t>
      </w:r>
      <w:r w:rsidR="008E4DD7">
        <w:t xml:space="preserve">szczególności Najwyższy Sąd Administracyjny, </w:t>
      </w:r>
      <w:r w:rsidR="00B27069">
        <w:t xml:space="preserve">stosowne orzecznictwo na </w:t>
      </w:r>
      <w:r w:rsidR="00B27069" w:rsidRPr="007B68CA">
        <w:t xml:space="preserve">podstawie </w:t>
      </w:r>
      <w:r w:rsidR="008E4DD7" w:rsidRPr="007B68CA">
        <w:t xml:space="preserve">Konwencji </w:t>
      </w:r>
      <w:r w:rsidR="00B27069" w:rsidRPr="007B68CA">
        <w:t xml:space="preserve">i </w:t>
      </w:r>
      <w:r w:rsidR="008E4DD7" w:rsidRPr="007B68CA">
        <w:t xml:space="preserve">orzecznictwo TSUE oraz </w:t>
      </w:r>
      <w:r w:rsidR="00B27069" w:rsidRPr="007B68CA">
        <w:t>starannie</w:t>
      </w:r>
      <w:r w:rsidR="008E4DD7" w:rsidRPr="007B68CA">
        <w:t xml:space="preserve"> zastosował</w:t>
      </w:r>
      <w:r w:rsidR="00B27069" w:rsidRPr="007B68CA">
        <w:t>y</w:t>
      </w:r>
      <w:r w:rsidR="008E4DD7" w:rsidRPr="00932BEE">
        <w:t xml:space="preserve"> orz</w:t>
      </w:r>
      <w:r w:rsidR="008E4DD7" w:rsidRPr="009A0375">
        <w:t>ecznictwo Trybunału do faktów w przedmiotowej sprawie.</w:t>
      </w:r>
    </w:p>
    <w:p w14:paraId="0435657F" w14:textId="77777777" w:rsidR="008E4DD7" w:rsidRPr="00841658" w:rsidRDefault="008E4DD7" w:rsidP="00640749">
      <w:pPr>
        <w:pStyle w:val="ECHRHeading5"/>
      </w:pPr>
      <w:r>
        <w:t>(v) Waga sankcji nałożonych na dziennikarzy lub wydawców</w:t>
      </w:r>
    </w:p>
    <w:p w14:paraId="0F836379" w14:textId="719F5BE4" w:rsidR="008E4DD7" w:rsidRPr="00841658" w:rsidRDefault="005A22F3" w:rsidP="007365DD">
      <w:pPr>
        <w:pStyle w:val="ECHRPara"/>
      </w:pPr>
      <w:r>
        <w:t>197</w:t>
      </w:r>
      <w:r w:rsidR="008E4DD7">
        <w:t>.</w:t>
      </w:r>
      <w:r>
        <w:t xml:space="preserve"> </w:t>
      </w:r>
      <w:r w:rsidR="00B27069">
        <w:t>J</w:t>
      </w:r>
      <w:r w:rsidR="008E4DD7">
        <w:t xml:space="preserve">ak wskazano w wyroku Izby, skarżącym spółkom nie zabroniono publikowania danych podatkowych czy też kontynuowania publikowania </w:t>
      </w:r>
      <w:r w:rsidR="008E4DD7">
        <w:rPr>
          <w:i/>
          <w:iCs/>
        </w:rPr>
        <w:t>Veropörssi</w:t>
      </w:r>
      <w:r w:rsidR="008E4DD7">
        <w:t xml:space="preserve">, choć nakazano im to czynić w sposób zgodny z </w:t>
      </w:r>
      <w:r w:rsidR="00B27069">
        <w:t xml:space="preserve">regulacjami </w:t>
      </w:r>
      <w:r w:rsidR="008E4DD7">
        <w:t>fińskim i unijnymi dotyczącymi ochrony danych i dostępu do informacji. Okoliczność, że w praktyce ograniczenia nałożone na ilość informacji, jakie</w:t>
      </w:r>
      <w:r w:rsidR="00C41CE5">
        <w:t> </w:t>
      </w:r>
      <w:r w:rsidR="008E4DD7">
        <w:t>mogą być publikowane, mogły sprawić, że część działalności stała się mniej rentowna, nie stanowi sam w sobie sankcji w rozumieniu orzecznictwa Trybunału.</w:t>
      </w:r>
    </w:p>
    <w:p w14:paraId="3E8BE47C" w14:textId="77777777" w:rsidR="008E4DD7" w:rsidRPr="00841658" w:rsidRDefault="008E4DD7" w:rsidP="00640749">
      <w:pPr>
        <w:pStyle w:val="ECHRHeading5"/>
      </w:pPr>
      <w:r>
        <w:t>(vi) Podsumowanie</w:t>
      </w:r>
    </w:p>
    <w:p w14:paraId="17C9467C" w14:textId="490B3427" w:rsidR="008E4DD7" w:rsidRPr="00841658" w:rsidRDefault="005A22F3" w:rsidP="007365DD">
      <w:pPr>
        <w:pStyle w:val="ECHRPara"/>
      </w:pPr>
      <w:r>
        <w:t>198</w:t>
      </w:r>
      <w:r w:rsidR="008E4DD7">
        <w:t>.</w:t>
      </w:r>
      <w:r>
        <w:t xml:space="preserve"> </w:t>
      </w:r>
      <w:r w:rsidR="008E4DD7">
        <w:t xml:space="preserve">W świetle powyższych rozważań Trybunał uważa, że w ocenie okoliczności przedłożonych </w:t>
      </w:r>
      <w:r w:rsidR="00B27069">
        <w:t xml:space="preserve">im </w:t>
      </w:r>
      <w:r w:rsidR="008E4DD7">
        <w:t xml:space="preserve">do </w:t>
      </w:r>
      <w:r w:rsidR="00B27069">
        <w:t xml:space="preserve">oceny właściwe </w:t>
      </w:r>
      <w:r w:rsidR="008E4DD7">
        <w:t>władze krajowe, a</w:t>
      </w:r>
      <w:r w:rsidR="00C41CE5">
        <w:t> </w:t>
      </w:r>
      <w:r w:rsidR="008E4DD7">
        <w:t>w</w:t>
      </w:r>
      <w:r w:rsidR="00C41CE5">
        <w:t> </w:t>
      </w:r>
      <w:r w:rsidR="008E4DD7">
        <w:t xml:space="preserve">szczególności Najwyższy Sąd Administracyjny, </w:t>
      </w:r>
      <w:r w:rsidR="00B27069">
        <w:t>należycie uwzględniły</w:t>
      </w:r>
      <w:r w:rsidR="008E4DD7">
        <w:t xml:space="preserve"> zasady i kryteria określone w orzecznictwie Trybunału </w:t>
      </w:r>
      <w:r w:rsidR="006E0778">
        <w:t xml:space="preserve">dotyczące </w:t>
      </w:r>
      <w:r w:rsidR="008E4DD7">
        <w:t>równoważenia prawa do poszanowania życia prywatnego oraz prawa do</w:t>
      </w:r>
      <w:r w:rsidR="00C41CE5">
        <w:t> </w:t>
      </w:r>
      <w:r w:rsidR="008E4DD7">
        <w:t xml:space="preserve">wyrażania opinii. </w:t>
      </w:r>
      <w:r w:rsidR="006E0778">
        <w:t>Czyniąc to</w:t>
      </w:r>
      <w:r w:rsidR="0021655C">
        <w:t>,</w:t>
      </w:r>
      <w:r w:rsidR="008E4DD7">
        <w:t xml:space="preserve"> Najwyższy Sąd Administracyjny przypisał </w:t>
      </w:r>
      <w:r w:rsidR="00B27069">
        <w:lastRenderedPageBreak/>
        <w:t xml:space="preserve">szczególną </w:t>
      </w:r>
      <w:r w:rsidR="008E4DD7">
        <w:t>wagę ustaleniu, że publikowanie danych podatkowych w</w:t>
      </w:r>
      <w:r w:rsidR="006346F5">
        <w:t> </w:t>
      </w:r>
      <w:bookmarkStart w:id="1" w:name="_GoBack"/>
      <w:bookmarkEnd w:id="1"/>
      <w:r w:rsidR="00B27069">
        <w:t xml:space="preserve">opisany </w:t>
      </w:r>
      <w:r w:rsidR="008E4DD7">
        <w:t>sposób i w zakresie nie przyczyniało się do debaty w inter</w:t>
      </w:r>
      <w:r w:rsidR="00B27069">
        <w:t>esie publicznym oraz że skarżące</w:t>
      </w:r>
      <w:r w:rsidR="008E4DD7">
        <w:t xml:space="preserve"> nie mog</w:t>
      </w:r>
      <w:r w:rsidR="00B27069">
        <w:t>ły</w:t>
      </w:r>
      <w:r w:rsidR="005F6BBE">
        <w:t xml:space="preserve"> w istocie podnosić, że dokonały</w:t>
      </w:r>
      <w:r w:rsidR="008E4DD7">
        <w:t xml:space="preserve"> tego wyłącznie w celu dziennikarskim w rozumieniu prawa krajowego i</w:t>
      </w:r>
      <w:r w:rsidR="00C41CE5">
        <w:t> </w:t>
      </w:r>
      <w:r w:rsidR="008E4DD7">
        <w:t>prawa unijnego. Trybunał nie dostrzega poważnych powodów, któr</w:t>
      </w:r>
      <w:r w:rsidR="005F6BBE">
        <w:t>e</w:t>
      </w:r>
      <w:r w:rsidR="00C41CE5">
        <w:t> </w:t>
      </w:r>
      <w:r w:rsidR="005F6BBE">
        <w:t>wymagałyby,</w:t>
      </w:r>
      <w:r w:rsidR="008E4DD7">
        <w:t xml:space="preserve"> </w:t>
      </w:r>
      <w:r w:rsidR="005F6BBE">
        <w:t>by zastąpił</w:t>
      </w:r>
      <w:r w:rsidR="008E4DD7">
        <w:t xml:space="preserve"> swoimi poglądami pogl</w:t>
      </w:r>
      <w:r w:rsidR="005F6BBE">
        <w:t>ądy sądów krajowych oraz uchylił</w:t>
      </w:r>
      <w:r w:rsidR="008E4DD7">
        <w:t xml:space="preserve"> dokonane przez nie </w:t>
      </w:r>
      <w:r w:rsidR="005F6BBE">
        <w:t xml:space="preserve">rozstrzygnięcie w sprawie </w:t>
      </w:r>
      <w:r w:rsidR="006E0778">
        <w:t xml:space="preserve">równoważenia </w:t>
      </w:r>
      <w:r w:rsidR="005F6BBE">
        <w:t xml:space="preserve">praw </w:t>
      </w:r>
      <w:r w:rsidR="008E4DD7">
        <w:t xml:space="preserve">(zob. </w:t>
      </w:r>
      <w:r w:rsidR="008E4DD7">
        <w:rPr>
          <w:i/>
          <w:iCs/>
        </w:rPr>
        <w:t xml:space="preserve">Von </w:t>
      </w:r>
      <w:proofErr w:type="spellStart"/>
      <w:r w:rsidR="008E4DD7">
        <w:rPr>
          <w:i/>
          <w:iCs/>
        </w:rPr>
        <w:t>Hannover</w:t>
      </w:r>
      <w:proofErr w:type="spellEnd"/>
      <w:r w:rsidR="008E4DD7">
        <w:rPr>
          <w:i/>
          <w:iCs/>
        </w:rPr>
        <w:t xml:space="preserve"> (nr 2)</w:t>
      </w:r>
      <w:r w:rsidR="008E4DD7">
        <w:t>, cyt. powyżej, § 107; i</w:t>
      </w:r>
      <w:r w:rsidR="00C41CE5">
        <w:t> </w:t>
      </w:r>
      <w:proofErr w:type="spellStart"/>
      <w:r w:rsidR="008E4DD7">
        <w:rPr>
          <w:i/>
          <w:iCs/>
        </w:rPr>
        <w:t>Perinçek</w:t>
      </w:r>
      <w:proofErr w:type="spellEnd"/>
      <w:r w:rsidR="008E4DD7">
        <w:t>, cyt. powyżej, § 198). Jest usatysfakcjonowany, że powody, na</w:t>
      </w:r>
      <w:r w:rsidR="00C41CE5">
        <w:t> </w:t>
      </w:r>
      <w:r w:rsidR="008E4DD7">
        <w:t>których się opierano, były zarówno wystarczające</w:t>
      </w:r>
      <w:r w:rsidR="005F6BBE">
        <w:t>,</w:t>
      </w:r>
      <w:r w:rsidR="008E4DD7">
        <w:t xml:space="preserve"> jak i stosowne</w:t>
      </w:r>
      <w:r w:rsidR="005F6BBE">
        <w:t>,</w:t>
      </w:r>
      <w:r w:rsidR="008E4DD7">
        <w:t xml:space="preserve"> by</w:t>
      </w:r>
      <w:r w:rsidR="00C41CE5">
        <w:t> </w:t>
      </w:r>
      <w:r w:rsidR="008E4DD7">
        <w:t>wykazać, że zaskarż</w:t>
      </w:r>
      <w:r w:rsidR="009C4D21">
        <w:t>o</w:t>
      </w:r>
      <w:r w:rsidR="008E4DD7">
        <w:t>n</w:t>
      </w:r>
      <w:r w:rsidR="009C4D21">
        <w:t>a</w:t>
      </w:r>
      <w:r w:rsidR="008E4DD7">
        <w:t xml:space="preserve"> </w:t>
      </w:r>
      <w:r w:rsidR="009C4D21">
        <w:t>ingerencja była „niezbędna</w:t>
      </w:r>
      <w:r w:rsidR="008E4DD7">
        <w:t xml:space="preserve"> w społeczeństwie demokratycznym” oraz że władze pozwanego Państwa działały w ramach marginesu </w:t>
      </w:r>
      <w:r w:rsidR="002652EB">
        <w:t>oceny</w:t>
      </w:r>
      <w:r w:rsidR="005F6BBE">
        <w:t xml:space="preserve">, poszukując </w:t>
      </w:r>
      <w:r w:rsidR="008E4DD7">
        <w:t>sprawiedliwej równowagi pomiędzy konkurującymi ze sobą interesami.</w:t>
      </w:r>
    </w:p>
    <w:p w14:paraId="1FA1C9EE" w14:textId="4A2D8C19" w:rsidR="008E4DD7" w:rsidRPr="00841658" w:rsidRDefault="005A22F3" w:rsidP="007365DD">
      <w:pPr>
        <w:pStyle w:val="ECHRPara"/>
      </w:pPr>
      <w:r>
        <w:t>199</w:t>
      </w:r>
      <w:r w:rsidR="008E4DD7">
        <w:t>.</w:t>
      </w:r>
      <w:r>
        <w:t xml:space="preserve"> </w:t>
      </w:r>
      <w:r w:rsidR="008E4DD7">
        <w:t>Mając na uwadze powyższe</w:t>
      </w:r>
      <w:r w:rsidR="005F6BBE">
        <w:t>,</w:t>
      </w:r>
      <w:r w:rsidR="008E4DD7">
        <w:t xml:space="preserve"> Trybunał stwierdza, iż nie doszło do</w:t>
      </w:r>
      <w:r w:rsidR="00C41CE5">
        <w:t> </w:t>
      </w:r>
      <w:r w:rsidR="008E4DD7">
        <w:t xml:space="preserve">naruszenia </w:t>
      </w:r>
      <w:r w:rsidR="00F6710B">
        <w:t>art.</w:t>
      </w:r>
      <w:r w:rsidR="008E4DD7">
        <w:t xml:space="preserve"> 10 Konwencji.</w:t>
      </w:r>
    </w:p>
    <w:p w14:paraId="1CCC82DC" w14:textId="3A8720A8" w:rsidR="008E4DD7" w:rsidRPr="00841658" w:rsidRDefault="008E4DD7" w:rsidP="00FC2206">
      <w:pPr>
        <w:pStyle w:val="ECHRHeading1"/>
      </w:pPr>
      <w:r>
        <w:t>III.</w:t>
      </w:r>
      <w:r w:rsidR="005A22F3">
        <w:t xml:space="preserve"> </w:t>
      </w:r>
      <w:r>
        <w:t xml:space="preserve">ZARZUT NARUSZENIA </w:t>
      </w:r>
      <w:r w:rsidR="00F6710B">
        <w:t>ART.</w:t>
      </w:r>
      <w:r>
        <w:t xml:space="preserve"> 6 UST. 1 KONWENCJI</w:t>
      </w:r>
    </w:p>
    <w:p w14:paraId="6CC4EBC4" w14:textId="21FCB3F3" w:rsidR="008E4DD7" w:rsidRPr="00841658" w:rsidRDefault="005A22F3" w:rsidP="007365DD">
      <w:pPr>
        <w:pStyle w:val="ECHRPara"/>
      </w:pPr>
      <w:r>
        <w:t>200</w:t>
      </w:r>
      <w:r w:rsidR="008E4DD7">
        <w:t>.</w:t>
      </w:r>
      <w:r>
        <w:t xml:space="preserve"> </w:t>
      </w:r>
      <w:r w:rsidR="008E4DD7">
        <w:t>Skarżące spółki skarżyły się na mocy art. 6 ust. 1 Konwencji na</w:t>
      </w:r>
      <w:r w:rsidR="00C41CE5">
        <w:t> </w:t>
      </w:r>
      <w:r w:rsidR="008E4DD7">
        <w:t>długość postępowania przed sądami krajowymi.</w:t>
      </w:r>
    </w:p>
    <w:p w14:paraId="5995A0BC" w14:textId="769048CA" w:rsidR="008E4DD7" w:rsidRPr="00841658" w:rsidRDefault="008E4DD7" w:rsidP="007365DD">
      <w:pPr>
        <w:pStyle w:val="ECHRPara"/>
      </w:pPr>
      <w:r>
        <w:t xml:space="preserve">Stosowne fragmenty </w:t>
      </w:r>
      <w:r w:rsidR="00F6710B">
        <w:t>art.</w:t>
      </w:r>
      <w:r>
        <w:t xml:space="preserve"> 6 ust. 1 Konwencji brzmią następująco:</w:t>
      </w:r>
    </w:p>
    <w:p w14:paraId="5C4420BD" w14:textId="18457395" w:rsidR="008E4DD7" w:rsidRPr="00841658" w:rsidRDefault="008E4DD7" w:rsidP="007365DD">
      <w:pPr>
        <w:pStyle w:val="ECHRParaQuote"/>
      </w:pPr>
      <w:r>
        <w:t>„Każdy ma prawo do ... rozpatrzenia jego sprawy w rozsądnym terminie przez ... sąd ... przy rozstrzyganiu o jego prawach i obowiązkach o charakterze cywilnym ....”</w:t>
      </w:r>
      <w:r w:rsidR="00D9277A">
        <w:t>.</w:t>
      </w:r>
    </w:p>
    <w:p w14:paraId="3CA8E7B3" w14:textId="77777777" w:rsidR="008E4DD7" w:rsidRPr="009C4D21" w:rsidRDefault="008E4DD7" w:rsidP="00FC2206">
      <w:pPr>
        <w:pStyle w:val="ECHRHeading2"/>
        <w:rPr>
          <w:sz w:val="24"/>
        </w:rPr>
      </w:pPr>
      <w:r w:rsidRPr="009C4D21">
        <w:rPr>
          <w:sz w:val="24"/>
        </w:rPr>
        <w:t>A. Wyrok Izby</w:t>
      </w:r>
    </w:p>
    <w:p w14:paraId="36CD8D3A" w14:textId="2974EB29" w:rsidR="008E4DD7" w:rsidRPr="00841658" w:rsidRDefault="005A22F3" w:rsidP="007365DD">
      <w:pPr>
        <w:pStyle w:val="ECHRPara"/>
      </w:pPr>
      <w:r>
        <w:t>201</w:t>
      </w:r>
      <w:r w:rsidR="008E4DD7">
        <w:t>.</w:t>
      </w:r>
      <w:r>
        <w:t xml:space="preserve"> </w:t>
      </w:r>
      <w:r w:rsidR="008E4DD7">
        <w:t>Izba odnotowała, że przedmiotowe postępowanie przed władzami krajowymi i sądami trwało ponad sześć lat i sześć miesięcy w dwóch instancjach, z czego w obu instancjach dwa razy. Nie było szczególnie długich okresów nieaktywności ze strony organów i sądów krajowych. Choć sprawa była w pewnym stopniu złożona, nie można powiedzieć, że</w:t>
      </w:r>
      <w:r w:rsidR="00C41CE5">
        <w:t> </w:t>
      </w:r>
      <w:r w:rsidR="008E4DD7">
        <w:t>to</w:t>
      </w:r>
      <w:r w:rsidR="00C41CE5">
        <w:t> </w:t>
      </w:r>
      <w:r w:rsidR="008E4DD7">
        <w:t xml:space="preserve">samo w sobie uzasadniało całą długość postępowania. Według Izby nadmierna całkowita długość postępowania mogła być spowodowana </w:t>
      </w:r>
      <w:r w:rsidR="003719AF">
        <w:t>zasadniczo</w:t>
      </w:r>
      <w:r w:rsidR="008E4DD7">
        <w:t xml:space="preserve"> faktem, że sprawa była rozpatrywana dwukrotnie przez każdą instancję.</w:t>
      </w:r>
    </w:p>
    <w:p w14:paraId="06AFC3B0" w14:textId="056E3EB8" w:rsidR="008E4DD7" w:rsidRPr="009C4D21" w:rsidRDefault="008E4DD7" w:rsidP="00FC2206">
      <w:pPr>
        <w:pStyle w:val="ECHRHeading2"/>
        <w:rPr>
          <w:sz w:val="24"/>
        </w:rPr>
      </w:pPr>
      <w:r w:rsidRPr="009C4D21">
        <w:rPr>
          <w:sz w:val="24"/>
        </w:rPr>
        <w:t>B.</w:t>
      </w:r>
      <w:r w:rsidR="005A22F3">
        <w:rPr>
          <w:sz w:val="24"/>
        </w:rPr>
        <w:t xml:space="preserve"> </w:t>
      </w:r>
      <w:r w:rsidRPr="009C4D21">
        <w:rPr>
          <w:sz w:val="24"/>
        </w:rPr>
        <w:t>Wnioski stron</w:t>
      </w:r>
    </w:p>
    <w:p w14:paraId="1FF2F3B5" w14:textId="7168BC82" w:rsidR="008E4DD7" w:rsidRPr="00841658" w:rsidRDefault="008E4DD7" w:rsidP="00FC2206">
      <w:pPr>
        <w:pStyle w:val="ECHRHeading3"/>
      </w:pPr>
      <w:r>
        <w:t>1.</w:t>
      </w:r>
      <w:r w:rsidR="005A22F3">
        <w:t xml:space="preserve"> </w:t>
      </w:r>
      <w:r>
        <w:t>Skarżące spółki</w:t>
      </w:r>
    </w:p>
    <w:p w14:paraId="467C2625" w14:textId="72A76817" w:rsidR="008E4DD7" w:rsidRPr="00841658" w:rsidRDefault="005A22F3" w:rsidP="007365DD">
      <w:pPr>
        <w:pStyle w:val="ECHRPara"/>
      </w:pPr>
      <w:r>
        <w:t>202</w:t>
      </w:r>
      <w:r w:rsidR="008E4DD7">
        <w:t>.</w:t>
      </w:r>
      <w:r>
        <w:t xml:space="preserve"> </w:t>
      </w:r>
      <w:r w:rsidR="008E4DD7">
        <w:t>Skarżące spółki podniosły, że postępowanie prawne w</w:t>
      </w:r>
      <w:r w:rsidR="00C41CE5">
        <w:t> </w:t>
      </w:r>
      <w:r w:rsidR="008E4DD7">
        <w:t>przedmiotowej sprawie trwało osiem lat w trzech instancjach</w:t>
      </w:r>
      <w:r w:rsidR="00E733AB">
        <w:t>,</w:t>
      </w:r>
      <w:r w:rsidR="008E4DD7">
        <w:t xml:space="preserve"> a każda instancja badała sprawę dwa razy. </w:t>
      </w:r>
      <w:r w:rsidR="00E733AB">
        <w:t xml:space="preserve">Najwyższy Sąd Administracyjny był </w:t>
      </w:r>
      <w:r w:rsidR="00E733AB">
        <w:lastRenderedPageBreak/>
        <w:t>uprawniony do wydania</w:t>
      </w:r>
      <w:r w:rsidR="008E4DD7">
        <w:t xml:space="preserve"> zakazu w swojej pierwszej decyzji z 2009</w:t>
      </w:r>
      <w:r w:rsidR="00F6710B" w:rsidRPr="00F6710B">
        <w:t xml:space="preserve"> </w:t>
      </w:r>
      <w:r w:rsidR="00F6710B">
        <w:t>r.</w:t>
      </w:r>
      <w:r w:rsidR="008E4DD7">
        <w:t>, bez</w:t>
      </w:r>
      <w:r w:rsidR="00C41CE5">
        <w:t> </w:t>
      </w:r>
      <w:r w:rsidR="008E4DD7">
        <w:t>odsyłania sprawy z powrotem do Rady Ochrony Danych. Można było to</w:t>
      </w:r>
      <w:r w:rsidR="00C41CE5">
        <w:t> </w:t>
      </w:r>
      <w:r w:rsidR="008E4DD7">
        <w:t xml:space="preserve">zrobić w imię </w:t>
      </w:r>
      <w:r w:rsidR="00D9277A">
        <w:t>zasady ekonomii</w:t>
      </w:r>
      <w:r w:rsidR="008E4DD7">
        <w:t xml:space="preserve"> </w:t>
      </w:r>
      <w:r w:rsidR="00D9277A">
        <w:t>procesowej</w:t>
      </w:r>
      <w:r w:rsidR="008E4DD7">
        <w:t xml:space="preserve"> oraz mając na uwadze prawo skarżących spółek do </w:t>
      </w:r>
      <w:r w:rsidR="00F93B55">
        <w:t>rzetelnego</w:t>
      </w:r>
      <w:r w:rsidR="008E4DD7">
        <w:t xml:space="preserve"> procesu w rozsądnym terminie. Czas</w:t>
      </w:r>
      <w:r w:rsidR="00C41CE5">
        <w:t> </w:t>
      </w:r>
      <w:r w:rsidR="008E4DD7">
        <w:t xml:space="preserve">trwania postępowania naruszył zatem prawo skarżących spółek gwarantowane </w:t>
      </w:r>
      <w:r w:rsidR="00F93B55">
        <w:t xml:space="preserve">przez </w:t>
      </w:r>
      <w:r w:rsidR="00F6710B">
        <w:t>art.</w:t>
      </w:r>
      <w:r w:rsidR="008E4DD7">
        <w:t xml:space="preserve"> 6 ust. 1 Konwencji.</w:t>
      </w:r>
    </w:p>
    <w:p w14:paraId="23D0268B" w14:textId="1B5121FC" w:rsidR="008E4DD7" w:rsidRPr="00841658" w:rsidRDefault="008E4DD7" w:rsidP="00FC2206">
      <w:pPr>
        <w:pStyle w:val="ECHRHeading3"/>
      </w:pPr>
      <w:r>
        <w:t>2.</w:t>
      </w:r>
      <w:r w:rsidR="005A22F3">
        <w:t xml:space="preserve"> </w:t>
      </w:r>
      <w:r>
        <w:t>Rząd</w:t>
      </w:r>
    </w:p>
    <w:p w14:paraId="036378D1" w14:textId="3561C2EC" w:rsidR="008E4DD7" w:rsidRPr="00841658" w:rsidRDefault="005A22F3" w:rsidP="007365DD">
      <w:pPr>
        <w:pStyle w:val="ECHRPara"/>
      </w:pPr>
      <w:r>
        <w:t>203</w:t>
      </w:r>
      <w:r w:rsidR="008E4DD7">
        <w:t>.</w:t>
      </w:r>
      <w:r>
        <w:t xml:space="preserve"> </w:t>
      </w:r>
      <w:r w:rsidR="008E4DD7">
        <w:t>Rząd nie zgodził się z ustaleniami Izby. Rząd uznał, że</w:t>
      </w:r>
      <w:r w:rsidR="00C41CE5">
        <w:t> </w:t>
      </w:r>
      <w:r w:rsidR="008E4DD7">
        <w:t>po</w:t>
      </w:r>
      <w:r w:rsidR="00C41CE5">
        <w:t> </w:t>
      </w:r>
      <w:r w:rsidR="008E4DD7">
        <w:t>odliczeniu czasu potrzebnego na wniosek o wydanie orzeczenia w</w:t>
      </w:r>
      <w:r w:rsidR="00C41CE5">
        <w:t> </w:t>
      </w:r>
      <w:r w:rsidR="008E4DD7">
        <w:t>trybie prejudycjalnym do TSUE, pierwsze postępowanie trwało trzy lata i</w:t>
      </w:r>
      <w:r w:rsidR="00C41CE5">
        <w:t> </w:t>
      </w:r>
      <w:r w:rsidR="008E4DD7">
        <w:t>trzy i pół miesiąca, a drugie około dwóch lat i trzech miesięcy. Łączny</w:t>
      </w:r>
      <w:r w:rsidR="00C41CE5">
        <w:t> </w:t>
      </w:r>
      <w:r w:rsidR="008E4DD7">
        <w:t>czas postępowania wynosił zatem pięć lat i siedem miesięcy, z</w:t>
      </w:r>
      <w:r w:rsidR="00C41CE5">
        <w:t> </w:t>
      </w:r>
      <w:r w:rsidR="008E4DD7">
        <w:t>czego należy odjąć sześć miesięcy, jako że związane były z</w:t>
      </w:r>
      <w:r w:rsidR="00C41CE5">
        <w:t> </w:t>
      </w:r>
      <w:r w:rsidR="008E4DD7">
        <w:t>przygotowaniami na poziomie krajowym wniosku o wydanie orzeczenia w</w:t>
      </w:r>
      <w:r w:rsidR="00C41CE5">
        <w:t> </w:t>
      </w:r>
      <w:r w:rsidR="008E4DD7">
        <w:t>trybie prejudycjalnym. Ogólny czas trwania postępowania wyniósł zatem pięć lat i siedem dni.</w:t>
      </w:r>
    </w:p>
    <w:p w14:paraId="1A1EA6FF" w14:textId="271DE6AB" w:rsidR="008E4DD7" w:rsidRPr="00841658" w:rsidRDefault="005A22F3" w:rsidP="007365DD">
      <w:pPr>
        <w:pStyle w:val="ECHRPara"/>
      </w:pPr>
      <w:r>
        <w:t>204</w:t>
      </w:r>
      <w:r w:rsidR="008E4DD7">
        <w:t>.</w:t>
      </w:r>
      <w:r>
        <w:t xml:space="preserve"> </w:t>
      </w:r>
      <w:r w:rsidR="008E4DD7">
        <w:t xml:space="preserve">Rząd odnotował, że żaden z etapów proceduralnych nie trwał bardzo długo. Sprawa obejmowała dwa odrębne </w:t>
      </w:r>
      <w:r w:rsidR="00F93B55">
        <w:t>postępowania</w:t>
      </w:r>
      <w:r w:rsidR="008E4DD7">
        <w:t>, jako</w:t>
      </w:r>
      <w:r w:rsidR="00C41CE5">
        <w:t> </w:t>
      </w:r>
      <w:r w:rsidR="008E4DD7">
        <w:t>że</w:t>
      </w:r>
      <w:r w:rsidR="00C41CE5">
        <w:t> </w:t>
      </w:r>
      <w:r w:rsidR="008E4DD7">
        <w:t xml:space="preserve">przedmiot obu tych postępowań nie był tożsamy, mimo iż dotyczyły </w:t>
      </w:r>
      <w:r w:rsidR="00F93B55">
        <w:t xml:space="preserve">one </w:t>
      </w:r>
      <w:r w:rsidR="008E4DD7">
        <w:t xml:space="preserve">tych samych stron i tych samych faktów. Pierwsze postępowanie dotyczyło tego, czy skarżące spółki przetwarzały dane osobowe wbrew postanowieniom </w:t>
      </w:r>
      <w:r w:rsidR="009C4D21">
        <w:t>ustawy o danych osobowych</w:t>
      </w:r>
      <w:r w:rsidR="008E4DD7">
        <w:t>. Najwyższy Sąd Administracyjny uchylił zaskarżoną decyzję i skierował sprawę ponownie do Rady Ochrony Danych, która musiała przeprowadzić nową analizę administracyjną sprawy oraz wydać nową decyzję administracyjną. Drugie</w:t>
      </w:r>
      <w:r w:rsidR="00C41CE5">
        <w:t> </w:t>
      </w:r>
      <w:r w:rsidR="008E4DD7">
        <w:t>postępowanie dotyczyło tego, czy nowa decyzja Rady Ochrony Danych z dnia 26 listopada 2009 r. odpowiadała poprzedniej decyzji Najwyższego Sądu Administracyjnego.</w:t>
      </w:r>
    </w:p>
    <w:p w14:paraId="24F9398A" w14:textId="008F4B03" w:rsidR="008E4DD7" w:rsidRPr="00841658" w:rsidRDefault="005A22F3" w:rsidP="007365DD">
      <w:pPr>
        <w:pStyle w:val="ECHRPara"/>
      </w:pPr>
      <w:r>
        <w:t>205</w:t>
      </w:r>
      <w:r w:rsidR="008E4DD7">
        <w:t>.</w:t>
      </w:r>
      <w:r>
        <w:t xml:space="preserve"> </w:t>
      </w:r>
      <w:r w:rsidR="008E4DD7">
        <w:t>Rząd stwierdził, że kwestia ta była wyjątkowo złożona z prawnego punktu widzenia. Oprócz zwyczajowych przygotowań w sprawie, obejmowała również sporządzenie wniosku do TSUE o wydanie orzeczenia w trybie prejudycjalnym</w:t>
      </w:r>
      <w:r w:rsidR="00F93B55">
        <w:t xml:space="preserve">, związane z nim postanowienie </w:t>
      </w:r>
      <w:r w:rsidR="008E4DD7">
        <w:t xml:space="preserve">oraz dwie rozprawy. Przedmiotowa sprawa była pierwszą tego rodzaju, </w:t>
      </w:r>
      <w:r w:rsidR="006E0778">
        <w:t xml:space="preserve">w której władze rozpatrywały </w:t>
      </w:r>
      <w:r w:rsidR="009C4D21">
        <w:t xml:space="preserve">wolność przekazywania </w:t>
      </w:r>
      <w:r w:rsidR="008E4DD7">
        <w:t>informacji podatkowych i</w:t>
      </w:r>
      <w:r w:rsidR="00F933C1">
        <w:t> </w:t>
      </w:r>
      <w:r w:rsidR="008E4DD7">
        <w:t>względy ochrony danych. Nie istniało wcześniejsze orzecznictwo krajowe w tym przedmiocie.</w:t>
      </w:r>
    </w:p>
    <w:p w14:paraId="08211FC1" w14:textId="03BD49AB" w:rsidR="008E4DD7" w:rsidRPr="00841658" w:rsidRDefault="005A22F3" w:rsidP="007365DD">
      <w:pPr>
        <w:pStyle w:val="ECHRPara"/>
      </w:pPr>
      <w:r>
        <w:t>206</w:t>
      </w:r>
      <w:r w:rsidR="008E4DD7">
        <w:t>.</w:t>
      </w:r>
      <w:r>
        <w:t xml:space="preserve"> </w:t>
      </w:r>
      <w:r w:rsidR="008E4DD7">
        <w:t xml:space="preserve">Co więcej zachowanie skarżących spółek przedłużyło drugie postępowanie o półtora miesiąca, którego to opóźnienia nie można przypisać </w:t>
      </w:r>
      <w:r w:rsidR="00F93B55">
        <w:t>Rządowi</w:t>
      </w:r>
      <w:r w:rsidR="008E4DD7">
        <w:t>.</w:t>
      </w:r>
    </w:p>
    <w:p w14:paraId="79CBE090" w14:textId="1B1D47EF" w:rsidR="008E4DD7" w:rsidRPr="00841658" w:rsidRDefault="005A22F3" w:rsidP="007365DD">
      <w:pPr>
        <w:pStyle w:val="ECHRPara"/>
      </w:pPr>
      <w:r>
        <w:t>207</w:t>
      </w:r>
      <w:r w:rsidR="008E4DD7">
        <w:t>.</w:t>
      </w:r>
      <w:r>
        <w:t xml:space="preserve"> </w:t>
      </w:r>
      <w:r w:rsidR="008E4DD7">
        <w:t>Rząd stwierdził, że w świetle s</w:t>
      </w:r>
      <w:r w:rsidR="00F93B55">
        <w:t>zczególnych okoliczności sprawy</w:t>
      </w:r>
      <w:r w:rsidR="008E4DD7">
        <w:t xml:space="preserve"> postępowanie zostało przeprowadzone w rozsądnym </w:t>
      </w:r>
      <w:r w:rsidR="00F93B55">
        <w:t xml:space="preserve">terminie </w:t>
      </w:r>
      <w:r w:rsidR="008E4DD7">
        <w:t xml:space="preserve">w rozumieniu </w:t>
      </w:r>
      <w:r w:rsidR="00F6710B">
        <w:t>art.</w:t>
      </w:r>
      <w:r w:rsidR="008E4DD7">
        <w:t xml:space="preserve"> 6 ust. 1 Konwencji.</w:t>
      </w:r>
    </w:p>
    <w:p w14:paraId="1D72F006" w14:textId="77777777" w:rsidR="008E4DD7" w:rsidRPr="009C4D21" w:rsidRDefault="008E4DD7" w:rsidP="00FC2206">
      <w:pPr>
        <w:pStyle w:val="ECHRHeading2"/>
        <w:rPr>
          <w:sz w:val="24"/>
        </w:rPr>
      </w:pPr>
      <w:r w:rsidRPr="009C4D21">
        <w:rPr>
          <w:sz w:val="24"/>
        </w:rPr>
        <w:lastRenderedPageBreak/>
        <w:t>C. Ocena Trybunału</w:t>
      </w:r>
    </w:p>
    <w:p w14:paraId="5D6EC575" w14:textId="5089AC73" w:rsidR="008E4DD7" w:rsidRPr="00841658" w:rsidRDefault="005A22F3" w:rsidP="007365DD">
      <w:pPr>
        <w:pStyle w:val="ECHRPara"/>
      </w:pPr>
      <w:r>
        <w:t>208</w:t>
      </w:r>
      <w:r w:rsidR="008E4DD7">
        <w:t>.</w:t>
      </w:r>
      <w:r>
        <w:t xml:space="preserve"> </w:t>
      </w:r>
      <w:r w:rsidR="008E4DD7">
        <w:t>Trybunał odnotowuje, że okres, jaki należy wziąć pod uwagę, rozpoczął się 12 lutego 2004 r., kiedy to odwołano się od pierwszej decyzji Rady Ochrony Danych, a zakończył się 18 czerwca 2012 r., kiedy</w:t>
      </w:r>
      <w:r w:rsidR="00C41CE5">
        <w:t> </w:t>
      </w:r>
      <w:r w:rsidR="008E4DD7">
        <w:t>to</w:t>
      </w:r>
      <w:r w:rsidR="00C41CE5">
        <w:t> </w:t>
      </w:r>
      <w:r w:rsidR="008E4DD7">
        <w:t>Najwyższy Sąd Administracyjny wydał ostateczną decyzję w</w:t>
      </w:r>
      <w:r w:rsidR="00C41CE5">
        <w:t> </w:t>
      </w:r>
      <w:r w:rsidR="008E4DD7">
        <w:t>sprawie. Sprawa toczyła się przed TSUE</w:t>
      </w:r>
      <w:r w:rsidR="00F93B55">
        <w:t>,</w:t>
      </w:r>
      <w:r w:rsidR="008E4DD7">
        <w:t xml:space="preserve"> oczekując na wydanie orzeczenia w trybie prejudycjalnym przez jeden rok i dziesięć miesięcy, który to czas, według orzecznictwa Trybunału, należy odjąć od czasu, jaki</w:t>
      </w:r>
      <w:r w:rsidR="00C41CE5">
        <w:t> </w:t>
      </w:r>
      <w:r w:rsidR="008E4DD7">
        <w:t xml:space="preserve">można przypisać władzom krajowym (zob. </w:t>
      </w:r>
      <w:proofErr w:type="spellStart"/>
      <w:r w:rsidR="008E4DD7">
        <w:rPr>
          <w:i/>
          <w:iCs/>
        </w:rPr>
        <w:t>Pafitis</w:t>
      </w:r>
      <w:proofErr w:type="spellEnd"/>
      <w:r w:rsidR="008E4DD7">
        <w:rPr>
          <w:i/>
          <w:iCs/>
        </w:rPr>
        <w:t xml:space="preserve"> </w:t>
      </w:r>
      <w:r>
        <w:rPr>
          <w:i/>
          <w:iCs/>
        </w:rPr>
        <w:t>i Inni</w:t>
      </w:r>
      <w:r w:rsidR="008E4DD7">
        <w:rPr>
          <w:i/>
          <w:iCs/>
        </w:rPr>
        <w:t xml:space="preserve"> przeciwko Grecji</w:t>
      </w:r>
      <w:r w:rsidR="008E4DD7">
        <w:t xml:space="preserve">, 26 lutego 1998 r., § 95, </w:t>
      </w:r>
      <w:r w:rsidR="008E4DD7">
        <w:rPr>
          <w:i/>
          <w:iCs/>
        </w:rPr>
        <w:t>Reports</w:t>
      </w:r>
      <w:r>
        <w:rPr>
          <w:i/>
          <w:iCs/>
        </w:rPr>
        <w:t xml:space="preserve"> </w:t>
      </w:r>
      <w:r w:rsidR="008E4DD7">
        <w:t>[Raporty] 1998</w:t>
      </w:r>
      <w:r w:rsidR="008E4DD7">
        <w:noBreakHyphen/>
        <w:t xml:space="preserve">I; oraz </w:t>
      </w:r>
      <w:proofErr w:type="spellStart"/>
      <w:r w:rsidR="008E4DD7">
        <w:rPr>
          <w:i/>
          <w:iCs/>
        </w:rPr>
        <w:t>Koua</w:t>
      </w:r>
      <w:proofErr w:type="spellEnd"/>
      <w:r w:rsidR="008E4DD7">
        <w:rPr>
          <w:i/>
          <w:iCs/>
        </w:rPr>
        <w:t xml:space="preserve"> </w:t>
      </w:r>
      <w:proofErr w:type="spellStart"/>
      <w:r w:rsidR="008E4DD7">
        <w:rPr>
          <w:i/>
          <w:iCs/>
        </w:rPr>
        <w:t>Poirrez</w:t>
      </w:r>
      <w:proofErr w:type="spellEnd"/>
      <w:r w:rsidR="008E4DD7">
        <w:rPr>
          <w:i/>
          <w:iCs/>
        </w:rPr>
        <w:t xml:space="preserve"> przeciwko Francji</w:t>
      </w:r>
      <w:r w:rsidR="008E4DD7">
        <w:t>, nr 40892/98, § 61, ECHR 2003</w:t>
      </w:r>
      <w:r w:rsidR="008E4DD7">
        <w:noBreakHyphen/>
        <w:t>X). Po odjęciu tego okresu z całego czasu trwania postępowania stwierdza się, iż</w:t>
      </w:r>
      <w:r w:rsidR="00C41CE5">
        <w:t> </w:t>
      </w:r>
      <w:r w:rsidR="008E4DD7">
        <w:t>przedmiotowe postępowanie przed organami i sądami krajowymi trwało ponad sześć lat i sześć miesięcy, dwukrotnie w każdej instancji.</w:t>
      </w:r>
    </w:p>
    <w:p w14:paraId="7D9A0AF1" w14:textId="239E25A8" w:rsidR="008E4DD7" w:rsidRPr="00841658" w:rsidRDefault="005A22F3" w:rsidP="007365DD">
      <w:pPr>
        <w:pStyle w:val="ECHRPara"/>
      </w:pPr>
      <w:r>
        <w:t>209</w:t>
      </w:r>
      <w:r w:rsidR="008E4DD7">
        <w:t>.</w:t>
      </w:r>
      <w:r>
        <w:t xml:space="preserve"> </w:t>
      </w:r>
      <w:r w:rsidR="008E4DD7">
        <w:t>Rozsądność czasu trwania postępowania należy ocenić zgodnie z</w:t>
      </w:r>
      <w:r w:rsidR="00C41CE5">
        <w:t> </w:t>
      </w:r>
      <w:r w:rsidR="00F93B55">
        <w:t xml:space="preserve">ugruntowanym </w:t>
      </w:r>
      <w:r w:rsidR="008E4DD7">
        <w:t>orzecznictwem w świetle okoliczności sprawy oraz</w:t>
      </w:r>
      <w:r w:rsidR="00C41CE5">
        <w:t> </w:t>
      </w:r>
      <w:r w:rsidR="008E4DD7">
        <w:t xml:space="preserve">odwołując się do następujących kryteriów: złożoności sprawy, zachowania skarżących oraz </w:t>
      </w:r>
      <w:r w:rsidR="00F93B55">
        <w:t xml:space="preserve">właściwych </w:t>
      </w:r>
      <w:r w:rsidR="008E4DD7">
        <w:t xml:space="preserve">władz oraz </w:t>
      </w:r>
      <w:r w:rsidR="004005F4">
        <w:t xml:space="preserve">znaczenia sprawy </w:t>
      </w:r>
      <w:r w:rsidR="008E4DD7">
        <w:t>dla</w:t>
      </w:r>
      <w:r w:rsidR="00C41CE5">
        <w:t> </w:t>
      </w:r>
      <w:r w:rsidR="008E4DD7">
        <w:t xml:space="preserve">skarżących (zob. </w:t>
      </w:r>
      <w:r w:rsidR="00D9277A" w:rsidRPr="00D9277A">
        <w:t>m.in.</w:t>
      </w:r>
      <w:r w:rsidR="008E4DD7">
        <w:t xml:space="preserve"> </w:t>
      </w:r>
      <w:proofErr w:type="spellStart"/>
      <w:r w:rsidR="008E4DD7">
        <w:rPr>
          <w:i/>
          <w:iCs/>
        </w:rPr>
        <w:t>Frydlender</w:t>
      </w:r>
      <w:proofErr w:type="spellEnd"/>
      <w:r w:rsidR="008E4DD7">
        <w:rPr>
          <w:i/>
          <w:iCs/>
        </w:rPr>
        <w:t xml:space="preserve"> przeciwko Francji</w:t>
      </w:r>
      <w:r w:rsidR="008E4DD7">
        <w:t xml:space="preserve"> [WI], nr 30979/96, § 43, ECHR 2000-VII; oraz </w:t>
      </w:r>
      <w:r w:rsidR="008E4DD7">
        <w:rPr>
          <w:i/>
          <w:iCs/>
        </w:rPr>
        <w:t xml:space="preserve">Lupeni Greek Catholic Parish </w:t>
      </w:r>
      <w:r>
        <w:rPr>
          <w:i/>
          <w:iCs/>
        </w:rPr>
        <w:t>i Inni</w:t>
      </w:r>
      <w:r w:rsidR="00D9277A">
        <w:rPr>
          <w:i/>
          <w:iCs/>
        </w:rPr>
        <w:t xml:space="preserve"> </w:t>
      </w:r>
      <w:r w:rsidR="008E4DD7">
        <w:rPr>
          <w:i/>
          <w:iCs/>
        </w:rPr>
        <w:t xml:space="preserve">przeciwko Rumunii </w:t>
      </w:r>
      <w:r w:rsidR="008E4DD7">
        <w:t>[WI], nr 76943/11, § 143, ECHR 2016 (fragmenty)).</w:t>
      </w:r>
    </w:p>
    <w:p w14:paraId="19A2BFE8" w14:textId="76021AE1" w:rsidR="008E4DD7" w:rsidRPr="00841658" w:rsidRDefault="005A22F3" w:rsidP="007365DD">
      <w:pPr>
        <w:pStyle w:val="ECHRPara"/>
      </w:pPr>
      <w:r>
        <w:t>210</w:t>
      </w:r>
      <w:r w:rsidR="008E4DD7">
        <w:t>.</w:t>
      </w:r>
      <w:r>
        <w:t xml:space="preserve"> </w:t>
      </w:r>
      <w:r w:rsidR="008E4DD7">
        <w:t xml:space="preserve">Trybunał zgadza się z Rządem, że w postępowaniu nie było szczególnie długich okresów nieaktywności ze strony władz i sądów krajowych. Postępowania toczyły się przed organami i sądami krajowymi przez około półtora roku dla każdego etapu, czego </w:t>
      </w:r>
      <w:r w:rsidR="004005F4">
        <w:t xml:space="preserve">samego w sobie </w:t>
      </w:r>
      <w:r w:rsidR="008E4DD7">
        <w:t>nie</w:t>
      </w:r>
      <w:r w:rsidR="00C41CE5">
        <w:t> </w:t>
      </w:r>
      <w:r w:rsidR="008E4DD7">
        <w:t>można uznać za nadmiernie długie.</w:t>
      </w:r>
    </w:p>
    <w:p w14:paraId="13A8E09B" w14:textId="75A27D7F" w:rsidR="008E4DD7" w:rsidRPr="00841658" w:rsidRDefault="005A22F3" w:rsidP="007365DD">
      <w:pPr>
        <w:pStyle w:val="ECHRPara"/>
      </w:pPr>
      <w:r>
        <w:t>211</w:t>
      </w:r>
      <w:r w:rsidR="008E4DD7">
        <w:t>.</w:t>
      </w:r>
      <w:r>
        <w:t xml:space="preserve"> </w:t>
      </w:r>
      <w:r w:rsidR="008E4DD7">
        <w:t>Jednakże całkowita długość postępowania jest nadmierna, co zdaje się być spowodowane faktem, że sprawę analizowano dwa razy w każdej instancji. Trybunał uważa, że nawet jeżeli należałoby przyjąć argument Rządu, iż zachowanie skarżących spółek przedłużyło drugie postępowanie o</w:t>
      </w:r>
      <w:r w:rsidR="00C41CE5">
        <w:t> </w:t>
      </w:r>
      <w:r w:rsidR="008E4DD7">
        <w:t>półtora miesiąca i okres ten należałoby odjąć od ogólnego czasu trwania postępowania, całkowita długość postępowania nadal byłaby nadmierna.</w:t>
      </w:r>
    </w:p>
    <w:p w14:paraId="50BD4C0F" w14:textId="44A23322" w:rsidR="008E4DD7" w:rsidRPr="00841658" w:rsidRDefault="005A22F3" w:rsidP="007365DD">
      <w:pPr>
        <w:pStyle w:val="ECHRPara"/>
      </w:pPr>
      <w:r>
        <w:t>212</w:t>
      </w:r>
      <w:r w:rsidR="008E4DD7" w:rsidRPr="009A0375">
        <w:t>.</w:t>
      </w:r>
      <w:r>
        <w:t xml:space="preserve"> </w:t>
      </w:r>
      <w:r w:rsidR="008E4DD7" w:rsidRPr="009A0375">
        <w:t>Trybunał uważa, że sprawa rzeczywiście była skomplikowana pod</w:t>
      </w:r>
      <w:r w:rsidR="00C41CE5">
        <w:t> </w:t>
      </w:r>
      <w:r w:rsidR="008E4DD7" w:rsidRPr="009A0375">
        <w:t xml:space="preserve">względem prawnym, </w:t>
      </w:r>
      <w:r w:rsidR="004005F4">
        <w:t xml:space="preserve">a </w:t>
      </w:r>
      <w:r w:rsidR="008E4DD7" w:rsidRPr="00463E62">
        <w:t>okoliczność ta przejawi</w:t>
      </w:r>
      <w:r w:rsidR="004005F4">
        <w:t>a</w:t>
      </w:r>
      <w:r w:rsidR="008E4DD7" w:rsidRPr="00463E62">
        <w:t>ła się</w:t>
      </w:r>
      <w:r w:rsidR="008E4DD7" w:rsidRPr="009A0375">
        <w:t xml:space="preserve"> poprzez niedostatek orzecznictwa na poziomie fińskim, potrzebę skierowania pytań dotyczących interpretacji prawa unijnego do TSUE oraz sam</w:t>
      </w:r>
      <w:r w:rsidR="004005F4">
        <w:t xml:space="preserve"> fakt</w:t>
      </w:r>
      <w:r w:rsidR="008E4DD7" w:rsidRPr="000D5C26">
        <w:t>, iż sprawa została skierowana do Wielkiej Izby tutejszego Trybunału. Jednakże nie</w:t>
      </w:r>
      <w:r w:rsidR="00C41CE5">
        <w:t> </w:t>
      </w:r>
      <w:r w:rsidR="008E4DD7" w:rsidRPr="000D5C26">
        <w:t xml:space="preserve">można </w:t>
      </w:r>
      <w:r w:rsidR="008E4DD7" w:rsidRPr="00463E62">
        <w:t>stwierdzić</w:t>
      </w:r>
      <w:r w:rsidR="008E4DD7" w:rsidRPr="009A0375">
        <w:t>, że złożoność prawna sprawy sama w sobie usprawiedliwi</w:t>
      </w:r>
      <w:r w:rsidR="008E4DD7" w:rsidRPr="00463E62">
        <w:t>a</w:t>
      </w:r>
      <w:r w:rsidR="008E4DD7" w:rsidRPr="009A0375">
        <w:t xml:space="preserve">ła cały czas trwania postępowania. </w:t>
      </w:r>
      <w:r w:rsidR="004005F4">
        <w:t xml:space="preserve">Złożoność sprawy </w:t>
      </w:r>
      <w:r w:rsidR="008E4DD7" w:rsidRPr="009A0375">
        <w:t>była</w:t>
      </w:r>
      <w:r w:rsidR="004005F4">
        <w:t xml:space="preserve"> po części </w:t>
      </w:r>
      <w:r w:rsidR="008E4DD7" w:rsidRPr="009A0375">
        <w:t>dodatkowo spowodowana faktem</w:t>
      </w:r>
      <w:r w:rsidR="008E4DD7" w:rsidRPr="00463E62">
        <w:t>, że</w:t>
      </w:r>
      <w:r w:rsidR="008E4DD7" w:rsidRPr="009A0375">
        <w:t xml:space="preserve"> sprawę skierowano ponownie do rozpatrzenia przez Radę Ochrony Danych.</w:t>
      </w:r>
    </w:p>
    <w:p w14:paraId="091BCCAB" w14:textId="0766695C" w:rsidR="008E4DD7" w:rsidRPr="00841658" w:rsidRDefault="005A22F3" w:rsidP="007365DD">
      <w:pPr>
        <w:pStyle w:val="ECHRPara"/>
      </w:pPr>
      <w:r>
        <w:t>213</w:t>
      </w:r>
      <w:r w:rsidR="008E4DD7">
        <w:t>.</w:t>
      </w:r>
      <w:r>
        <w:t xml:space="preserve"> </w:t>
      </w:r>
      <w:r w:rsidR="008E4DD7">
        <w:t xml:space="preserve">Jeśli chodzi o to, co było kwestią zasadniczą dla skarżących spółek, nie ma wątpliwości że zaskarżane decyzje krajowe miały konsekwencje </w:t>
      </w:r>
      <w:r w:rsidR="008E4DD7">
        <w:lastRenderedPageBreak/>
        <w:t xml:space="preserve">zarówno dla zakresu, </w:t>
      </w:r>
      <w:r w:rsidR="004005F4">
        <w:t xml:space="preserve">jak i </w:t>
      </w:r>
      <w:r w:rsidR="008E4DD7">
        <w:t>formy, w jakiej skarżące spółki mogły publikować dane podatkowe, a zatem kontynuować działalność publicystyczną bez zmian.</w:t>
      </w:r>
    </w:p>
    <w:p w14:paraId="0A878135" w14:textId="217B967A" w:rsidR="008E4DD7" w:rsidRPr="00841658" w:rsidRDefault="005A22F3" w:rsidP="007365DD">
      <w:pPr>
        <w:pStyle w:val="ECHRPara"/>
      </w:pPr>
      <w:r>
        <w:t>214</w:t>
      </w:r>
      <w:r w:rsidR="008E4DD7">
        <w:t>.</w:t>
      </w:r>
      <w:r>
        <w:t xml:space="preserve"> </w:t>
      </w:r>
      <w:r w:rsidR="008E4DD7">
        <w:t>Po zbadaniu całego przedstawionego materiału Trybunał uznaje, że</w:t>
      </w:r>
      <w:r w:rsidR="00C41CE5">
        <w:t> </w:t>
      </w:r>
      <w:r w:rsidR="004005F4">
        <w:t xml:space="preserve">nawet </w:t>
      </w:r>
      <w:r w:rsidR="008E4DD7">
        <w:t xml:space="preserve">po uwzględnieniu złożoności sprawy z prawnego punktu widzenia czas trwania postępowania jako całości był </w:t>
      </w:r>
      <w:r w:rsidR="004005F4">
        <w:t xml:space="preserve">nadmiernie </w:t>
      </w:r>
      <w:r w:rsidR="008E4DD7">
        <w:t xml:space="preserve">długi </w:t>
      </w:r>
      <w:r w:rsidR="004005F4">
        <w:t xml:space="preserve">i nie spełnił wymogu </w:t>
      </w:r>
      <w:r w:rsidR="008E4DD7">
        <w:t xml:space="preserve">rozsądnego </w:t>
      </w:r>
      <w:r w:rsidR="00D9277A">
        <w:t>terminu</w:t>
      </w:r>
      <w:r w:rsidR="008E4DD7">
        <w:t>.</w:t>
      </w:r>
    </w:p>
    <w:p w14:paraId="0B7493DE" w14:textId="26CF4A33" w:rsidR="008E4DD7" w:rsidRPr="00841658" w:rsidRDefault="005A22F3" w:rsidP="007365DD">
      <w:pPr>
        <w:pStyle w:val="ECHRPara"/>
      </w:pPr>
      <w:r>
        <w:t>215</w:t>
      </w:r>
      <w:r w:rsidR="008E4DD7">
        <w:t>.</w:t>
      </w:r>
      <w:r>
        <w:t xml:space="preserve"> </w:t>
      </w:r>
      <w:r w:rsidR="008E4DD7">
        <w:t xml:space="preserve">A zatem doszło do naruszenia </w:t>
      </w:r>
      <w:r w:rsidR="00F6710B">
        <w:t xml:space="preserve">art. </w:t>
      </w:r>
      <w:r w:rsidR="008E4DD7">
        <w:t>6 ust. 1 Konwencji ze względu na</w:t>
      </w:r>
      <w:r w:rsidR="00C41CE5">
        <w:t> </w:t>
      </w:r>
      <w:r w:rsidR="008E4DD7">
        <w:t>długość postępowania.</w:t>
      </w:r>
    </w:p>
    <w:p w14:paraId="12595550" w14:textId="33E6105B" w:rsidR="008E4DD7" w:rsidRPr="00841658" w:rsidRDefault="008E4DD7" w:rsidP="00FC2206">
      <w:pPr>
        <w:pStyle w:val="ECHRHeading1"/>
      </w:pPr>
      <w:r>
        <w:t>IV.</w:t>
      </w:r>
      <w:r w:rsidR="005A22F3">
        <w:t xml:space="preserve"> </w:t>
      </w:r>
      <w:r>
        <w:t xml:space="preserve">ZASTOSOWANIE </w:t>
      </w:r>
      <w:r w:rsidR="00F6710B">
        <w:t>ART.</w:t>
      </w:r>
      <w:r>
        <w:t xml:space="preserve"> 41 KONWENCJI</w:t>
      </w:r>
    </w:p>
    <w:p w14:paraId="082A913E" w14:textId="6C1BE00D" w:rsidR="008E4DD7" w:rsidRPr="00841658" w:rsidRDefault="005A22F3" w:rsidP="007365DD">
      <w:pPr>
        <w:pStyle w:val="ECHRPara"/>
      </w:pPr>
      <w:r>
        <w:t>216</w:t>
      </w:r>
      <w:r w:rsidR="008E4DD7">
        <w:t>.</w:t>
      </w:r>
      <w:r>
        <w:t xml:space="preserve"> </w:t>
      </w:r>
      <w:r w:rsidR="00F6710B">
        <w:t xml:space="preserve">Art. </w:t>
      </w:r>
      <w:r w:rsidR="008E4DD7">
        <w:t>41 Konwencji stwierdza:</w:t>
      </w:r>
    </w:p>
    <w:p w14:paraId="6412AD52" w14:textId="046F4717" w:rsidR="008E4DD7" w:rsidRPr="00841658" w:rsidRDefault="008E4DD7" w:rsidP="007365DD">
      <w:pPr>
        <w:pStyle w:val="ECHRParaQuote"/>
      </w:pPr>
      <w:r>
        <w:t>„Je</w:t>
      </w:r>
      <w:r w:rsidR="00F6710B">
        <w:t>śli</w:t>
      </w:r>
      <w:r>
        <w:t xml:space="preserve"> 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14:paraId="3B900CAA" w14:textId="77777777" w:rsidR="008E4DD7" w:rsidRPr="009C4D21" w:rsidRDefault="008E4DD7" w:rsidP="00FC2206">
      <w:pPr>
        <w:pStyle w:val="ECHRHeading2"/>
        <w:rPr>
          <w:sz w:val="24"/>
        </w:rPr>
      </w:pPr>
      <w:r w:rsidRPr="009C4D21">
        <w:rPr>
          <w:sz w:val="24"/>
        </w:rPr>
        <w:t>A. Szkoda</w:t>
      </w:r>
    </w:p>
    <w:p w14:paraId="2042A27D" w14:textId="1AEE3270" w:rsidR="008E4DD7" w:rsidRPr="00841658" w:rsidRDefault="005A22F3" w:rsidP="007365DD">
      <w:pPr>
        <w:pStyle w:val="ECHRPara"/>
      </w:pPr>
      <w:r>
        <w:t>217</w:t>
      </w:r>
      <w:r w:rsidR="008E4DD7">
        <w:t>.</w:t>
      </w:r>
      <w:r>
        <w:t xml:space="preserve"> </w:t>
      </w:r>
      <w:r w:rsidR="008E4DD7">
        <w:t xml:space="preserve">Skarżące spółki domagały się 900 000 EUR tytułem szkody majątkowej, odpowiadającej stracie dochodu </w:t>
      </w:r>
      <w:r w:rsidR="003C481F">
        <w:t xml:space="preserve">netto </w:t>
      </w:r>
      <w:r w:rsidR="008E4DD7">
        <w:t>za trzy lata. Nie</w:t>
      </w:r>
      <w:r w:rsidR="00C41CE5">
        <w:t> </w:t>
      </w:r>
      <w:r w:rsidR="008E4DD7">
        <w:t>doprecyzowały dalej swojego roszczenia majątkowego odwołaniem do</w:t>
      </w:r>
      <w:r w:rsidR="00C41CE5">
        <w:t> </w:t>
      </w:r>
      <w:r w:rsidR="008E4DD7">
        <w:t>dwóch artykułów Konwencji, które według ich zarzutów zostały naruszone.</w:t>
      </w:r>
    </w:p>
    <w:p w14:paraId="376048E3" w14:textId="0EF5FBEA" w:rsidR="008E4DD7" w:rsidRPr="00841658" w:rsidRDefault="005A22F3" w:rsidP="007365DD">
      <w:pPr>
        <w:pStyle w:val="ECHRPara"/>
      </w:pPr>
      <w:r>
        <w:t>218</w:t>
      </w:r>
      <w:r w:rsidR="008E4DD7">
        <w:t>.</w:t>
      </w:r>
      <w:r>
        <w:t xml:space="preserve"> </w:t>
      </w:r>
      <w:r w:rsidR="008E4DD7">
        <w:t>Rząd zgodził się z Izbą, że nie został udowodniony związek przyczynowo-skutkowy pomiędzy zgłoszoną szkodą a zarzu</w:t>
      </w:r>
      <w:r w:rsidR="003C481F">
        <w:t>canym naruszeniem</w:t>
      </w:r>
      <w:r w:rsidR="008E4DD7">
        <w:t xml:space="preserve"> </w:t>
      </w:r>
      <w:r w:rsidR="00F6710B">
        <w:t>art.</w:t>
      </w:r>
      <w:r w:rsidR="008E4DD7">
        <w:t xml:space="preserve"> 6 ust. 1 Konwencji. Nie został również udowodniony związek przyczynowo-skutkowy pomiędzy zgłoszoną szkodą a zarzu</w:t>
      </w:r>
      <w:r w:rsidR="003C481F">
        <w:t>canym naruszeniem</w:t>
      </w:r>
      <w:r w:rsidR="008E4DD7">
        <w:t xml:space="preserve"> </w:t>
      </w:r>
      <w:r w:rsidR="00F6710B">
        <w:t>art.</w:t>
      </w:r>
      <w:r w:rsidR="008E4DD7">
        <w:t xml:space="preserve"> 10 Konwencji. Według Rządu nie należało zatem przyzna</w:t>
      </w:r>
      <w:r w:rsidR="003C481F">
        <w:t>wa</w:t>
      </w:r>
      <w:r w:rsidR="008E4DD7">
        <w:t xml:space="preserve">ć z tego tytułu żadnego odszkodowania. Gdyby Trybunał miał przyznać odszkodowanie z tytułu szkody majątkowej, należało zastrzec zastosowanie </w:t>
      </w:r>
      <w:r w:rsidR="00F6710B">
        <w:t>art.</w:t>
      </w:r>
      <w:r w:rsidR="008E4DD7">
        <w:t xml:space="preserve"> 41 Konwencji.</w:t>
      </w:r>
    </w:p>
    <w:p w14:paraId="03D8FE24" w14:textId="361A3109" w:rsidR="008E4DD7" w:rsidRPr="00841658" w:rsidRDefault="005A22F3" w:rsidP="007365DD">
      <w:pPr>
        <w:pStyle w:val="ECHRPara"/>
      </w:pPr>
      <w:r>
        <w:t>219</w:t>
      </w:r>
      <w:r w:rsidR="008E4DD7">
        <w:t>.</w:t>
      </w:r>
      <w:r>
        <w:t xml:space="preserve"> </w:t>
      </w:r>
      <w:r w:rsidR="0035433F">
        <w:t xml:space="preserve">Na podstawie </w:t>
      </w:r>
      <w:r w:rsidR="000D6248">
        <w:t xml:space="preserve">przedłożonego mu </w:t>
      </w:r>
      <w:r w:rsidR="0035433F">
        <w:t xml:space="preserve">materiału </w:t>
      </w:r>
      <w:r w:rsidR="008E4DD7">
        <w:t>Trybunał nie</w:t>
      </w:r>
      <w:r w:rsidR="003C481F">
        <w:t xml:space="preserve"> dostrzega</w:t>
      </w:r>
      <w:r w:rsidR="008E4DD7">
        <w:t xml:space="preserve"> jakiegokolwiek związku przyczynowo-skutkowego pomiędzy naruszeniem stwierdzonym z mocy </w:t>
      </w:r>
      <w:r w:rsidR="00F6710B">
        <w:t>art.</w:t>
      </w:r>
      <w:r w:rsidR="008E4DD7">
        <w:t xml:space="preserve"> 6 Konwencji a szkodą majątkową zgłaszaną przez skarżące spółki. Trybunał zatem odrzuca roszczenie. W zakresie szkód niemajątkowych Trybunał odnotowuje, że skarżące spółki nie wniosły z</w:t>
      </w:r>
      <w:r w:rsidR="00C41CE5">
        <w:t> </w:t>
      </w:r>
      <w:r w:rsidR="008E4DD7">
        <w:t>tego tytułu roszczeń.</w:t>
      </w:r>
    </w:p>
    <w:p w14:paraId="369A5E1B" w14:textId="77777777" w:rsidR="008E4DD7" w:rsidRPr="009C4D21" w:rsidRDefault="008E4DD7" w:rsidP="00FC2206">
      <w:pPr>
        <w:pStyle w:val="ECHRHeading2"/>
        <w:rPr>
          <w:sz w:val="24"/>
        </w:rPr>
      </w:pPr>
      <w:r w:rsidRPr="009C4D21">
        <w:rPr>
          <w:sz w:val="24"/>
        </w:rPr>
        <w:lastRenderedPageBreak/>
        <w:t>B. Koszty i wydatki</w:t>
      </w:r>
    </w:p>
    <w:p w14:paraId="5B190008" w14:textId="4418BE84" w:rsidR="008E4DD7" w:rsidRPr="00841658" w:rsidRDefault="005A22F3" w:rsidP="007365DD">
      <w:pPr>
        <w:pStyle w:val="ECHRPara"/>
      </w:pPr>
      <w:r>
        <w:t>220</w:t>
      </w:r>
      <w:r w:rsidR="008E4DD7">
        <w:t>.</w:t>
      </w:r>
      <w:r>
        <w:t xml:space="preserve"> </w:t>
      </w:r>
      <w:r w:rsidR="008E4DD7">
        <w:t xml:space="preserve">Skarżące spółki wniosły o </w:t>
      </w:r>
      <w:r w:rsidR="003C481F">
        <w:t xml:space="preserve">przyznanie </w:t>
      </w:r>
      <w:r w:rsidR="008E4DD7">
        <w:t>58 050 EUR tytułem kosztów i wydatków poniesionych zarówno przed sądami krajowymi</w:t>
      </w:r>
      <w:r w:rsidR="003C481F">
        <w:t>,</w:t>
      </w:r>
      <w:r w:rsidR="008E4DD7">
        <w:t xml:space="preserve"> jak i przed Trybunałem.</w:t>
      </w:r>
    </w:p>
    <w:p w14:paraId="69232505" w14:textId="41BF4DA5" w:rsidR="008E4DD7" w:rsidRPr="00841658" w:rsidRDefault="005A22F3" w:rsidP="007365DD">
      <w:pPr>
        <w:pStyle w:val="ECHRPara"/>
      </w:pPr>
      <w:r>
        <w:t>221</w:t>
      </w:r>
      <w:r w:rsidR="008E4DD7">
        <w:t>.</w:t>
      </w:r>
      <w:r>
        <w:t xml:space="preserve"> </w:t>
      </w:r>
      <w:r w:rsidR="008E4DD7">
        <w:t>Rząd odnotował, że Izba przy</w:t>
      </w:r>
      <w:r>
        <w:t>znała skarżącym spółkom kwotę 9</w:t>
      </w:r>
      <w:r w:rsidR="008E4DD7">
        <w:t>500</w:t>
      </w:r>
      <w:r w:rsidR="00C41CE5">
        <w:t> </w:t>
      </w:r>
      <w:r w:rsidR="008E4DD7">
        <w:t>EUR (z VAT) na pokrycie kosztów zgłoszonych w obu instancjach. W</w:t>
      </w:r>
      <w:r w:rsidR="00C41CE5">
        <w:t> </w:t>
      </w:r>
      <w:r w:rsidR="008E4DD7">
        <w:t>opinii Rządu kwota ta była uzasadniona i nie powinna być zwiększona.</w:t>
      </w:r>
    </w:p>
    <w:p w14:paraId="04502329" w14:textId="3DC89075" w:rsidR="008E4DD7" w:rsidRPr="00841658" w:rsidRDefault="005A22F3" w:rsidP="007365DD">
      <w:pPr>
        <w:pStyle w:val="ECHRPara"/>
      </w:pPr>
      <w:r>
        <w:t>222</w:t>
      </w:r>
      <w:r w:rsidR="008E4DD7">
        <w:t>.</w:t>
      </w:r>
      <w:r>
        <w:t xml:space="preserve"> </w:t>
      </w:r>
      <w:r w:rsidR="008E4DD7">
        <w:t>Zgodnie z orzecznictwem Trybunału skarżący ma prawo do zwrotu kosztów i wydatków jedynie w takim zakresie, w jakim wykazano, iż</w:t>
      </w:r>
      <w:r w:rsidR="00C41CE5">
        <w:t> </w:t>
      </w:r>
      <w:r w:rsidR="008E4DD7">
        <w:t xml:space="preserve">zostały one rzeczywiście i w sposób niezbędny poniesione i są rozsądne pod względem kwoty. W przedmiotowej sprawie nie przedstawiono Trybunałowi dowodów z dokumentów na potwierdzenie roszczenia z </w:t>
      </w:r>
      <w:r w:rsidR="003C481F">
        <w:t>tytułu</w:t>
      </w:r>
      <w:r w:rsidR="008E4DD7">
        <w:t xml:space="preserve"> honorariów prawniczych </w:t>
      </w:r>
      <w:r w:rsidR="003C481F">
        <w:t xml:space="preserve">poniesionych </w:t>
      </w:r>
      <w:r w:rsidR="008E4DD7">
        <w:t>przed Wielką Izbą, zgodnie z</w:t>
      </w:r>
      <w:r w:rsidR="00C41CE5">
        <w:t> </w:t>
      </w:r>
      <w:r w:rsidR="008E4DD7">
        <w:t>wymogiem Reguły 60 §</w:t>
      </w:r>
      <w:r w:rsidR="00F6710B">
        <w:t xml:space="preserve"> </w:t>
      </w:r>
      <w:r w:rsidR="008E4DD7">
        <w:t>2 Regulaminu Trybunału. Dodatkowe roszczenie z tytułu kosztów i wydatków poniesionych w postępowaniu przed Wielką Izbą należy zatem odrzucić. W odniesieniu do dowodów</w:t>
      </w:r>
      <w:r w:rsidR="003C481F">
        <w:t xml:space="preserve"> w postaci dokumentów</w:t>
      </w:r>
      <w:r w:rsidR="008E4DD7">
        <w:t xml:space="preserve"> przedstawionych przez skarżące spółki na poparcie swojego roszczenia na poziomie Izby i powyższych kryteriów Trybunał uważa, że</w:t>
      </w:r>
      <w:r w:rsidR="00C41CE5">
        <w:t> </w:t>
      </w:r>
      <w:r w:rsidR="008E4DD7">
        <w:t>rozsądne jest zasądzenie kwoty 9500 EUR (z VAT) na pokrycie kosztów poniesionych przed sądami krajowymi i Izbą.</w:t>
      </w:r>
    </w:p>
    <w:p w14:paraId="1161966B" w14:textId="77777777" w:rsidR="008E4DD7" w:rsidRPr="009C4D21" w:rsidRDefault="008E4DD7" w:rsidP="00FC2206">
      <w:pPr>
        <w:pStyle w:val="ECHRHeading2"/>
        <w:rPr>
          <w:sz w:val="24"/>
        </w:rPr>
      </w:pPr>
      <w:r w:rsidRPr="009C4D21">
        <w:rPr>
          <w:sz w:val="24"/>
        </w:rPr>
        <w:t>C. Odsetki z tytułu zwłoki.</w:t>
      </w:r>
    </w:p>
    <w:p w14:paraId="67D43506" w14:textId="024570E9" w:rsidR="008E4DD7" w:rsidRPr="00841658" w:rsidRDefault="005A22F3" w:rsidP="007365DD">
      <w:pPr>
        <w:pStyle w:val="ECHRPara"/>
      </w:pPr>
      <w:r>
        <w:t>223</w:t>
      </w:r>
      <w:r w:rsidR="008E4DD7">
        <w:t>.</w:t>
      </w:r>
      <w:r>
        <w:t xml:space="preserve"> </w:t>
      </w:r>
      <w:r w:rsidR="008E4DD7">
        <w:t>Trybunał uważa, że odsetki z tytułu zwłoki należy ustalić zgodnie z</w:t>
      </w:r>
      <w:r w:rsidR="00C41CE5">
        <w:t> </w:t>
      </w:r>
      <w:r w:rsidR="008E4DD7">
        <w:t>marginalną stopą procentową Europejskiego</w:t>
      </w:r>
      <w:r w:rsidR="003C481F">
        <w:t xml:space="preserve"> Banku Centralnego, powiększoną</w:t>
      </w:r>
      <w:r w:rsidR="008E4DD7">
        <w:t xml:space="preserve"> o trzy punkty procentowe.</w:t>
      </w:r>
    </w:p>
    <w:p w14:paraId="5303232F" w14:textId="77777777" w:rsidR="008E4DD7" w:rsidRPr="00841658" w:rsidRDefault="008E4DD7" w:rsidP="00FC2206">
      <w:pPr>
        <w:pStyle w:val="ECHRTitle1"/>
      </w:pPr>
      <w:r>
        <w:t>Z TYCH PRZYCZYN TRYBUNAŁ</w:t>
      </w:r>
    </w:p>
    <w:p w14:paraId="3A69B384" w14:textId="3E48BEFE" w:rsidR="008E4DD7" w:rsidRPr="00841658" w:rsidRDefault="008E4DD7" w:rsidP="00CE225B">
      <w:pPr>
        <w:pStyle w:val="JuList"/>
      </w:pPr>
      <w:r>
        <w:t>1.</w:t>
      </w:r>
      <w:r w:rsidR="005A22F3">
        <w:t xml:space="preserve"> </w:t>
      </w:r>
      <w:r w:rsidR="003C481F">
        <w:t xml:space="preserve"> </w:t>
      </w:r>
      <w:r>
        <w:rPr>
          <w:i/>
          <w:iCs/>
        </w:rPr>
        <w:t>Od</w:t>
      </w:r>
      <w:r w:rsidR="003C481F">
        <w:rPr>
          <w:i/>
          <w:iCs/>
        </w:rPr>
        <w:t>dala</w:t>
      </w:r>
      <w:r>
        <w:t xml:space="preserve">, jednogłośnie, </w:t>
      </w:r>
      <w:r w:rsidR="009C4D21">
        <w:t xml:space="preserve">zastrzeżenia </w:t>
      </w:r>
      <w:r>
        <w:t>wstępne Rządu;</w:t>
      </w:r>
    </w:p>
    <w:p w14:paraId="0418A8F2" w14:textId="77777777" w:rsidR="008E4DD7" w:rsidRPr="00841658" w:rsidRDefault="008E4DD7" w:rsidP="00CE225B">
      <w:pPr>
        <w:pStyle w:val="JuList"/>
      </w:pPr>
    </w:p>
    <w:p w14:paraId="41160529" w14:textId="7E994BBD" w:rsidR="008E4DD7" w:rsidRPr="00841658" w:rsidRDefault="008E4DD7" w:rsidP="00CE225B">
      <w:pPr>
        <w:pStyle w:val="JuList"/>
      </w:pPr>
      <w:r>
        <w:t>2.</w:t>
      </w:r>
      <w:r w:rsidR="005A22F3">
        <w:t xml:space="preserve"> </w:t>
      </w:r>
      <w:r w:rsidR="003C481F" w:rsidRPr="003C481F">
        <w:rPr>
          <w:i/>
        </w:rPr>
        <w:t>Orzeka</w:t>
      </w:r>
      <w:r>
        <w:t>, stosunkiem głosów piętnastu do dwóch, że nie doszło do</w:t>
      </w:r>
      <w:r w:rsidR="00C41CE5">
        <w:t> </w:t>
      </w:r>
      <w:r>
        <w:t>naruszenia art. 10 Konwencji;</w:t>
      </w:r>
    </w:p>
    <w:p w14:paraId="04D0C70C" w14:textId="77777777" w:rsidR="008E4DD7" w:rsidRPr="00841658" w:rsidRDefault="008E4DD7" w:rsidP="00CE225B">
      <w:pPr>
        <w:pStyle w:val="JuList"/>
      </w:pPr>
    </w:p>
    <w:p w14:paraId="5870BFF8" w14:textId="223A4711" w:rsidR="008E4DD7" w:rsidRPr="00841658" w:rsidRDefault="008E4DD7" w:rsidP="00CE225B">
      <w:pPr>
        <w:pStyle w:val="JuList"/>
      </w:pPr>
      <w:r>
        <w:t>3.</w:t>
      </w:r>
      <w:r w:rsidR="003C481F">
        <w:t xml:space="preserve">  </w:t>
      </w:r>
      <w:r w:rsidR="003C481F">
        <w:rPr>
          <w:i/>
        </w:rPr>
        <w:t>Orzeka</w:t>
      </w:r>
      <w:r>
        <w:t>, stosunkiem głosów piętnastu do dwóch, że doszło do naruszenia art. 6 ust. 1 Konwencji;</w:t>
      </w:r>
    </w:p>
    <w:p w14:paraId="7881782A" w14:textId="77777777" w:rsidR="008E4DD7" w:rsidRPr="00841658" w:rsidRDefault="008E4DD7" w:rsidP="00CE225B">
      <w:pPr>
        <w:pStyle w:val="JuList"/>
      </w:pPr>
    </w:p>
    <w:p w14:paraId="19EBD2C1" w14:textId="15CB7116" w:rsidR="008E4DD7" w:rsidRPr="00841658" w:rsidRDefault="008E4DD7" w:rsidP="00CE225B">
      <w:pPr>
        <w:pStyle w:val="JuList"/>
      </w:pPr>
      <w:r>
        <w:t>4.</w:t>
      </w:r>
      <w:r w:rsidR="005A22F3">
        <w:t xml:space="preserve"> </w:t>
      </w:r>
      <w:r w:rsidR="003C481F" w:rsidRPr="003C481F">
        <w:rPr>
          <w:i/>
        </w:rPr>
        <w:t>Orzeka</w:t>
      </w:r>
      <w:r>
        <w:t>, stosunkiem głosów czternastu do trzech,</w:t>
      </w:r>
    </w:p>
    <w:p w14:paraId="0700F462" w14:textId="035CF392" w:rsidR="008E4DD7" w:rsidRPr="00841658" w:rsidRDefault="008E4DD7" w:rsidP="00B95D89">
      <w:pPr>
        <w:pStyle w:val="JuLista"/>
      </w:pPr>
      <w:r>
        <w:t>(a) że pozwane Państwo winno zapłacić skarżącym spółkom w te</w:t>
      </w:r>
      <w:r w:rsidR="00F6710B">
        <w:t>rminie trzech miesięcy, kwotę 9</w:t>
      </w:r>
      <w:r>
        <w:t xml:space="preserve">500 EUR (dziewięć tysięcy pięćset euro) </w:t>
      </w:r>
      <w:r>
        <w:lastRenderedPageBreak/>
        <w:t>wraz</w:t>
      </w:r>
      <w:r w:rsidR="00C41CE5">
        <w:t> </w:t>
      </w:r>
      <w:r>
        <w:t>z</w:t>
      </w:r>
      <w:r w:rsidR="00C41CE5">
        <w:t> </w:t>
      </w:r>
      <w:r>
        <w:t>podatkami, jakie mogą być należne, z tytułu kosztów i</w:t>
      </w:r>
      <w:r w:rsidR="00C41CE5">
        <w:t> </w:t>
      </w:r>
      <w:r>
        <w:t>wydatków;</w:t>
      </w:r>
    </w:p>
    <w:p w14:paraId="4AAC04E7" w14:textId="25D7F2A9" w:rsidR="008E4DD7" w:rsidRPr="00841658" w:rsidRDefault="008E4DD7" w:rsidP="00CE225B">
      <w:pPr>
        <w:pStyle w:val="JuLista"/>
      </w:pPr>
      <w:r>
        <w:t xml:space="preserve">(b) </w:t>
      </w:r>
      <w:r w:rsidR="002047EF">
        <w:t xml:space="preserve">że </w:t>
      </w:r>
      <w:r>
        <w:t xml:space="preserve">od </w:t>
      </w:r>
      <w:r w:rsidR="003C481F">
        <w:t xml:space="preserve">upływu </w:t>
      </w:r>
      <w:r>
        <w:t xml:space="preserve">powyższego trzymiesięcznego terminu </w:t>
      </w:r>
      <w:r w:rsidRPr="0058615A">
        <w:t xml:space="preserve">aż do momentu uregulowania należności, </w:t>
      </w:r>
      <w:r w:rsidR="0035433F">
        <w:t>płatne</w:t>
      </w:r>
      <w:r w:rsidRPr="0058615A">
        <w:t xml:space="preserve"> będą odsetki zwykłe od określon</w:t>
      </w:r>
      <w:r>
        <w:t>ych powyżej kwot</w:t>
      </w:r>
      <w:r w:rsidRPr="0058615A">
        <w:t>, naliczone według stopy równej marginalnej stopie procentowej Europejskiego Banku Centralnego obowiązującej w</w:t>
      </w:r>
      <w:r w:rsidR="00C41CE5">
        <w:t> </w:t>
      </w:r>
      <w:r w:rsidRPr="0058615A">
        <w:t>tym</w:t>
      </w:r>
      <w:r w:rsidR="00C41CE5">
        <w:t> </w:t>
      </w:r>
      <w:r w:rsidRPr="0058615A">
        <w:t>okresie, powiększonej o trzy punkty procentowe</w:t>
      </w:r>
      <w:r>
        <w:t>;</w:t>
      </w:r>
    </w:p>
    <w:p w14:paraId="4444FFB0" w14:textId="77777777" w:rsidR="008E4DD7" w:rsidRPr="00841658" w:rsidRDefault="008E4DD7" w:rsidP="00CE225B">
      <w:pPr>
        <w:pStyle w:val="JuList"/>
      </w:pPr>
    </w:p>
    <w:p w14:paraId="2611E0C0" w14:textId="4ECEF52B" w:rsidR="008E4DD7" w:rsidRPr="00841658" w:rsidRDefault="008E4DD7" w:rsidP="00CE225B">
      <w:pPr>
        <w:pStyle w:val="JuList"/>
      </w:pPr>
      <w:r>
        <w:t>5.</w:t>
      </w:r>
      <w:r w:rsidR="005A22F3">
        <w:t xml:space="preserve"> </w:t>
      </w:r>
      <w:r>
        <w:rPr>
          <w:i/>
          <w:iCs/>
        </w:rPr>
        <w:t>Oddala</w:t>
      </w:r>
      <w:r w:rsidR="002047EF">
        <w:rPr>
          <w:i/>
          <w:iCs/>
        </w:rPr>
        <w:t xml:space="preserve">, </w:t>
      </w:r>
      <w:r w:rsidR="002047EF" w:rsidRPr="002047EF">
        <w:rPr>
          <w:iCs/>
        </w:rPr>
        <w:t>stosunkiem głosów piętnastu do dwóch,</w:t>
      </w:r>
      <w:r>
        <w:t xml:space="preserve"> pozostał</w:t>
      </w:r>
      <w:r w:rsidR="002047EF">
        <w:t>ą część żądania skarżących spółek</w:t>
      </w:r>
      <w:r>
        <w:t xml:space="preserve"> dotycząc</w:t>
      </w:r>
      <w:r w:rsidR="004921CD">
        <w:t>ego</w:t>
      </w:r>
      <w:r>
        <w:t xml:space="preserve"> </w:t>
      </w:r>
      <w:r w:rsidR="002047EF">
        <w:t xml:space="preserve">słusznego </w:t>
      </w:r>
      <w:r>
        <w:t>zadośćuczynienia.</w:t>
      </w:r>
    </w:p>
    <w:p w14:paraId="16E7E91D" w14:textId="4451A029" w:rsidR="008E4DD7" w:rsidRPr="00841658" w:rsidRDefault="008E4DD7" w:rsidP="003C7E05">
      <w:pPr>
        <w:pStyle w:val="JuParaLast"/>
      </w:pPr>
      <w:r>
        <w:t xml:space="preserve">Sporządzono w języku angielskim i francuskim oraz ogłoszono podczas rozprawy jawnej w </w:t>
      </w:r>
      <w:r w:rsidR="00747E56" w:rsidRPr="00747E56">
        <w:t>Pałacu Praw Człowieka</w:t>
      </w:r>
      <w:r>
        <w:t xml:space="preserve"> </w:t>
      </w:r>
      <w:r w:rsidR="003D1AA0">
        <w:t xml:space="preserve">w </w:t>
      </w:r>
      <w:r>
        <w:t>Strasburg</w:t>
      </w:r>
      <w:r w:rsidR="003D1AA0">
        <w:t xml:space="preserve">u </w:t>
      </w:r>
      <w:r>
        <w:t>w dniu 27</w:t>
      </w:r>
      <w:r w:rsidR="00947B5B">
        <w:t> </w:t>
      </w:r>
      <w:r>
        <w:t>czerwca 2017 r.</w:t>
      </w:r>
    </w:p>
    <w:p w14:paraId="59E6BC53" w14:textId="77777777" w:rsidR="008E4DD7" w:rsidRPr="00841658" w:rsidRDefault="008E4DD7" w:rsidP="000748B3">
      <w:pPr>
        <w:pStyle w:val="JuSigned"/>
      </w:pPr>
      <w:r>
        <w:tab/>
        <w:t xml:space="preserve">Lawrence </w:t>
      </w:r>
      <w:proofErr w:type="spellStart"/>
      <w:r>
        <w:t>Early</w:t>
      </w:r>
      <w:proofErr w:type="spellEnd"/>
      <w:r>
        <w:tab/>
        <w:t>András Sajó</w:t>
      </w:r>
      <w:r>
        <w:br/>
      </w:r>
      <w:r>
        <w:tab/>
        <w:t>Radca prawny [</w:t>
      </w:r>
      <w:proofErr w:type="spellStart"/>
      <w:r w:rsidRPr="00841658">
        <w:rPr>
          <w:i/>
          <w:iCs/>
        </w:rPr>
        <w:t>Jurisconsult</w:t>
      </w:r>
      <w:proofErr w:type="spellEnd"/>
      <w:r w:rsidRPr="00463E62">
        <w:t>]</w:t>
      </w:r>
      <w:r>
        <w:tab/>
        <w:t>Przewodniczący</w:t>
      </w:r>
    </w:p>
    <w:p w14:paraId="03D39E3D" w14:textId="1786B546" w:rsidR="008E4DD7" w:rsidRPr="00841658" w:rsidRDefault="008E4DD7" w:rsidP="004A0986">
      <w:pPr>
        <w:pStyle w:val="JuParaLast"/>
      </w:pPr>
      <w:r>
        <w:t xml:space="preserve">Zgodnie z </w:t>
      </w:r>
      <w:r w:rsidR="00F6710B">
        <w:t>art.</w:t>
      </w:r>
      <w:r>
        <w:t xml:space="preserve"> 45 </w:t>
      </w:r>
      <w:r w:rsidR="00F6710B">
        <w:t>ust.</w:t>
      </w:r>
      <w:r>
        <w:t xml:space="preserve"> 2 Konwencji i </w:t>
      </w:r>
      <w:r w:rsidR="00F6710B">
        <w:t>Reguł</w:t>
      </w:r>
      <w:r>
        <w:t>ą 74 § 2 Regulaminu Trybunału następujące zdania odrębne zostały załączone do niniejszego wyroku:</w:t>
      </w:r>
    </w:p>
    <w:p w14:paraId="686A34B8" w14:textId="3264C89B" w:rsidR="008E4DD7" w:rsidRPr="00841658" w:rsidRDefault="008E4DD7" w:rsidP="004A0986">
      <w:pPr>
        <w:pStyle w:val="JuParaLast"/>
      </w:pPr>
      <w:r>
        <w:t>(a)</w:t>
      </w:r>
      <w:r w:rsidR="005A22F3">
        <w:t xml:space="preserve"> </w:t>
      </w:r>
      <w:r w:rsidR="00965AF5">
        <w:t>w</w:t>
      </w:r>
      <w:r>
        <w:t xml:space="preserve">spólna częściowo </w:t>
      </w:r>
      <w:r w:rsidR="004921CD">
        <w:t xml:space="preserve">rozbieżna </w:t>
      </w:r>
      <w:r>
        <w:t xml:space="preserve">opinia </w:t>
      </w:r>
      <w:r w:rsidR="004921CD">
        <w:t xml:space="preserve">odrębna </w:t>
      </w:r>
      <w:r>
        <w:t xml:space="preserve">sędziów: </w:t>
      </w:r>
      <w:proofErr w:type="spellStart"/>
      <w:r>
        <w:t>Nußberger</w:t>
      </w:r>
      <w:proofErr w:type="spellEnd"/>
      <w:r>
        <w:t xml:space="preserve"> i</w:t>
      </w:r>
      <w:r w:rsidR="00947B5B">
        <w:t> </w:t>
      </w:r>
      <w:r>
        <w:t>Lópeza Guerry;</w:t>
      </w:r>
    </w:p>
    <w:p w14:paraId="4D755747" w14:textId="5F70B6D3" w:rsidR="008E4DD7" w:rsidRPr="00841658" w:rsidRDefault="008E4DD7" w:rsidP="00B12DE3">
      <w:pPr>
        <w:pStyle w:val="JuParaLast"/>
        <w:spacing w:before="0"/>
      </w:pPr>
      <w:r>
        <w:t>(b)</w:t>
      </w:r>
      <w:r w:rsidR="005A22F3">
        <w:t xml:space="preserve"> </w:t>
      </w:r>
      <w:r w:rsidR="00965AF5">
        <w:t>r</w:t>
      </w:r>
      <w:r w:rsidR="004921CD">
        <w:t>ozbieżna o</w:t>
      </w:r>
      <w:r>
        <w:t>pinia odrębna sędziów: Sajó i Karakaş.</w:t>
      </w:r>
    </w:p>
    <w:p w14:paraId="29A20FDE" w14:textId="77777777" w:rsidR="008E4DD7" w:rsidRDefault="008E4DD7" w:rsidP="000748B3">
      <w:pPr>
        <w:pStyle w:val="JuInitialled"/>
        <w:rPr>
          <w:rStyle w:val="JuNames0"/>
        </w:rPr>
      </w:pPr>
      <w:r>
        <w:t>A.S.</w:t>
      </w:r>
      <w:r>
        <w:br/>
        <w:t>T.L.E</w:t>
      </w:r>
      <w:r>
        <w:rPr>
          <w:rStyle w:val="JuNames0"/>
        </w:rPr>
        <w:t>.</w:t>
      </w:r>
    </w:p>
    <w:p w14:paraId="49477FA7" w14:textId="77777777" w:rsidR="008E4DD7" w:rsidRPr="008E724B" w:rsidRDefault="008E4DD7" w:rsidP="008E724B">
      <w:pPr>
        <w:pStyle w:val="JuInitialled"/>
        <w:spacing w:before="480"/>
        <w:jc w:val="center"/>
        <w:rPr>
          <w:i/>
          <w:iCs/>
        </w:rPr>
      </w:pPr>
      <w:r>
        <w:rPr>
          <w:i/>
          <w:iCs/>
        </w:rPr>
        <w:t>[Opinie odrębne zostały pominięte w niniejszym tłumaczeniu.</w:t>
      </w:r>
      <w:r>
        <w:rPr>
          <w:rStyle w:val="JuNames0"/>
          <w:i/>
          <w:iCs/>
        </w:rPr>
        <w:t>]</w:t>
      </w:r>
      <w:r>
        <w:rPr>
          <w:i/>
          <w:iCs/>
        </w:rPr>
        <w:t xml:space="preserve"> </w:t>
      </w:r>
    </w:p>
    <w:sectPr w:rsidR="008E4DD7" w:rsidRPr="008E724B" w:rsidSect="00C93D66">
      <w:headerReference w:type="even" r:id="rId15"/>
      <w:headerReference w:type="default" r:id="rId16"/>
      <w:footnotePr>
        <w:numRestart w:val="eachSect"/>
      </w:footnotePr>
      <w:pgSz w:w="11906" w:h="16838" w:code="9"/>
      <w:pgMar w:top="2274" w:right="2267" w:bottom="2274" w:left="2274" w:header="1701"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920F6" w14:textId="77777777" w:rsidR="002533C6" w:rsidRPr="009E0462" w:rsidRDefault="002533C6" w:rsidP="00DC4033">
      <w:pPr>
        <w:rPr>
          <w:lang w:val="en-GB"/>
        </w:rPr>
      </w:pPr>
      <w:r w:rsidRPr="009E0462">
        <w:rPr>
          <w:lang w:val="en-GB"/>
        </w:rPr>
        <w:separator/>
      </w:r>
    </w:p>
  </w:endnote>
  <w:endnote w:type="continuationSeparator" w:id="0">
    <w:p w14:paraId="101A6C4D" w14:textId="77777777" w:rsidR="002533C6" w:rsidRPr="009E0462" w:rsidRDefault="002533C6" w:rsidP="00DC4033">
      <w:pPr>
        <w:rPr>
          <w:lang w:val="en-GB"/>
        </w:rPr>
      </w:pPr>
      <w:r w:rsidRPr="009E0462">
        <w:rPr>
          <w:lang w:val="en-GB"/>
        </w:rPr>
        <w:continuationSeparator/>
      </w:r>
    </w:p>
  </w:endnote>
  <w:endnote w:type="continuationNotice" w:id="1">
    <w:p w14:paraId="46F37CC2" w14:textId="77777777" w:rsidR="002533C6" w:rsidRDefault="00253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81AA" w14:textId="77777777" w:rsidR="00567584" w:rsidRDefault="005675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6349" w14:textId="0912F67A" w:rsidR="00567584" w:rsidRPr="00150BFA" w:rsidRDefault="00567584" w:rsidP="00DE2C4C">
    <w:pPr>
      <w:jc w:val="center"/>
    </w:pPr>
  </w:p>
  <w:p w14:paraId="6804C195" w14:textId="77777777" w:rsidR="00567584" w:rsidRPr="00A737D1" w:rsidRDefault="00567584" w:rsidP="00A737D1">
    <w:pPr>
      <w:pStyle w:val="Stopka"/>
      <w:jc w:val="center"/>
      <w:rPr>
        <w:sz w:val="4"/>
        <w:szCs w:val="4"/>
        <w:lang w:val="en-GB"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4EB" w14:textId="77777777" w:rsidR="00567584" w:rsidRDefault="00567584" w:rsidP="00DD075B">
    <w:pPr>
      <w:pStyle w:val="Stopka"/>
      <w:jc w:val="center"/>
    </w:pPr>
    <w:r>
      <w:rPr>
        <w:noProof/>
      </w:rPr>
      <w:drawing>
        <wp:inline distT="0" distB="0" distL="0" distR="0" wp14:anchorId="779974F9" wp14:editId="55297C00">
          <wp:extent cx="762000" cy="61722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72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BF731" w14:textId="77777777" w:rsidR="002533C6" w:rsidRPr="009E0462" w:rsidRDefault="002533C6" w:rsidP="00DC4033">
      <w:pPr>
        <w:rPr>
          <w:lang w:val="en-GB"/>
        </w:rPr>
      </w:pPr>
      <w:r w:rsidRPr="009E0462">
        <w:rPr>
          <w:lang w:val="en-GB"/>
        </w:rPr>
        <w:separator/>
      </w:r>
    </w:p>
  </w:footnote>
  <w:footnote w:type="continuationSeparator" w:id="0">
    <w:p w14:paraId="7883AA19" w14:textId="77777777" w:rsidR="002533C6" w:rsidRPr="009E0462" w:rsidRDefault="002533C6" w:rsidP="00DC4033">
      <w:pPr>
        <w:rPr>
          <w:lang w:val="en-GB"/>
        </w:rPr>
      </w:pPr>
      <w:r w:rsidRPr="009E0462">
        <w:rPr>
          <w:lang w:val="en-GB"/>
        </w:rPr>
        <w:continuationSeparator/>
      </w:r>
    </w:p>
  </w:footnote>
  <w:footnote w:type="continuationNotice" w:id="1">
    <w:p w14:paraId="15080F1A" w14:textId="77777777" w:rsidR="002533C6" w:rsidRDefault="002533C6"/>
  </w:footnote>
  <w:footnote w:id="2">
    <w:p w14:paraId="56F918DC" w14:textId="77777777" w:rsidR="00567584" w:rsidRPr="00574C8E" w:rsidRDefault="00567584" w:rsidP="00682F40">
      <w:pPr>
        <w:pStyle w:val="s50c0b1c7"/>
        <w:spacing w:before="0" w:beforeAutospacing="0" w:after="120" w:afterAutospacing="0"/>
        <w:jc w:val="both"/>
        <w:rPr>
          <w:lang w:val="en-GB"/>
        </w:rPr>
      </w:pPr>
      <w:r>
        <w:rPr>
          <w:rStyle w:val="Odwoanieprzypisudolnego"/>
          <w:sz w:val="20"/>
          <w:szCs w:val="20"/>
        </w:rPr>
        <w:footnoteRef/>
      </w:r>
      <w:r>
        <w:t xml:space="preserve"> </w:t>
      </w:r>
      <w:r>
        <w:rPr>
          <w:sz w:val="20"/>
          <w:szCs w:val="20"/>
        </w:rPr>
        <w:t>Źródło: Nota informacyjna na temat orzecznictwa Trybunału nr 208, czerwiec 2017 r. (</w:t>
      </w:r>
      <w:r>
        <w:rPr>
          <w:rStyle w:val="s3aeeab2"/>
          <w:i/>
          <w:iCs/>
          <w:sz w:val="20"/>
          <w:szCs w:val="20"/>
        </w:rPr>
        <w:t xml:space="preserve">Information Note 208. </w:t>
      </w:r>
      <w:r w:rsidRPr="00007C9B">
        <w:rPr>
          <w:rStyle w:val="s3aeeab2"/>
          <w:i/>
          <w:iCs/>
          <w:sz w:val="20"/>
          <w:szCs w:val="20"/>
          <w:lang w:val="en-US"/>
        </w:rPr>
        <w:t>Case-law of the European Court of Human Rights, June</w:t>
      </w:r>
      <w:r w:rsidRPr="00007C9B">
        <w:rPr>
          <w:rStyle w:val="sfbbfee58"/>
          <w:i/>
          <w:iCs/>
          <w:sz w:val="20"/>
          <w:szCs w:val="20"/>
          <w:lang w:val="en-US"/>
        </w:rPr>
        <w:t> 2017).</w:t>
      </w:r>
    </w:p>
  </w:footnote>
  <w:footnote w:id="3">
    <w:p w14:paraId="63512AC8" w14:textId="3708D798" w:rsidR="00567584" w:rsidRDefault="00567584" w:rsidP="009F5365">
      <w:pPr>
        <w:pStyle w:val="Tekstprzypisudolnego"/>
      </w:pPr>
      <w:r>
        <w:rPr>
          <w:rStyle w:val="Odwoanieprzypisudolnego"/>
        </w:rPr>
        <w:footnoteRef/>
      </w:r>
      <w:r>
        <w:t xml:space="preserve"> Dyrektywa 95/46/WE Parlamentu Europejskiego i Rady z dnia 24 października 1995 r. w</w:t>
      </w:r>
      <w:r w:rsidR="006346F5">
        <w:t> </w:t>
      </w:r>
      <w:r>
        <w:t>sprawie ochrony osób fizycznych w zakresie przetwarzania danych osobowych i swobodnego przepływu tych danych [przyp. tłum.].</w:t>
      </w:r>
    </w:p>
  </w:footnote>
  <w:footnote w:id="4">
    <w:p w14:paraId="3BE326EE" w14:textId="77777777" w:rsidR="00567584" w:rsidRDefault="00567584">
      <w:pPr>
        <w:pStyle w:val="Tekstprzypisudolnego"/>
      </w:pPr>
      <w:r>
        <w:rPr>
          <w:rStyle w:val="Odwoanieprzypisudolnego"/>
        </w:rPr>
        <w:footnoteRef/>
      </w:r>
      <w:r>
        <w:t xml:space="preserve"> </w:t>
      </w:r>
      <w:r w:rsidRPr="00DA0BAD">
        <w:t xml:space="preserve">Konwencja </w:t>
      </w:r>
      <w:r>
        <w:t>n</w:t>
      </w:r>
      <w:r w:rsidRPr="00DA0BAD">
        <w:t>r 108 Rady Europy o ochronie osób w związku z automatycznym przetwarzaniem danych osobowych, sporządzona w Strasburgu dnia 28 stycznia 1981 r.</w:t>
      </w:r>
      <w:r>
        <w:t xml:space="preserve"> [przyp. tłum.]</w:t>
      </w:r>
    </w:p>
  </w:footnote>
  <w:footnote w:id="5">
    <w:p w14:paraId="14593DFF" w14:textId="77777777" w:rsidR="00567584" w:rsidRDefault="00567584">
      <w:pPr>
        <w:pStyle w:val="Tekstprzypisudolnego"/>
      </w:pPr>
      <w:r>
        <w:rPr>
          <w:rStyle w:val="Odwoanieprzypisudolnego"/>
        </w:rPr>
        <w:footnoteRef/>
      </w:r>
      <w:r>
        <w:t xml:space="preserve"> </w:t>
      </w:r>
      <w:r w:rsidRPr="001B5D23">
        <w:t>Rozporządzenie Parlamentu Europejskiego i Rady (UE) 2016/679 z dnia 27 kwietnia 2016 r. w sprawie ochrony osób fizycznych w związku z przetwarzaniem danych osobowych i w sprawie swobodnego przepływu takich danych oraz uchylenia dyrektywy 95/46/WE</w:t>
      </w:r>
      <w:r>
        <w:t xml:space="preserve"> [przyp. tłum.].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28B1" w14:textId="77777777" w:rsidR="00567584" w:rsidRDefault="005675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1827" w14:textId="77777777" w:rsidR="00567584" w:rsidRPr="00A45145" w:rsidRDefault="00567584" w:rsidP="00DE2C4C">
    <w:pPr>
      <w:jc w:val="center"/>
    </w:pPr>
    <w:r>
      <w:rPr>
        <w:noProof/>
        <w:lang w:eastAsia="pl-PL"/>
      </w:rPr>
      <w:drawing>
        <wp:inline distT="0" distB="0" distL="0" distR="0" wp14:anchorId="54BC9E4F" wp14:editId="63120DEB">
          <wp:extent cx="2956560"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1219200"/>
                  </a:xfrm>
                  <a:prstGeom prst="rect">
                    <a:avLst/>
                  </a:prstGeom>
                  <a:noFill/>
                  <a:ln>
                    <a:noFill/>
                  </a:ln>
                </pic:spPr>
              </pic:pic>
            </a:graphicData>
          </a:graphic>
        </wp:inline>
      </w:drawing>
    </w:r>
  </w:p>
  <w:p w14:paraId="51397DA3" w14:textId="77777777" w:rsidR="00567584" w:rsidRDefault="00567584" w:rsidP="00DE2C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87C7" w14:textId="77777777" w:rsidR="00567584" w:rsidRDefault="00567584" w:rsidP="00DD075B">
    <w:pPr>
      <w:pStyle w:val="Nagwek"/>
      <w:jc w:val="center"/>
    </w:pPr>
    <w:r>
      <w:rPr>
        <w:noProof/>
      </w:rPr>
      <w:drawing>
        <wp:inline distT="0" distB="0" distL="0" distR="0" wp14:anchorId="46ACECAD" wp14:editId="73008FC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EEAB1" w14:textId="77777777" w:rsidR="00567584" w:rsidRPr="00856BCF" w:rsidRDefault="00567584" w:rsidP="007612A8">
    <w:pPr>
      <w:pStyle w:val="ECHRHeader"/>
    </w:pPr>
    <w:r w:rsidRPr="00856BCF">
      <w:rPr>
        <w:rStyle w:val="Numerstrony"/>
      </w:rPr>
      <w:fldChar w:fldCharType="begin"/>
    </w:r>
    <w:r w:rsidRPr="00856BCF">
      <w:rPr>
        <w:rStyle w:val="Numerstrony"/>
      </w:rPr>
      <w:instrText xml:space="preserve"> PAGE </w:instrText>
    </w:r>
    <w:r w:rsidRPr="00856BCF">
      <w:rPr>
        <w:rStyle w:val="Numerstrony"/>
      </w:rPr>
      <w:fldChar w:fldCharType="separate"/>
    </w:r>
    <w:r w:rsidR="006346F5">
      <w:rPr>
        <w:rStyle w:val="Numerstrony"/>
        <w:noProof/>
      </w:rPr>
      <w:t>38</w:t>
    </w:r>
    <w:r w:rsidRPr="00856BCF">
      <w:rPr>
        <w:rStyle w:val="Numerstrony"/>
      </w:rPr>
      <w:fldChar w:fldCharType="end"/>
    </w:r>
    <w:r>
      <w:tab/>
      <w:t>WYROK W SPRAWIE SATAKUNNAN MARKKINAPÖRSSI OY I SATAMEDIA OY</w:t>
    </w:r>
  </w:p>
  <w:p w14:paraId="252E74B9" w14:textId="77777777" w:rsidR="00567584" w:rsidRPr="007612A8" w:rsidRDefault="00567584" w:rsidP="007612A8">
    <w:pPr>
      <w:pStyle w:val="ECHRHeader"/>
    </w:pPr>
    <w:r>
      <w:tab/>
      <w:t>PRZECIWKO FINLANDII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C407" w14:textId="77777777" w:rsidR="00567584" w:rsidRPr="00856BCF" w:rsidRDefault="00567584" w:rsidP="005C0D8A">
    <w:pPr>
      <w:pStyle w:val="ECHRHeader"/>
      <w:jc w:val="center"/>
      <w:rPr>
        <w:lang w:val="fi-FI"/>
      </w:rPr>
    </w:pPr>
    <w:r>
      <w:rPr>
        <w:lang w:val="fi-FI"/>
      </w:rPr>
      <w:tab/>
    </w:r>
    <w:r>
      <w:t>WYROK W SPRAWIE SATAKUNNAN MARKKINAPÖRSSI OY I SATAMEDIA OY</w:t>
    </w:r>
    <w:r w:rsidRPr="00E9349C">
      <w:rPr>
        <w:lang w:val="fi-FI"/>
      </w:rPr>
      <w:tab/>
    </w:r>
    <w:r w:rsidRPr="007612A8">
      <w:rPr>
        <w:rStyle w:val="Numerstrony"/>
      </w:rPr>
      <w:fldChar w:fldCharType="begin"/>
    </w:r>
    <w:r w:rsidRPr="00E9349C">
      <w:rPr>
        <w:rStyle w:val="Numerstrony"/>
        <w:lang w:val="fi-FI"/>
      </w:rPr>
      <w:instrText xml:space="preserve"> PAGE </w:instrText>
    </w:r>
    <w:r w:rsidRPr="007612A8">
      <w:rPr>
        <w:rStyle w:val="Numerstrony"/>
      </w:rPr>
      <w:fldChar w:fldCharType="separate"/>
    </w:r>
    <w:r w:rsidR="006346F5">
      <w:rPr>
        <w:rStyle w:val="Numerstrony"/>
        <w:noProof/>
        <w:lang w:val="fi-FI"/>
      </w:rPr>
      <w:t>37</w:t>
    </w:r>
    <w:r w:rsidRPr="007612A8">
      <w:rPr>
        <w:rStyle w:val="Numerstrony"/>
      </w:rPr>
      <w:fldChar w:fldCharType="end"/>
    </w:r>
  </w:p>
  <w:p w14:paraId="125AF898" w14:textId="38358F84" w:rsidR="00567584" w:rsidRPr="007612A8" w:rsidRDefault="00567584" w:rsidP="005C0D8A">
    <w:pPr>
      <w:pStyle w:val="ECHRHeader"/>
      <w:jc w:val="center"/>
    </w:pPr>
    <w:r>
      <w:t>PRZECIWKO FINLANDII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0303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574EE562"/>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8BE1DE4"/>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D49C1F36"/>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80F83F58"/>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5">
    <w:nsid w:val="FFFFFF81"/>
    <w:multiLevelType w:val="singleLevel"/>
    <w:tmpl w:val="46D2623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6">
    <w:nsid w:val="FFFFFF82"/>
    <w:multiLevelType w:val="singleLevel"/>
    <w:tmpl w:val="6B88B370"/>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7">
    <w:nsid w:val="FFFFFF83"/>
    <w:multiLevelType w:val="singleLevel"/>
    <w:tmpl w:val="175C667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
    <w:nsid w:val="FFFFFF88"/>
    <w:multiLevelType w:val="singleLevel"/>
    <w:tmpl w:val="BE56806E"/>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9CE69882"/>
    <w:lvl w:ilvl="0">
      <w:start w:val="1"/>
      <w:numFmt w:val="bullet"/>
      <w:pStyle w:val="JuAppQuestion"/>
      <w:lvlText w:val=""/>
      <w:lvlJc w:val="left"/>
      <w:pPr>
        <w:tabs>
          <w:tab w:val="num" w:pos="360"/>
        </w:tabs>
        <w:ind w:left="360" w:hanging="360"/>
      </w:pPr>
      <w:rPr>
        <w:rFonts w:ascii="Symbol" w:hAnsi="Symbol" w:cs="Symbol" w:hint="default"/>
      </w:rPr>
    </w:lvl>
  </w:abstractNum>
  <w:abstractNum w:abstractNumId="10">
    <w:nsid w:val="0C3625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BE10E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107A40"/>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9466D8E"/>
    <w:multiLevelType w:val="multilevel"/>
    <w:tmpl w:val="040C0023"/>
    <w:styleLink w:val="ArticleSection"/>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7">
    <w:nsid w:val="6BAB492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16"/>
  </w:num>
  <w:num w:numId="32">
    <w:abstractNumId w:val="15"/>
  </w:num>
  <w:num w:numId="33">
    <w:abstractNumId w:val="14"/>
  </w:num>
  <w:num w:numId="34">
    <w:abstractNumId w:val="13"/>
  </w:num>
  <w:num w:numId="35">
    <w:abstractNumId w:val="17"/>
  </w:num>
  <w:num w:numId="36">
    <w:abstractNumId w:val="12"/>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hyphenationZone w:val="425"/>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E2C4C"/>
    <w:rsid w:val="00002A99"/>
    <w:rsid w:val="000041F8"/>
    <w:rsid w:val="000042A8"/>
    <w:rsid w:val="00004308"/>
    <w:rsid w:val="00005BF0"/>
    <w:rsid w:val="00007154"/>
    <w:rsid w:val="00007A11"/>
    <w:rsid w:val="00007C9B"/>
    <w:rsid w:val="000103AE"/>
    <w:rsid w:val="00011D69"/>
    <w:rsid w:val="00012AD3"/>
    <w:rsid w:val="00013696"/>
    <w:rsid w:val="00015C2D"/>
    <w:rsid w:val="00015F00"/>
    <w:rsid w:val="00022C1D"/>
    <w:rsid w:val="00022E3B"/>
    <w:rsid w:val="0003300B"/>
    <w:rsid w:val="00034976"/>
    <w:rsid w:val="00034987"/>
    <w:rsid w:val="000477C3"/>
    <w:rsid w:val="00057507"/>
    <w:rsid w:val="000602DF"/>
    <w:rsid w:val="00061B05"/>
    <w:rsid w:val="000632D5"/>
    <w:rsid w:val="000644EE"/>
    <w:rsid w:val="00064B4A"/>
    <w:rsid w:val="00065F6F"/>
    <w:rsid w:val="00067C20"/>
    <w:rsid w:val="0007207A"/>
    <w:rsid w:val="000748B3"/>
    <w:rsid w:val="00077C8E"/>
    <w:rsid w:val="00083D7F"/>
    <w:rsid w:val="00084F67"/>
    <w:rsid w:val="0008634F"/>
    <w:rsid w:val="000925AD"/>
    <w:rsid w:val="00093232"/>
    <w:rsid w:val="000977C5"/>
    <w:rsid w:val="000A24EB"/>
    <w:rsid w:val="000A31B4"/>
    <w:rsid w:val="000A6A0A"/>
    <w:rsid w:val="000B2877"/>
    <w:rsid w:val="000B6923"/>
    <w:rsid w:val="000C0AEB"/>
    <w:rsid w:val="000C3ED9"/>
    <w:rsid w:val="000C5F3C"/>
    <w:rsid w:val="000C6DCC"/>
    <w:rsid w:val="000D251D"/>
    <w:rsid w:val="000D47AA"/>
    <w:rsid w:val="000D5AD9"/>
    <w:rsid w:val="000D5C26"/>
    <w:rsid w:val="000D6248"/>
    <w:rsid w:val="000D721F"/>
    <w:rsid w:val="000E069B"/>
    <w:rsid w:val="000E0E82"/>
    <w:rsid w:val="000E11F4"/>
    <w:rsid w:val="000E1BE5"/>
    <w:rsid w:val="000E1DC5"/>
    <w:rsid w:val="000E223F"/>
    <w:rsid w:val="000E7D45"/>
    <w:rsid w:val="000F1963"/>
    <w:rsid w:val="000F7851"/>
    <w:rsid w:val="00104E23"/>
    <w:rsid w:val="001054DF"/>
    <w:rsid w:val="00111B0C"/>
    <w:rsid w:val="00120D6C"/>
    <w:rsid w:val="001237AA"/>
    <w:rsid w:val="001257EC"/>
    <w:rsid w:val="00130179"/>
    <w:rsid w:val="00131A20"/>
    <w:rsid w:val="00132636"/>
    <w:rsid w:val="00133D33"/>
    <w:rsid w:val="00134D64"/>
    <w:rsid w:val="00135A30"/>
    <w:rsid w:val="0013612C"/>
    <w:rsid w:val="00137FF6"/>
    <w:rsid w:val="00141650"/>
    <w:rsid w:val="00142EBC"/>
    <w:rsid w:val="0015003D"/>
    <w:rsid w:val="00150BFA"/>
    <w:rsid w:val="00153AF7"/>
    <w:rsid w:val="00160728"/>
    <w:rsid w:val="00162A12"/>
    <w:rsid w:val="00166530"/>
    <w:rsid w:val="001832BD"/>
    <w:rsid w:val="00185AE1"/>
    <w:rsid w:val="001923B9"/>
    <w:rsid w:val="00192C2F"/>
    <w:rsid w:val="00193392"/>
    <w:rsid w:val="001943B5"/>
    <w:rsid w:val="00195134"/>
    <w:rsid w:val="001A145B"/>
    <w:rsid w:val="001A4494"/>
    <w:rsid w:val="001A674C"/>
    <w:rsid w:val="001B3B24"/>
    <w:rsid w:val="001B50BB"/>
    <w:rsid w:val="001B5D23"/>
    <w:rsid w:val="001B6324"/>
    <w:rsid w:val="001C0DE2"/>
    <w:rsid w:val="001C0F98"/>
    <w:rsid w:val="001C1145"/>
    <w:rsid w:val="001C2A42"/>
    <w:rsid w:val="001C5675"/>
    <w:rsid w:val="001D2D5C"/>
    <w:rsid w:val="001D3801"/>
    <w:rsid w:val="001D63ED"/>
    <w:rsid w:val="001D68ED"/>
    <w:rsid w:val="001D7348"/>
    <w:rsid w:val="001E035B"/>
    <w:rsid w:val="001E0961"/>
    <w:rsid w:val="001E3EAE"/>
    <w:rsid w:val="001E5639"/>
    <w:rsid w:val="001E6F32"/>
    <w:rsid w:val="001F1CD9"/>
    <w:rsid w:val="001F2145"/>
    <w:rsid w:val="001F3653"/>
    <w:rsid w:val="001F6262"/>
    <w:rsid w:val="001F67AE"/>
    <w:rsid w:val="001F67B0"/>
    <w:rsid w:val="001F7B3D"/>
    <w:rsid w:val="0020297A"/>
    <w:rsid w:val="002047EF"/>
    <w:rsid w:val="00204C03"/>
    <w:rsid w:val="00205F9F"/>
    <w:rsid w:val="00210338"/>
    <w:rsid w:val="002115FC"/>
    <w:rsid w:val="00211FC0"/>
    <w:rsid w:val="0021423C"/>
    <w:rsid w:val="0021655C"/>
    <w:rsid w:val="00217CAC"/>
    <w:rsid w:val="00226E0F"/>
    <w:rsid w:val="002300F8"/>
    <w:rsid w:val="00230D00"/>
    <w:rsid w:val="00231DF7"/>
    <w:rsid w:val="00231FD1"/>
    <w:rsid w:val="002339E0"/>
    <w:rsid w:val="00233CF8"/>
    <w:rsid w:val="002344A6"/>
    <w:rsid w:val="00234840"/>
    <w:rsid w:val="00234ED4"/>
    <w:rsid w:val="0023575D"/>
    <w:rsid w:val="00236AC2"/>
    <w:rsid w:val="00237148"/>
    <w:rsid w:val="00240762"/>
    <w:rsid w:val="0024222D"/>
    <w:rsid w:val="00244B0E"/>
    <w:rsid w:val="00244F6C"/>
    <w:rsid w:val="002532C5"/>
    <w:rsid w:val="002533C6"/>
    <w:rsid w:val="0025391A"/>
    <w:rsid w:val="00260C03"/>
    <w:rsid w:val="002633A2"/>
    <w:rsid w:val="002652EB"/>
    <w:rsid w:val="0026540E"/>
    <w:rsid w:val="002675E7"/>
    <w:rsid w:val="00271720"/>
    <w:rsid w:val="00275123"/>
    <w:rsid w:val="00282240"/>
    <w:rsid w:val="002864BE"/>
    <w:rsid w:val="00292EFF"/>
    <w:rsid w:val="002948AD"/>
    <w:rsid w:val="002A01CC"/>
    <w:rsid w:val="002A61B1"/>
    <w:rsid w:val="002A663C"/>
    <w:rsid w:val="002B444B"/>
    <w:rsid w:val="002B5887"/>
    <w:rsid w:val="002B6008"/>
    <w:rsid w:val="002C0E27"/>
    <w:rsid w:val="002C3040"/>
    <w:rsid w:val="002C3AC9"/>
    <w:rsid w:val="002D022D"/>
    <w:rsid w:val="002D24BB"/>
    <w:rsid w:val="002D6F9F"/>
    <w:rsid w:val="002E1D51"/>
    <w:rsid w:val="002E1F46"/>
    <w:rsid w:val="002F2AF7"/>
    <w:rsid w:val="002F7E1C"/>
    <w:rsid w:val="003006BF"/>
    <w:rsid w:val="00301A75"/>
    <w:rsid w:val="00302F70"/>
    <w:rsid w:val="0030336F"/>
    <w:rsid w:val="0030375E"/>
    <w:rsid w:val="00312A30"/>
    <w:rsid w:val="0031474D"/>
    <w:rsid w:val="00315071"/>
    <w:rsid w:val="00320F72"/>
    <w:rsid w:val="0032463E"/>
    <w:rsid w:val="00326224"/>
    <w:rsid w:val="003279E0"/>
    <w:rsid w:val="003311CF"/>
    <w:rsid w:val="00336879"/>
    <w:rsid w:val="00337EE4"/>
    <w:rsid w:val="00340FFD"/>
    <w:rsid w:val="0034383F"/>
    <w:rsid w:val="0034611C"/>
    <w:rsid w:val="003506B1"/>
    <w:rsid w:val="0035433F"/>
    <w:rsid w:val="00356AC7"/>
    <w:rsid w:val="003609FA"/>
    <w:rsid w:val="0037081B"/>
    <w:rsid w:val="003710C8"/>
    <w:rsid w:val="003719AF"/>
    <w:rsid w:val="00371D96"/>
    <w:rsid w:val="00373ECF"/>
    <w:rsid w:val="003750BE"/>
    <w:rsid w:val="00383E04"/>
    <w:rsid w:val="0038408F"/>
    <w:rsid w:val="00386373"/>
    <w:rsid w:val="00387B9D"/>
    <w:rsid w:val="00392C09"/>
    <w:rsid w:val="0039364F"/>
    <w:rsid w:val="00396686"/>
    <w:rsid w:val="0039778E"/>
    <w:rsid w:val="003B446C"/>
    <w:rsid w:val="003B4941"/>
    <w:rsid w:val="003C3B97"/>
    <w:rsid w:val="003C42BF"/>
    <w:rsid w:val="003C481F"/>
    <w:rsid w:val="003C5714"/>
    <w:rsid w:val="003C6B9F"/>
    <w:rsid w:val="003C6E2A"/>
    <w:rsid w:val="003C7E05"/>
    <w:rsid w:val="003D0299"/>
    <w:rsid w:val="003D1AA0"/>
    <w:rsid w:val="003D315E"/>
    <w:rsid w:val="003D33F8"/>
    <w:rsid w:val="003D5F20"/>
    <w:rsid w:val="003D7AA3"/>
    <w:rsid w:val="003E3052"/>
    <w:rsid w:val="003E38F3"/>
    <w:rsid w:val="003E6D80"/>
    <w:rsid w:val="003F05FA"/>
    <w:rsid w:val="003F244A"/>
    <w:rsid w:val="003F2C58"/>
    <w:rsid w:val="003F30B8"/>
    <w:rsid w:val="003F4C45"/>
    <w:rsid w:val="003F5F7B"/>
    <w:rsid w:val="003F6D4E"/>
    <w:rsid w:val="003F7D64"/>
    <w:rsid w:val="004005F4"/>
    <w:rsid w:val="0040198C"/>
    <w:rsid w:val="00402125"/>
    <w:rsid w:val="00402A0E"/>
    <w:rsid w:val="00407352"/>
    <w:rsid w:val="00414300"/>
    <w:rsid w:val="00424A3B"/>
    <w:rsid w:val="00425C67"/>
    <w:rsid w:val="00427E7A"/>
    <w:rsid w:val="00431328"/>
    <w:rsid w:val="00434EDC"/>
    <w:rsid w:val="00436C49"/>
    <w:rsid w:val="0044334B"/>
    <w:rsid w:val="00445366"/>
    <w:rsid w:val="00447F5B"/>
    <w:rsid w:val="0045649E"/>
    <w:rsid w:val="0045763E"/>
    <w:rsid w:val="00460F2C"/>
    <w:rsid w:val="00461DB0"/>
    <w:rsid w:val="00463926"/>
    <w:rsid w:val="00463E62"/>
    <w:rsid w:val="00464C9A"/>
    <w:rsid w:val="00465EA7"/>
    <w:rsid w:val="004663A9"/>
    <w:rsid w:val="00474F3D"/>
    <w:rsid w:val="00477E3A"/>
    <w:rsid w:val="00481D3A"/>
    <w:rsid w:val="00482F4A"/>
    <w:rsid w:val="00483E5F"/>
    <w:rsid w:val="00485FF9"/>
    <w:rsid w:val="004907F0"/>
    <w:rsid w:val="0049140B"/>
    <w:rsid w:val="00491CBE"/>
    <w:rsid w:val="004921CD"/>
    <w:rsid w:val="004923A5"/>
    <w:rsid w:val="004930B3"/>
    <w:rsid w:val="00495FE9"/>
    <w:rsid w:val="00496BFB"/>
    <w:rsid w:val="00497E6A"/>
    <w:rsid w:val="004A0986"/>
    <w:rsid w:val="004A12DD"/>
    <w:rsid w:val="004A15C7"/>
    <w:rsid w:val="004A4BF9"/>
    <w:rsid w:val="004A523E"/>
    <w:rsid w:val="004B013B"/>
    <w:rsid w:val="004B0B83"/>
    <w:rsid w:val="004B112B"/>
    <w:rsid w:val="004B3DDC"/>
    <w:rsid w:val="004C01E4"/>
    <w:rsid w:val="004C086C"/>
    <w:rsid w:val="004C1F56"/>
    <w:rsid w:val="004C27BC"/>
    <w:rsid w:val="004D15F3"/>
    <w:rsid w:val="004D5195"/>
    <w:rsid w:val="004D5311"/>
    <w:rsid w:val="004D5DCC"/>
    <w:rsid w:val="004E2A6F"/>
    <w:rsid w:val="004F10AF"/>
    <w:rsid w:val="004F11A4"/>
    <w:rsid w:val="004F2389"/>
    <w:rsid w:val="004F304D"/>
    <w:rsid w:val="004F61BE"/>
    <w:rsid w:val="004F66B1"/>
    <w:rsid w:val="00503FBB"/>
    <w:rsid w:val="005057E0"/>
    <w:rsid w:val="005075EE"/>
    <w:rsid w:val="00511C07"/>
    <w:rsid w:val="00514821"/>
    <w:rsid w:val="005173A6"/>
    <w:rsid w:val="00520BAA"/>
    <w:rsid w:val="00523A74"/>
    <w:rsid w:val="00525208"/>
    <w:rsid w:val="005257A5"/>
    <w:rsid w:val="00526394"/>
    <w:rsid w:val="005264C0"/>
    <w:rsid w:val="00526A8A"/>
    <w:rsid w:val="00526B3F"/>
    <w:rsid w:val="00531DF2"/>
    <w:rsid w:val="00533C33"/>
    <w:rsid w:val="00534902"/>
    <w:rsid w:val="0053494A"/>
    <w:rsid w:val="00537163"/>
    <w:rsid w:val="00541578"/>
    <w:rsid w:val="00542DC5"/>
    <w:rsid w:val="005442EE"/>
    <w:rsid w:val="00547353"/>
    <w:rsid w:val="005474E7"/>
    <w:rsid w:val="00547A35"/>
    <w:rsid w:val="005512A3"/>
    <w:rsid w:val="00555AAE"/>
    <w:rsid w:val="00557321"/>
    <w:rsid w:val="005578CE"/>
    <w:rsid w:val="005600F9"/>
    <w:rsid w:val="00560F98"/>
    <w:rsid w:val="00562781"/>
    <w:rsid w:val="005672B6"/>
    <w:rsid w:val="00567584"/>
    <w:rsid w:val="0057271C"/>
    <w:rsid w:val="00572845"/>
    <w:rsid w:val="00574C8E"/>
    <w:rsid w:val="005763B3"/>
    <w:rsid w:val="00584929"/>
    <w:rsid w:val="0058615A"/>
    <w:rsid w:val="00592772"/>
    <w:rsid w:val="0059574A"/>
    <w:rsid w:val="005A1B9B"/>
    <w:rsid w:val="005A22F3"/>
    <w:rsid w:val="005A6751"/>
    <w:rsid w:val="005B092E"/>
    <w:rsid w:val="005B152C"/>
    <w:rsid w:val="005B1EE0"/>
    <w:rsid w:val="005B2B24"/>
    <w:rsid w:val="005B4425"/>
    <w:rsid w:val="005B4B94"/>
    <w:rsid w:val="005B790A"/>
    <w:rsid w:val="005C0D8A"/>
    <w:rsid w:val="005C3EE8"/>
    <w:rsid w:val="005C67CC"/>
    <w:rsid w:val="005D34F9"/>
    <w:rsid w:val="005D4190"/>
    <w:rsid w:val="005D4472"/>
    <w:rsid w:val="005D4D67"/>
    <w:rsid w:val="005D67A3"/>
    <w:rsid w:val="005E1114"/>
    <w:rsid w:val="005E2988"/>
    <w:rsid w:val="005E3085"/>
    <w:rsid w:val="005F0673"/>
    <w:rsid w:val="005F51E1"/>
    <w:rsid w:val="005F6BBE"/>
    <w:rsid w:val="00610C2D"/>
    <w:rsid w:val="00611C80"/>
    <w:rsid w:val="00613157"/>
    <w:rsid w:val="006140E3"/>
    <w:rsid w:val="00620692"/>
    <w:rsid w:val="006242CA"/>
    <w:rsid w:val="00624659"/>
    <w:rsid w:val="00627507"/>
    <w:rsid w:val="0063311D"/>
    <w:rsid w:val="00633717"/>
    <w:rsid w:val="006344E1"/>
    <w:rsid w:val="006346F5"/>
    <w:rsid w:val="00637FBC"/>
    <w:rsid w:val="00640749"/>
    <w:rsid w:val="006540FB"/>
    <w:rsid w:val="006545C4"/>
    <w:rsid w:val="0065603E"/>
    <w:rsid w:val="006600B3"/>
    <w:rsid w:val="00661971"/>
    <w:rsid w:val="00661CE8"/>
    <w:rsid w:val="006623D9"/>
    <w:rsid w:val="00664959"/>
    <w:rsid w:val="0066550C"/>
    <w:rsid w:val="0067109E"/>
    <w:rsid w:val="006716F2"/>
    <w:rsid w:val="00672ABC"/>
    <w:rsid w:val="00682BF2"/>
    <w:rsid w:val="00682F40"/>
    <w:rsid w:val="006838FD"/>
    <w:rsid w:val="00684B52"/>
    <w:rsid w:val="006859CE"/>
    <w:rsid w:val="00685ABC"/>
    <w:rsid w:val="00687EB9"/>
    <w:rsid w:val="00691270"/>
    <w:rsid w:val="00694BA8"/>
    <w:rsid w:val="006A037C"/>
    <w:rsid w:val="006A06B4"/>
    <w:rsid w:val="006A1F8B"/>
    <w:rsid w:val="006A36F4"/>
    <w:rsid w:val="006A406F"/>
    <w:rsid w:val="006A5D3A"/>
    <w:rsid w:val="006A6F77"/>
    <w:rsid w:val="006A7251"/>
    <w:rsid w:val="006B0F25"/>
    <w:rsid w:val="006B34BC"/>
    <w:rsid w:val="006C23D4"/>
    <w:rsid w:val="006C7BB0"/>
    <w:rsid w:val="006D3237"/>
    <w:rsid w:val="006D4D99"/>
    <w:rsid w:val="006E0778"/>
    <w:rsid w:val="006E2E37"/>
    <w:rsid w:val="006E36AC"/>
    <w:rsid w:val="006E3CF1"/>
    <w:rsid w:val="006E5F95"/>
    <w:rsid w:val="006E7E80"/>
    <w:rsid w:val="006F07FD"/>
    <w:rsid w:val="006F48CA"/>
    <w:rsid w:val="006F64DD"/>
    <w:rsid w:val="0070042B"/>
    <w:rsid w:val="007058D5"/>
    <w:rsid w:val="0070746A"/>
    <w:rsid w:val="00715127"/>
    <w:rsid w:val="00715E8E"/>
    <w:rsid w:val="00720BC4"/>
    <w:rsid w:val="00723580"/>
    <w:rsid w:val="00723755"/>
    <w:rsid w:val="0073136C"/>
    <w:rsid w:val="00731F0F"/>
    <w:rsid w:val="007331D5"/>
    <w:rsid w:val="00733250"/>
    <w:rsid w:val="007365DD"/>
    <w:rsid w:val="00741404"/>
    <w:rsid w:val="007449E5"/>
    <w:rsid w:val="00744CD2"/>
    <w:rsid w:val="00747E56"/>
    <w:rsid w:val="00747FF0"/>
    <w:rsid w:val="0075423C"/>
    <w:rsid w:val="00757F6A"/>
    <w:rsid w:val="0076056F"/>
    <w:rsid w:val="007612A8"/>
    <w:rsid w:val="007617CE"/>
    <w:rsid w:val="00763811"/>
    <w:rsid w:val="00764D4E"/>
    <w:rsid w:val="00765A1F"/>
    <w:rsid w:val="00766462"/>
    <w:rsid w:val="00767AD3"/>
    <w:rsid w:val="0077491B"/>
    <w:rsid w:val="00775B6D"/>
    <w:rsid w:val="00776D68"/>
    <w:rsid w:val="00781F37"/>
    <w:rsid w:val="007832BC"/>
    <w:rsid w:val="007850EE"/>
    <w:rsid w:val="00785B95"/>
    <w:rsid w:val="007907E1"/>
    <w:rsid w:val="00790E96"/>
    <w:rsid w:val="00793366"/>
    <w:rsid w:val="00795BF4"/>
    <w:rsid w:val="007A1703"/>
    <w:rsid w:val="007A21D7"/>
    <w:rsid w:val="007A716F"/>
    <w:rsid w:val="007B270A"/>
    <w:rsid w:val="007B3DE9"/>
    <w:rsid w:val="007B5A14"/>
    <w:rsid w:val="007B68CA"/>
    <w:rsid w:val="007C05E1"/>
    <w:rsid w:val="007C0695"/>
    <w:rsid w:val="007C419A"/>
    <w:rsid w:val="007C4CC8"/>
    <w:rsid w:val="007C5426"/>
    <w:rsid w:val="007C5798"/>
    <w:rsid w:val="007D0F4B"/>
    <w:rsid w:val="007D3CC6"/>
    <w:rsid w:val="007D4832"/>
    <w:rsid w:val="007E21B2"/>
    <w:rsid w:val="007E2C4E"/>
    <w:rsid w:val="007E45E7"/>
    <w:rsid w:val="007F1905"/>
    <w:rsid w:val="0080172E"/>
    <w:rsid w:val="00802C64"/>
    <w:rsid w:val="00804F55"/>
    <w:rsid w:val="00805CC2"/>
    <w:rsid w:val="00805E52"/>
    <w:rsid w:val="008061D0"/>
    <w:rsid w:val="008100B5"/>
    <w:rsid w:val="00810B38"/>
    <w:rsid w:val="00811BD4"/>
    <w:rsid w:val="008204C7"/>
    <w:rsid w:val="008206C0"/>
    <w:rsid w:val="00820992"/>
    <w:rsid w:val="00823602"/>
    <w:rsid w:val="008236DF"/>
    <w:rsid w:val="008255F5"/>
    <w:rsid w:val="0083014E"/>
    <w:rsid w:val="008306FF"/>
    <w:rsid w:val="00830D7A"/>
    <w:rsid w:val="0083214A"/>
    <w:rsid w:val="00834220"/>
    <w:rsid w:val="00834FF4"/>
    <w:rsid w:val="008406EA"/>
    <w:rsid w:val="00841658"/>
    <w:rsid w:val="00841C68"/>
    <w:rsid w:val="00842037"/>
    <w:rsid w:val="0084330B"/>
    <w:rsid w:val="00844FA7"/>
    <w:rsid w:val="00845260"/>
    <w:rsid w:val="00845723"/>
    <w:rsid w:val="00851EF9"/>
    <w:rsid w:val="00856BCF"/>
    <w:rsid w:val="008577FD"/>
    <w:rsid w:val="00860919"/>
    <w:rsid w:val="00860B03"/>
    <w:rsid w:val="0086497A"/>
    <w:rsid w:val="008713A1"/>
    <w:rsid w:val="00871E87"/>
    <w:rsid w:val="00875097"/>
    <w:rsid w:val="008754AB"/>
    <w:rsid w:val="0088060C"/>
    <w:rsid w:val="00893576"/>
    <w:rsid w:val="00893E73"/>
    <w:rsid w:val="008945EE"/>
    <w:rsid w:val="008A6DCA"/>
    <w:rsid w:val="008A7AD6"/>
    <w:rsid w:val="008B02DC"/>
    <w:rsid w:val="008B2457"/>
    <w:rsid w:val="008B571F"/>
    <w:rsid w:val="008B57CE"/>
    <w:rsid w:val="008C26DE"/>
    <w:rsid w:val="008C4721"/>
    <w:rsid w:val="008C7802"/>
    <w:rsid w:val="008D2225"/>
    <w:rsid w:val="008D3D2E"/>
    <w:rsid w:val="008D4752"/>
    <w:rsid w:val="008E17B2"/>
    <w:rsid w:val="008E271C"/>
    <w:rsid w:val="008E3739"/>
    <w:rsid w:val="008E418E"/>
    <w:rsid w:val="008E4DD7"/>
    <w:rsid w:val="008E5BC6"/>
    <w:rsid w:val="008E6A25"/>
    <w:rsid w:val="008E6B24"/>
    <w:rsid w:val="008E724B"/>
    <w:rsid w:val="008F5193"/>
    <w:rsid w:val="008F64B5"/>
    <w:rsid w:val="0090059D"/>
    <w:rsid w:val="009013A7"/>
    <w:rsid w:val="009017FB"/>
    <w:rsid w:val="009017FC"/>
    <w:rsid w:val="0090506B"/>
    <w:rsid w:val="009050C9"/>
    <w:rsid w:val="009066FC"/>
    <w:rsid w:val="00906DB2"/>
    <w:rsid w:val="00913075"/>
    <w:rsid w:val="009140A3"/>
    <w:rsid w:val="009144A2"/>
    <w:rsid w:val="0091510C"/>
    <w:rsid w:val="00917527"/>
    <w:rsid w:val="009259AC"/>
    <w:rsid w:val="00926A79"/>
    <w:rsid w:val="00926F38"/>
    <w:rsid w:val="009329D7"/>
    <w:rsid w:val="00932BEE"/>
    <w:rsid w:val="00934301"/>
    <w:rsid w:val="009355AB"/>
    <w:rsid w:val="00935AD1"/>
    <w:rsid w:val="009366CB"/>
    <w:rsid w:val="00936CD1"/>
    <w:rsid w:val="00941747"/>
    <w:rsid w:val="00941EFB"/>
    <w:rsid w:val="00946E31"/>
    <w:rsid w:val="0094714F"/>
    <w:rsid w:val="00947AFB"/>
    <w:rsid w:val="00947B5B"/>
    <w:rsid w:val="00951D7D"/>
    <w:rsid w:val="00953793"/>
    <w:rsid w:val="009549F6"/>
    <w:rsid w:val="00960FF6"/>
    <w:rsid w:val="009630C7"/>
    <w:rsid w:val="0096361B"/>
    <w:rsid w:val="0096435D"/>
    <w:rsid w:val="00965AF5"/>
    <w:rsid w:val="00972B55"/>
    <w:rsid w:val="00973DFD"/>
    <w:rsid w:val="009740CF"/>
    <w:rsid w:val="009743B7"/>
    <w:rsid w:val="00974721"/>
    <w:rsid w:val="0098098D"/>
    <w:rsid w:val="0098228B"/>
    <w:rsid w:val="009828DA"/>
    <w:rsid w:val="00985BAB"/>
    <w:rsid w:val="00991B69"/>
    <w:rsid w:val="009940EF"/>
    <w:rsid w:val="009950D2"/>
    <w:rsid w:val="00996DAA"/>
    <w:rsid w:val="009A0375"/>
    <w:rsid w:val="009B1B5F"/>
    <w:rsid w:val="009B6673"/>
    <w:rsid w:val="009C191B"/>
    <w:rsid w:val="009C2BD6"/>
    <w:rsid w:val="009C3D41"/>
    <w:rsid w:val="009C4D21"/>
    <w:rsid w:val="009C6D47"/>
    <w:rsid w:val="009E0462"/>
    <w:rsid w:val="009E1F32"/>
    <w:rsid w:val="009E776C"/>
    <w:rsid w:val="009F43ED"/>
    <w:rsid w:val="009F5365"/>
    <w:rsid w:val="00A020C4"/>
    <w:rsid w:val="00A0408E"/>
    <w:rsid w:val="00A1726E"/>
    <w:rsid w:val="00A1737A"/>
    <w:rsid w:val="00A204CF"/>
    <w:rsid w:val="00A209E8"/>
    <w:rsid w:val="00A20CCF"/>
    <w:rsid w:val="00A23D49"/>
    <w:rsid w:val="00A27004"/>
    <w:rsid w:val="00A27BEF"/>
    <w:rsid w:val="00A30C29"/>
    <w:rsid w:val="00A317C6"/>
    <w:rsid w:val="00A3251F"/>
    <w:rsid w:val="00A34DD6"/>
    <w:rsid w:val="00A36819"/>
    <w:rsid w:val="00A36989"/>
    <w:rsid w:val="00A36A5B"/>
    <w:rsid w:val="00A42C99"/>
    <w:rsid w:val="00A43628"/>
    <w:rsid w:val="00A45145"/>
    <w:rsid w:val="00A46A1D"/>
    <w:rsid w:val="00A54192"/>
    <w:rsid w:val="00A6035E"/>
    <w:rsid w:val="00A6144C"/>
    <w:rsid w:val="00A66617"/>
    <w:rsid w:val="00A671F8"/>
    <w:rsid w:val="00A673A4"/>
    <w:rsid w:val="00A675FF"/>
    <w:rsid w:val="00A724AE"/>
    <w:rsid w:val="00A73288"/>
    <w:rsid w:val="00A73329"/>
    <w:rsid w:val="00A737D1"/>
    <w:rsid w:val="00A75474"/>
    <w:rsid w:val="00A82359"/>
    <w:rsid w:val="00A865D2"/>
    <w:rsid w:val="00A94C20"/>
    <w:rsid w:val="00AA227F"/>
    <w:rsid w:val="00AA3BC7"/>
    <w:rsid w:val="00AA6921"/>
    <w:rsid w:val="00AA6D0D"/>
    <w:rsid w:val="00AA754A"/>
    <w:rsid w:val="00AA75BD"/>
    <w:rsid w:val="00AB099E"/>
    <w:rsid w:val="00AB4328"/>
    <w:rsid w:val="00AD17C2"/>
    <w:rsid w:val="00AD2F46"/>
    <w:rsid w:val="00AE00B1"/>
    <w:rsid w:val="00AE0A2E"/>
    <w:rsid w:val="00AE354C"/>
    <w:rsid w:val="00AE3F64"/>
    <w:rsid w:val="00AF4B07"/>
    <w:rsid w:val="00AF6186"/>
    <w:rsid w:val="00AF7A3A"/>
    <w:rsid w:val="00B03F61"/>
    <w:rsid w:val="00B0755E"/>
    <w:rsid w:val="00B07EFE"/>
    <w:rsid w:val="00B12DE3"/>
    <w:rsid w:val="00B13BBD"/>
    <w:rsid w:val="00B14484"/>
    <w:rsid w:val="00B160DB"/>
    <w:rsid w:val="00B20836"/>
    <w:rsid w:val="00B235BB"/>
    <w:rsid w:val="00B27069"/>
    <w:rsid w:val="00B27A44"/>
    <w:rsid w:val="00B30BBF"/>
    <w:rsid w:val="00B30E92"/>
    <w:rsid w:val="00B33C03"/>
    <w:rsid w:val="00B353AC"/>
    <w:rsid w:val="00B35417"/>
    <w:rsid w:val="00B35A1E"/>
    <w:rsid w:val="00B37234"/>
    <w:rsid w:val="00B37E75"/>
    <w:rsid w:val="00B44278"/>
    <w:rsid w:val="00B44E56"/>
    <w:rsid w:val="00B46543"/>
    <w:rsid w:val="00B47D33"/>
    <w:rsid w:val="00B52BE0"/>
    <w:rsid w:val="00B54133"/>
    <w:rsid w:val="00B701ED"/>
    <w:rsid w:val="00B73153"/>
    <w:rsid w:val="00B77FB3"/>
    <w:rsid w:val="00B8086C"/>
    <w:rsid w:val="00B861B4"/>
    <w:rsid w:val="00B86DFE"/>
    <w:rsid w:val="00B874DB"/>
    <w:rsid w:val="00B90990"/>
    <w:rsid w:val="00B922FF"/>
    <w:rsid w:val="00B9281E"/>
    <w:rsid w:val="00B93925"/>
    <w:rsid w:val="00B95187"/>
    <w:rsid w:val="00B95D89"/>
    <w:rsid w:val="00BA2D55"/>
    <w:rsid w:val="00BA52B0"/>
    <w:rsid w:val="00BA6990"/>
    <w:rsid w:val="00BA71B1"/>
    <w:rsid w:val="00BB0637"/>
    <w:rsid w:val="00BB345F"/>
    <w:rsid w:val="00BB68EA"/>
    <w:rsid w:val="00BC096F"/>
    <w:rsid w:val="00BC160B"/>
    <w:rsid w:val="00BC1C27"/>
    <w:rsid w:val="00BC6555"/>
    <w:rsid w:val="00BC6BBF"/>
    <w:rsid w:val="00BD1572"/>
    <w:rsid w:val="00BD768C"/>
    <w:rsid w:val="00BE14E3"/>
    <w:rsid w:val="00BE3774"/>
    <w:rsid w:val="00BE41E5"/>
    <w:rsid w:val="00BF17D5"/>
    <w:rsid w:val="00BF4109"/>
    <w:rsid w:val="00BF4CC3"/>
    <w:rsid w:val="00C025DA"/>
    <w:rsid w:val="00C054C7"/>
    <w:rsid w:val="00C057B5"/>
    <w:rsid w:val="00C123A6"/>
    <w:rsid w:val="00C152C0"/>
    <w:rsid w:val="00C22687"/>
    <w:rsid w:val="00C25831"/>
    <w:rsid w:val="00C32E4D"/>
    <w:rsid w:val="00C333A0"/>
    <w:rsid w:val="00C36A81"/>
    <w:rsid w:val="00C416BC"/>
    <w:rsid w:val="00C41974"/>
    <w:rsid w:val="00C41CE5"/>
    <w:rsid w:val="00C53F4A"/>
    <w:rsid w:val="00C54125"/>
    <w:rsid w:val="00C55B54"/>
    <w:rsid w:val="00C57ECA"/>
    <w:rsid w:val="00C6098E"/>
    <w:rsid w:val="00C6141A"/>
    <w:rsid w:val="00C6152C"/>
    <w:rsid w:val="00C74810"/>
    <w:rsid w:val="00C77CF2"/>
    <w:rsid w:val="00C81C98"/>
    <w:rsid w:val="00C854FC"/>
    <w:rsid w:val="00C8609A"/>
    <w:rsid w:val="00C90D68"/>
    <w:rsid w:val="00C939FE"/>
    <w:rsid w:val="00C93D2C"/>
    <w:rsid w:val="00C93D66"/>
    <w:rsid w:val="00C93F09"/>
    <w:rsid w:val="00C95348"/>
    <w:rsid w:val="00CA4BDA"/>
    <w:rsid w:val="00CB1F66"/>
    <w:rsid w:val="00CB2951"/>
    <w:rsid w:val="00CB7D0D"/>
    <w:rsid w:val="00CD1133"/>
    <w:rsid w:val="00CD282B"/>
    <w:rsid w:val="00CD3FB6"/>
    <w:rsid w:val="00CD4C35"/>
    <w:rsid w:val="00CD7369"/>
    <w:rsid w:val="00CD7B10"/>
    <w:rsid w:val="00CE02F9"/>
    <w:rsid w:val="00CE06EF"/>
    <w:rsid w:val="00CE0B0E"/>
    <w:rsid w:val="00CE225B"/>
    <w:rsid w:val="00CE3831"/>
    <w:rsid w:val="00CE7D67"/>
    <w:rsid w:val="00CF15BD"/>
    <w:rsid w:val="00D00ABB"/>
    <w:rsid w:val="00D02EEC"/>
    <w:rsid w:val="00D03551"/>
    <w:rsid w:val="00D06A63"/>
    <w:rsid w:val="00D07E0E"/>
    <w:rsid w:val="00D11478"/>
    <w:rsid w:val="00D15ED0"/>
    <w:rsid w:val="00D17296"/>
    <w:rsid w:val="00D2185D"/>
    <w:rsid w:val="00D21B3E"/>
    <w:rsid w:val="00D21FED"/>
    <w:rsid w:val="00D24156"/>
    <w:rsid w:val="00D24251"/>
    <w:rsid w:val="00D31F36"/>
    <w:rsid w:val="00D342E9"/>
    <w:rsid w:val="00D343E2"/>
    <w:rsid w:val="00D361A2"/>
    <w:rsid w:val="00D37707"/>
    <w:rsid w:val="00D44C2E"/>
    <w:rsid w:val="00D45414"/>
    <w:rsid w:val="00D555EE"/>
    <w:rsid w:val="00D566BD"/>
    <w:rsid w:val="00D57A4D"/>
    <w:rsid w:val="00D60AA7"/>
    <w:rsid w:val="00D6435F"/>
    <w:rsid w:val="00D75E28"/>
    <w:rsid w:val="00D772C2"/>
    <w:rsid w:val="00D8008E"/>
    <w:rsid w:val="00D82C45"/>
    <w:rsid w:val="00D85926"/>
    <w:rsid w:val="00D86C1A"/>
    <w:rsid w:val="00D9045D"/>
    <w:rsid w:val="00D908A8"/>
    <w:rsid w:val="00D9277A"/>
    <w:rsid w:val="00D977B6"/>
    <w:rsid w:val="00DA0BAD"/>
    <w:rsid w:val="00DA2098"/>
    <w:rsid w:val="00DA4A31"/>
    <w:rsid w:val="00DA7B04"/>
    <w:rsid w:val="00DB36C2"/>
    <w:rsid w:val="00DC169B"/>
    <w:rsid w:val="00DC2AB9"/>
    <w:rsid w:val="00DC4033"/>
    <w:rsid w:val="00DC4211"/>
    <w:rsid w:val="00DC63F0"/>
    <w:rsid w:val="00DD075B"/>
    <w:rsid w:val="00DD1AF3"/>
    <w:rsid w:val="00DD517A"/>
    <w:rsid w:val="00DD5237"/>
    <w:rsid w:val="00DD6EE5"/>
    <w:rsid w:val="00DE117F"/>
    <w:rsid w:val="00DE2C4C"/>
    <w:rsid w:val="00DE2D71"/>
    <w:rsid w:val="00DE3708"/>
    <w:rsid w:val="00DE386C"/>
    <w:rsid w:val="00DE4D35"/>
    <w:rsid w:val="00DF098B"/>
    <w:rsid w:val="00DF11C4"/>
    <w:rsid w:val="00DF210C"/>
    <w:rsid w:val="00DF4184"/>
    <w:rsid w:val="00DF4B6A"/>
    <w:rsid w:val="00E02A1E"/>
    <w:rsid w:val="00E02C09"/>
    <w:rsid w:val="00E04D59"/>
    <w:rsid w:val="00E07DA1"/>
    <w:rsid w:val="00E123CB"/>
    <w:rsid w:val="00E13871"/>
    <w:rsid w:val="00E2074A"/>
    <w:rsid w:val="00E20E13"/>
    <w:rsid w:val="00E21DBC"/>
    <w:rsid w:val="00E275D7"/>
    <w:rsid w:val="00E27DBE"/>
    <w:rsid w:val="00E327B3"/>
    <w:rsid w:val="00E32AB1"/>
    <w:rsid w:val="00E3401B"/>
    <w:rsid w:val="00E3411C"/>
    <w:rsid w:val="00E36C71"/>
    <w:rsid w:val="00E37321"/>
    <w:rsid w:val="00E37C5E"/>
    <w:rsid w:val="00E40404"/>
    <w:rsid w:val="00E4281A"/>
    <w:rsid w:val="00E459C6"/>
    <w:rsid w:val="00E47589"/>
    <w:rsid w:val="00E52594"/>
    <w:rsid w:val="00E64915"/>
    <w:rsid w:val="00E661D4"/>
    <w:rsid w:val="00E70091"/>
    <w:rsid w:val="00E70D3A"/>
    <w:rsid w:val="00E720F5"/>
    <w:rsid w:val="00E733AB"/>
    <w:rsid w:val="00E7357B"/>
    <w:rsid w:val="00E73760"/>
    <w:rsid w:val="00E76D47"/>
    <w:rsid w:val="00E849F7"/>
    <w:rsid w:val="00E879A6"/>
    <w:rsid w:val="00E90302"/>
    <w:rsid w:val="00E91B95"/>
    <w:rsid w:val="00E9349C"/>
    <w:rsid w:val="00E937E5"/>
    <w:rsid w:val="00E97396"/>
    <w:rsid w:val="00EA185E"/>
    <w:rsid w:val="00EA592A"/>
    <w:rsid w:val="00EB14E4"/>
    <w:rsid w:val="00EB32A5"/>
    <w:rsid w:val="00EB34ED"/>
    <w:rsid w:val="00EB447C"/>
    <w:rsid w:val="00EB7BE0"/>
    <w:rsid w:val="00EC0867"/>
    <w:rsid w:val="00EC1C9E"/>
    <w:rsid w:val="00EC2FE4"/>
    <w:rsid w:val="00EC315E"/>
    <w:rsid w:val="00ED077C"/>
    <w:rsid w:val="00ED0B0A"/>
    <w:rsid w:val="00ED1190"/>
    <w:rsid w:val="00ED3942"/>
    <w:rsid w:val="00ED6544"/>
    <w:rsid w:val="00EE0277"/>
    <w:rsid w:val="00EE3E00"/>
    <w:rsid w:val="00EE5DD2"/>
    <w:rsid w:val="00EF7B1E"/>
    <w:rsid w:val="00F00A79"/>
    <w:rsid w:val="00F00E86"/>
    <w:rsid w:val="00F029A4"/>
    <w:rsid w:val="00F07C1E"/>
    <w:rsid w:val="00F105DB"/>
    <w:rsid w:val="00F132BC"/>
    <w:rsid w:val="00F13D80"/>
    <w:rsid w:val="00F16AAA"/>
    <w:rsid w:val="00F21161"/>
    <w:rsid w:val="00F218EF"/>
    <w:rsid w:val="00F219D1"/>
    <w:rsid w:val="00F21BC7"/>
    <w:rsid w:val="00F266A2"/>
    <w:rsid w:val="00F32269"/>
    <w:rsid w:val="00F33C79"/>
    <w:rsid w:val="00F40038"/>
    <w:rsid w:val="00F4061E"/>
    <w:rsid w:val="00F56A6F"/>
    <w:rsid w:val="00F5709C"/>
    <w:rsid w:val="00F57F8C"/>
    <w:rsid w:val="00F60784"/>
    <w:rsid w:val="00F60B06"/>
    <w:rsid w:val="00F6348B"/>
    <w:rsid w:val="00F64EF1"/>
    <w:rsid w:val="00F6619A"/>
    <w:rsid w:val="00F6710B"/>
    <w:rsid w:val="00F7646E"/>
    <w:rsid w:val="00F81F62"/>
    <w:rsid w:val="00F85111"/>
    <w:rsid w:val="00F8765F"/>
    <w:rsid w:val="00F90767"/>
    <w:rsid w:val="00F933C1"/>
    <w:rsid w:val="00F934FC"/>
    <w:rsid w:val="00F93B55"/>
    <w:rsid w:val="00FA17EC"/>
    <w:rsid w:val="00FA685B"/>
    <w:rsid w:val="00FB0C01"/>
    <w:rsid w:val="00FB770D"/>
    <w:rsid w:val="00FB7D86"/>
    <w:rsid w:val="00FC18F2"/>
    <w:rsid w:val="00FC2206"/>
    <w:rsid w:val="00FC39E5"/>
    <w:rsid w:val="00FC3A78"/>
    <w:rsid w:val="00FC431B"/>
    <w:rsid w:val="00FC73B2"/>
    <w:rsid w:val="00FD1005"/>
    <w:rsid w:val="00FD10FC"/>
    <w:rsid w:val="00FD6C75"/>
    <w:rsid w:val="00FE71B3"/>
    <w:rsid w:val="00FF2808"/>
    <w:rsid w:val="00FF42C5"/>
    <w:rsid w:val="00FF6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41658"/>
    <w:pPr>
      <w:spacing w:after="0" w:line="240" w:lineRule="auto"/>
      <w:jc w:val="both"/>
    </w:pPr>
    <w:rPr>
      <w:rFonts w:eastAsia="MS Mincho"/>
      <w:sz w:val="24"/>
      <w:szCs w:val="24"/>
      <w:lang w:eastAsia="en-US"/>
    </w:rPr>
  </w:style>
  <w:style w:type="paragraph" w:styleId="Nagwek1">
    <w:name w:val="heading 1"/>
    <w:basedOn w:val="Normalny"/>
    <w:next w:val="Normalny"/>
    <w:link w:val="Nagwek1Znak"/>
    <w:uiPriority w:val="99"/>
    <w:qFormat/>
    <w:rsid w:val="00841658"/>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841658"/>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841658"/>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841658"/>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841658"/>
    <w:pPr>
      <w:spacing w:before="200"/>
      <w:outlineLvl w:val="4"/>
    </w:pPr>
    <w:rPr>
      <w:rFonts w:eastAsia="MS Gothic"/>
      <w:b/>
      <w:bCs/>
      <w:color w:val="808080"/>
      <w:sz w:val="20"/>
      <w:szCs w:val="20"/>
      <w:lang w:eastAsia="pl-PL"/>
    </w:rPr>
  </w:style>
  <w:style w:type="paragraph" w:styleId="Nagwek6">
    <w:name w:val="heading 6"/>
    <w:basedOn w:val="Normalny"/>
    <w:next w:val="Normalny"/>
    <w:link w:val="Nagwek6Znak"/>
    <w:uiPriority w:val="99"/>
    <w:qFormat/>
    <w:rsid w:val="00841658"/>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841658"/>
    <w:pPr>
      <w:outlineLvl w:val="6"/>
    </w:pPr>
    <w:rPr>
      <w:rFonts w:eastAsia="MS Gothic"/>
      <w:i/>
      <w:iCs/>
      <w:sz w:val="20"/>
      <w:szCs w:val="20"/>
      <w:lang w:eastAsia="pl-PL"/>
    </w:rPr>
  </w:style>
  <w:style w:type="paragraph" w:styleId="Nagwek8">
    <w:name w:val="heading 8"/>
    <w:basedOn w:val="Normalny"/>
    <w:next w:val="Normalny"/>
    <w:link w:val="Nagwek8Znak"/>
    <w:uiPriority w:val="99"/>
    <w:qFormat/>
    <w:rsid w:val="00841658"/>
    <w:pPr>
      <w:outlineLvl w:val="7"/>
    </w:pPr>
    <w:rPr>
      <w:rFonts w:eastAsia="MS Gothic"/>
      <w:sz w:val="20"/>
      <w:szCs w:val="20"/>
      <w:lang w:eastAsia="pl-PL"/>
    </w:rPr>
  </w:style>
  <w:style w:type="paragraph" w:styleId="Nagwek9">
    <w:name w:val="heading 9"/>
    <w:basedOn w:val="Normalny"/>
    <w:next w:val="Normalny"/>
    <w:link w:val="Nagwek9Znak"/>
    <w:uiPriority w:val="99"/>
    <w:qFormat/>
    <w:rsid w:val="00841658"/>
    <w:pPr>
      <w:outlineLvl w:val="8"/>
    </w:pPr>
    <w:rPr>
      <w:rFonts w:eastAsia="MS Gothic"/>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841658"/>
    <w:rPr>
      <w:rFonts w:ascii="Times New Roman" w:eastAsia="MS Gothic" w:hAnsi="Times New Roman" w:cs="Times New Roman"/>
      <w:b/>
      <w:bCs/>
      <w:color w:val="4D4D4D"/>
      <w:sz w:val="26"/>
      <w:szCs w:val="26"/>
    </w:rPr>
  </w:style>
  <w:style w:type="character" w:customStyle="1" w:styleId="Nagwek3Znak">
    <w:name w:val="Nagłówek 3 Znak"/>
    <w:link w:val="Nagwek3"/>
    <w:uiPriority w:val="99"/>
    <w:semiHidden/>
    <w:locked/>
    <w:rsid w:val="00841658"/>
    <w:rPr>
      <w:rFonts w:ascii="Times New Roman" w:eastAsia="MS Gothic" w:hAnsi="Times New Roman" w:cs="Times New Roman"/>
      <w:b/>
      <w:bCs/>
      <w:color w:val="5F5F5F"/>
      <w:sz w:val="24"/>
      <w:szCs w:val="24"/>
    </w:rPr>
  </w:style>
  <w:style w:type="character" w:customStyle="1" w:styleId="Nagwek4Znak">
    <w:name w:val="Nagłówek 4 Znak"/>
    <w:link w:val="Nagwek4"/>
    <w:uiPriority w:val="99"/>
    <w:semiHidden/>
    <w:locked/>
    <w:rsid w:val="00841658"/>
    <w:rPr>
      <w:rFonts w:ascii="Times New Roman" w:eastAsia="MS Gothic" w:hAnsi="Times New Roman" w:cs="Times New Roman"/>
      <w:b/>
      <w:bCs/>
      <w:i/>
      <w:iCs/>
      <w:color w:val="777777"/>
      <w:sz w:val="24"/>
      <w:szCs w:val="24"/>
    </w:rPr>
  </w:style>
  <w:style w:type="character" w:customStyle="1" w:styleId="Nagwek5Znak">
    <w:name w:val="Nagłówek 5 Znak"/>
    <w:link w:val="Nagwek5"/>
    <w:uiPriority w:val="99"/>
    <w:semiHidden/>
    <w:locked/>
    <w:rsid w:val="00841658"/>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841658"/>
    <w:rPr>
      <w:rFonts w:ascii="Times New Roman" w:eastAsia="MS Gothic" w:hAnsi="Times New Roman" w:cs="Times New Roman"/>
      <w:b/>
      <w:bCs/>
      <w:i/>
      <w:iCs/>
      <w:color w:val="7F7F7F"/>
      <w:sz w:val="24"/>
      <w:szCs w:val="24"/>
    </w:rPr>
  </w:style>
  <w:style w:type="character" w:customStyle="1" w:styleId="Nagwek7Znak">
    <w:name w:val="Nagłówek 7 Znak"/>
    <w:link w:val="Nagwek7"/>
    <w:uiPriority w:val="99"/>
    <w:semiHidden/>
    <w:locked/>
    <w:rsid w:val="00841658"/>
    <w:rPr>
      <w:rFonts w:ascii="Times New Roman" w:eastAsia="MS Gothic" w:hAnsi="Times New Roman" w:cs="Times New Roman"/>
      <w:i/>
      <w:iCs/>
    </w:rPr>
  </w:style>
  <w:style w:type="character" w:customStyle="1" w:styleId="Nagwek8Znak">
    <w:name w:val="Nagłówek 8 Znak"/>
    <w:link w:val="Nagwek8"/>
    <w:uiPriority w:val="99"/>
    <w:semiHidden/>
    <w:locked/>
    <w:rsid w:val="00841658"/>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841658"/>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841658"/>
    <w:rPr>
      <w:rFonts w:ascii="Tahoma" w:hAnsi="Tahoma" w:cs="Tahoma"/>
      <w:sz w:val="16"/>
      <w:szCs w:val="16"/>
      <w:lang w:eastAsia="pl-PL"/>
    </w:rPr>
  </w:style>
  <w:style w:type="character" w:customStyle="1" w:styleId="Nagwek1Znak">
    <w:name w:val="Nagłówek 1 Znak"/>
    <w:link w:val="Nagwek1"/>
    <w:uiPriority w:val="99"/>
    <w:semiHidden/>
    <w:locked/>
    <w:rsid w:val="00841658"/>
    <w:rPr>
      <w:rFonts w:ascii="Times New Roman" w:eastAsia="MS Gothic" w:hAnsi="Times New Roman" w:cs="Times New Roman"/>
      <w:b/>
      <w:bCs/>
      <w:color w:val="333333"/>
      <w:sz w:val="28"/>
      <w:szCs w:val="28"/>
    </w:rPr>
  </w:style>
  <w:style w:type="character" w:styleId="Tytuksiki">
    <w:name w:val="Book Title"/>
    <w:basedOn w:val="Domylnaczcionkaakapitu"/>
    <w:uiPriority w:val="99"/>
    <w:qFormat/>
    <w:rsid w:val="00841658"/>
    <w:rPr>
      <w:i/>
      <w:iCs/>
      <w:smallCaps/>
      <w:spacing w:val="5"/>
    </w:rPr>
  </w:style>
  <w:style w:type="character" w:customStyle="1" w:styleId="TekstdymkaZnak">
    <w:name w:val="Tekst dymka Znak"/>
    <w:link w:val="Tekstdymka"/>
    <w:uiPriority w:val="99"/>
    <w:semiHidden/>
    <w:locked/>
    <w:rsid w:val="00841658"/>
    <w:rPr>
      <w:rFonts w:ascii="Tahoma" w:eastAsia="MS Mincho" w:hAnsi="Tahoma" w:cs="Tahoma"/>
      <w:sz w:val="16"/>
      <w:szCs w:val="16"/>
    </w:rPr>
  </w:style>
  <w:style w:type="paragraph" w:customStyle="1" w:styleId="ECHRHeader">
    <w:name w:val="ECHR_Header"/>
    <w:aliases w:val="Ju_Header"/>
    <w:basedOn w:val="Nagwek"/>
    <w:uiPriority w:val="4"/>
    <w:qFormat/>
    <w:rsid w:val="00841658"/>
    <w:pPr>
      <w:tabs>
        <w:tab w:val="clear" w:pos="4536"/>
        <w:tab w:val="clear" w:pos="9072"/>
        <w:tab w:val="center" w:pos="3686"/>
        <w:tab w:val="right" w:pos="7371"/>
      </w:tabs>
      <w:jc w:val="left"/>
    </w:pPr>
    <w:rPr>
      <w:sz w:val="18"/>
      <w:szCs w:val="18"/>
    </w:rPr>
  </w:style>
  <w:style w:type="paragraph" w:customStyle="1" w:styleId="OpiPara">
    <w:name w:val="Opi_Para"/>
    <w:basedOn w:val="ECHRPara"/>
    <w:uiPriority w:val="99"/>
    <w:rsid w:val="00841658"/>
  </w:style>
  <w:style w:type="character" w:styleId="Pogrubienie">
    <w:name w:val="Strong"/>
    <w:basedOn w:val="Domylnaczcionkaakapitu"/>
    <w:uiPriority w:val="99"/>
    <w:qFormat/>
    <w:rsid w:val="00841658"/>
    <w:rPr>
      <w:b/>
      <w:bCs/>
    </w:rPr>
  </w:style>
  <w:style w:type="paragraph" w:styleId="Bezodstpw">
    <w:name w:val="No Spacing"/>
    <w:basedOn w:val="Normalny"/>
    <w:link w:val="BezodstpwZnak"/>
    <w:uiPriority w:val="99"/>
    <w:qFormat/>
    <w:rsid w:val="00841658"/>
    <w:rPr>
      <w:sz w:val="20"/>
      <w:szCs w:val="20"/>
      <w:lang w:eastAsia="pl-PL"/>
    </w:rPr>
  </w:style>
  <w:style w:type="character" w:customStyle="1" w:styleId="BezodstpwZnak">
    <w:name w:val="Bez odstępów Znak"/>
    <w:link w:val="Bezodstpw"/>
    <w:uiPriority w:val="99"/>
    <w:semiHidden/>
    <w:locked/>
    <w:rsid w:val="00841658"/>
    <w:rPr>
      <w:rFonts w:eastAsia="MS Mincho"/>
    </w:rPr>
  </w:style>
  <w:style w:type="paragraph" w:customStyle="1" w:styleId="ECHRParaQuote">
    <w:name w:val="ECHR_Para_Quote"/>
    <w:aliases w:val="Ju_Quot"/>
    <w:basedOn w:val="Normalny"/>
    <w:link w:val="JuQuotChar"/>
    <w:uiPriority w:val="99"/>
    <w:rsid w:val="00841658"/>
    <w:pPr>
      <w:spacing w:before="120" w:after="120"/>
      <w:ind w:left="425" w:firstLine="142"/>
    </w:pPr>
    <w:rPr>
      <w:sz w:val="20"/>
      <w:szCs w:val="20"/>
      <w:lang w:eastAsia="pl-PL"/>
    </w:rPr>
  </w:style>
  <w:style w:type="paragraph" w:customStyle="1" w:styleId="DecHTitle">
    <w:name w:val="Dec_H_Title"/>
    <w:basedOn w:val="ECHRTitleCentre1"/>
    <w:uiPriority w:val="99"/>
    <w:semiHidden/>
    <w:rsid w:val="00841658"/>
  </w:style>
  <w:style w:type="paragraph" w:customStyle="1" w:styleId="DecList">
    <w:name w:val="Dec_List"/>
    <w:basedOn w:val="Normalny"/>
    <w:uiPriority w:val="99"/>
    <w:semiHidden/>
    <w:rsid w:val="00841658"/>
    <w:pPr>
      <w:spacing w:before="240"/>
      <w:ind w:left="284"/>
    </w:pPr>
  </w:style>
  <w:style w:type="paragraph" w:customStyle="1" w:styleId="DummyStyle">
    <w:name w:val="Dummy_Style"/>
    <w:basedOn w:val="Normalny"/>
    <w:uiPriority w:val="99"/>
    <w:semiHidden/>
    <w:rsid w:val="00841658"/>
    <w:rPr>
      <w:color w:val="00B050"/>
    </w:rPr>
  </w:style>
  <w:style w:type="paragraph" w:customStyle="1" w:styleId="JuAppQuestion">
    <w:name w:val="Ju_App_Question"/>
    <w:basedOn w:val="Normalny"/>
    <w:uiPriority w:val="99"/>
    <w:semiHidden/>
    <w:rsid w:val="00841658"/>
    <w:pPr>
      <w:numPr>
        <w:numId w:val="11"/>
      </w:numPr>
      <w:tabs>
        <w:tab w:val="clear" w:pos="360"/>
        <w:tab w:val="num" w:pos="720"/>
      </w:tabs>
      <w:ind w:left="720"/>
      <w:jc w:val="left"/>
    </w:pPr>
    <w:rPr>
      <w:b/>
      <w:bCs/>
    </w:rPr>
  </w:style>
  <w:style w:type="paragraph" w:customStyle="1" w:styleId="ECHRTitleCentre3">
    <w:name w:val="ECHR_Title_Centre_3"/>
    <w:aliases w:val="Ju_H_Article"/>
    <w:basedOn w:val="Normalny"/>
    <w:next w:val="ECHRParaQuote"/>
    <w:uiPriority w:val="99"/>
    <w:rsid w:val="00841658"/>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841658"/>
    <w:pPr>
      <w:keepNext/>
      <w:keepLines/>
      <w:spacing w:after="240"/>
      <w:jc w:val="center"/>
      <w:outlineLvl w:val="0"/>
    </w:pPr>
    <w:rPr>
      <w:sz w:val="28"/>
      <w:szCs w:val="28"/>
    </w:rPr>
  </w:style>
  <w:style w:type="paragraph" w:customStyle="1" w:styleId="JuHeaderLandscape">
    <w:name w:val="Ju_Header_Landscape"/>
    <w:basedOn w:val="ECHRHeader"/>
    <w:uiPriority w:val="99"/>
    <w:rsid w:val="00841658"/>
    <w:pPr>
      <w:tabs>
        <w:tab w:val="clear" w:pos="3686"/>
        <w:tab w:val="clear" w:pos="7371"/>
        <w:tab w:val="center" w:pos="6146"/>
        <w:tab w:val="right" w:pos="12293"/>
      </w:tabs>
    </w:pPr>
  </w:style>
  <w:style w:type="paragraph" w:customStyle="1" w:styleId="ECHRTitle1">
    <w:name w:val="ECHR_Title_1"/>
    <w:aliases w:val="Ju_H_Head"/>
    <w:basedOn w:val="Normalny"/>
    <w:next w:val="ECHRPara"/>
    <w:uiPriority w:val="99"/>
    <w:rsid w:val="00841658"/>
    <w:pPr>
      <w:keepNext/>
      <w:keepLines/>
      <w:spacing w:before="720" w:after="240"/>
      <w:outlineLvl w:val="0"/>
    </w:pPr>
    <w:rPr>
      <w:sz w:val="28"/>
      <w:szCs w:val="28"/>
    </w:rPr>
  </w:style>
  <w:style w:type="paragraph" w:customStyle="1" w:styleId="JuInitialled">
    <w:name w:val="Ju_Initialled"/>
    <w:basedOn w:val="Normalny"/>
    <w:uiPriority w:val="99"/>
    <w:rsid w:val="00841658"/>
    <w:pPr>
      <w:tabs>
        <w:tab w:val="center" w:pos="6407"/>
      </w:tabs>
      <w:spacing w:before="720"/>
      <w:jc w:val="right"/>
    </w:pPr>
  </w:style>
  <w:style w:type="character" w:customStyle="1" w:styleId="JuITMark">
    <w:name w:val="Ju_ITMark"/>
    <w:uiPriority w:val="99"/>
    <w:rsid w:val="00841658"/>
    <w:rPr>
      <w:color w:val="auto"/>
      <w:sz w:val="14"/>
      <w:szCs w:val="14"/>
      <w:shd w:val="clear" w:color="auto" w:fill="BEE5FF"/>
    </w:rPr>
  </w:style>
  <w:style w:type="paragraph" w:styleId="Tytu">
    <w:name w:val="Title"/>
    <w:basedOn w:val="Normalny"/>
    <w:next w:val="Normalny"/>
    <w:link w:val="TytuZnak"/>
    <w:uiPriority w:val="99"/>
    <w:qFormat/>
    <w:rsid w:val="00841658"/>
    <w:pPr>
      <w:pBdr>
        <w:bottom w:val="single" w:sz="4" w:space="1" w:color="auto"/>
      </w:pBdr>
    </w:pPr>
    <w:rPr>
      <w:rFonts w:eastAsia="MS Gothic"/>
      <w:spacing w:val="5"/>
      <w:sz w:val="52"/>
      <w:szCs w:val="52"/>
      <w:lang w:eastAsia="pl-PL"/>
    </w:rPr>
  </w:style>
  <w:style w:type="character" w:customStyle="1" w:styleId="JUNAMES">
    <w:name w:val="JU_NAMES"/>
    <w:uiPriority w:val="99"/>
    <w:rsid w:val="00841658"/>
    <w:rPr>
      <w:smallCaps/>
    </w:rPr>
  </w:style>
  <w:style w:type="character" w:customStyle="1" w:styleId="TytuZnak">
    <w:name w:val="Tytuł Znak"/>
    <w:link w:val="Tytu"/>
    <w:uiPriority w:val="99"/>
    <w:semiHidden/>
    <w:locked/>
    <w:rsid w:val="00841658"/>
    <w:rPr>
      <w:rFonts w:ascii="Times New Roman" w:eastAsia="MS Gothic" w:hAnsi="Times New Roman" w:cs="Times New Roman"/>
      <w:spacing w:val="5"/>
      <w:sz w:val="52"/>
      <w:szCs w:val="52"/>
    </w:rPr>
  </w:style>
  <w:style w:type="paragraph" w:customStyle="1" w:styleId="JuParaSub">
    <w:name w:val="Ju_Para_Sub"/>
    <w:basedOn w:val="ECHRPara"/>
    <w:uiPriority w:val="99"/>
    <w:rsid w:val="00841658"/>
    <w:pPr>
      <w:ind w:left="284"/>
    </w:pPr>
  </w:style>
  <w:style w:type="paragraph" w:customStyle="1" w:styleId="JuQuotSub">
    <w:name w:val="Ju_Quot_Sub"/>
    <w:basedOn w:val="ECHRParaQuote"/>
    <w:uiPriority w:val="99"/>
    <w:rsid w:val="00841658"/>
    <w:pPr>
      <w:ind w:left="567"/>
    </w:pPr>
  </w:style>
  <w:style w:type="paragraph" w:customStyle="1" w:styleId="JuSigned">
    <w:name w:val="Ju_Signed"/>
    <w:basedOn w:val="Normalny"/>
    <w:next w:val="JuParaLast"/>
    <w:uiPriority w:val="99"/>
    <w:rsid w:val="00841658"/>
    <w:pPr>
      <w:tabs>
        <w:tab w:val="center" w:pos="851"/>
        <w:tab w:val="center" w:pos="6407"/>
      </w:tabs>
      <w:spacing w:before="720"/>
      <w:jc w:val="left"/>
    </w:pPr>
  </w:style>
  <w:style w:type="paragraph" w:customStyle="1" w:styleId="JuCourt">
    <w:name w:val="Ju_Court"/>
    <w:basedOn w:val="Normalny"/>
    <w:next w:val="Normalny"/>
    <w:uiPriority w:val="99"/>
    <w:rsid w:val="00841658"/>
    <w:pPr>
      <w:tabs>
        <w:tab w:val="left" w:pos="907"/>
        <w:tab w:val="left" w:pos="1701"/>
        <w:tab w:val="right" w:pos="7371"/>
      </w:tabs>
      <w:spacing w:before="240"/>
      <w:ind w:left="397" w:hanging="397"/>
      <w:jc w:val="left"/>
    </w:pPr>
  </w:style>
  <w:style w:type="paragraph" w:customStyle="1" w:styleId="ECHRHeading1">
    <w:name w:val="ECHR_Heading_1"/>
    <w:aliases w:val="Ju_H_I_Roman"/>
    <w:basedOn w:val="Nagwek1"/>
    <w:next w:val="ECHRPara"/>
    <w:uiPriority w:val="99"/>
    <w:rsid w:val="00841658"/>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Head_2"/>
    <w:basedOn w:val="Nagwek2"/>
    <w:next w:val="ECHRPara"/>
    <w:link w:val="JuHAChar"/>
    <w:uiPriority w:val="99"/>
    <w:rsid w:val="00841658"/>
    <w:pPr>
      <w:keepNext/>
      <w:keepLines/>
      <w:tabs>
        <w:tab w:val="left" w:pos="584"/>
      </w:tabs>
      <w:spacing w:before="360" w:after="240"/>
      <w:ind w:left="584" w:hanging="352"/>
    </w:pPr>
    <w:rPr>
      <w:color w:val="auto"/>
    </w:rPr>
  </w:style>
  <w:style w:type="paragraph" w:customStyle="1" w:styleId="ECHRHeading3">
    <w:name w:val="ECHR_Heading_3"/>
    <w:aliases w:val="Ju_H_1."/>
    <w:basedOn w:val="Nagwek3"/>
    <w:next w:val="ECHRPara"/>
    <w:link w:val="JuH1Char"/>
    <w:uiPriority w:val="99"/>
    <w:rsid w:val="00841658"/>
    <w:pPr>
      <w:keepNext/>
      <w:keepLines/>
      <w:tabs>
        <w:tab w:val="left" w:pos="731"/>
      </w:tabs>
      <w:spacing w:before="240" w:after="120" w:line="240" w:lineRule="auto"/>
      <w:ind w:left="732" w:hanging="301"/>
    </w:pPr>
    <w:rPr>
      <w:b w:val="0"/>
      <w:bCs w:val="0"/>
      <w:i/>
      <w:iCs/>
      <w:color w:val="auto"/>
    </w:rPr>
  </w:style>
  <w:style w:type="paragraph" w:styleId="Nagwek">
    <w:name w:val="header"/>
    <w:basedOn w:val="Normalny"/>
    <w:link w:val="NagwekZnak"/>
    <w:uiPriority w:val="99"/>
    <w:semiHidden/>
    <w:rsid w:val="00841658"/>
    <w:pPr>
      <w:tabs>
        <w:tab w:val="center" w:pos="4536"/>
        <w:tab w:val="right" w:pos="9072"/>
      </w:tabs>
    </w:pPr>
    <w:rPr>
      <w:rFonts w:eastAsia="Times New Roman"/>
      <w:lang w:eastAsia="pl-PL"/>
    </w:rPr>
  </w:style>
  <w:style w:type="paragraph" w:customStyle="1" w:styleId="ECHRHeading4">
    <w:name w:val="ECHR_Heading_4"/>
    <w:aliases w:val="Ju_H_a"/>
    <w:basedOn w:val="Nagwek4"/>
    <w:next w:val="ECHRPara"/>
    <w:link w:val="JuHaChar0"/>
    <w:uiPriority w:val="99"/>
    <w:rsid w:val="00841658"/>
    <w:pPr>
      <w:keepNext/>
      <w:keepLines/>
      <w:tabs>
        <w:tab w:val="left" w:pos="975"/>
      </w:tabs>
      <w:spacing w:before="240" w:after="120"/>
      <w:ind w:left="975" w:hanging="340"/>
    </w:pPr>
    <w:rPr>
      <w:i w:val="0"/>
      <w:iCs w:val="0"/>
      <w:color w:val="auto"/>
      <w:sz w:val="20"/>
      <w:szCs w:val="20"/>
    </w:rPr>
  </w:style>
  <w:style w:type="character" w:customStyle="1" w:styleId="NagwekZnak">
    <w:name w:val="Nagłówek Znak"/>
    <w:link w:val="Nagwek"/>
    <w:uiPriority w:val="99"/>
    <w:semiHidden/>
    <w:locked/>
    <w:rsid w:val="00841658"/>
    <w:rPr>
      <w:sz w:val="24"/>
      <w:szCs w:val="24"/>
    </w:rPr>
  </w:style>
  <w:style w:type="paragraph" w:customStyle="1" w:styleId="ECHRHeading5">
    <w:name w:val="ECHR_Heading_5"/>
    <w:aliases w:val="Ju_H_i"/>
    <w:basedOn w:val="Nagwek5"/>
    <w:next w:val="ECHRPara"/>
    <w:uiPriority w:val="99"/>
    <w:rsid w:val="00841658"/>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Nagwek6"/>
    <w:next w:val="ECHRPara"/>
    <w:uiPriority w:val="99"/>
    <w:rsid w:val="00841658"/>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Nagwek7"/>
    <w:next w:val="ECHRPara"/>
    <w:uiPriority w:val="99"/>
    <w:rsid w:val="00841658"/>
    <w:pPr>
      <w:keepNext/>
      <w:keepLines/>
      <w:spacing w:before="240" w:after="120"/>
      <w:ind w:left="1236"/>
    </w:pPr>
  </w:style>
  <w:style w:type="paragraph" w:customStyle="1" w:styleId="JuParaLast">
    <w:name w:val="Ju_Para_Last"/>
    <w:basedOn w:val="Normalny"/>
    <w:next w:val="ECHRPara"/>
    <w:uiPriority w:val="99"/>
    <w:rsid w:val="00841658"/>
    <w:pPr>
      <w:keepNext/>
      <w:keepLines/>
      <w:spacing w:before="240"/>
      <w:ind w:firstLine="284"/>
    </w:pPr>
  </w:style>
  <w:style w:type="paragraph" w:customStyle="1" w:styleId="ECHRDecisionBody">
    <w:name w:val="ECHR_Decision_Body"/>
    <w:aliases w:val="Ju_Judges"/>
    <w:basedOn w:val="Normalny"/>
    <w:uiPriority w:val="99"/>
    <w:rsid w:val="00841658"/>
    <w:pPr>
      <w:tabs>
        <w:tab w:val="left" w:pos="567"/>
        <w:tab w:val="left" w:pos="1134"/>
      </w:tabs>
      <w:jc w:val="left"/>
    </w:pPr>
  </w:style>
  <w:style w:type="paragraph" w:customStyle="1" w:styleId="JuList">
    <w:name w:val="Ju_List"/>
    <w:basedOn w:val="Normalny"/>
    <w:uiPriority w:val="99"/>
    <w:rsid w:val="00841658"/>
    <w:pPr>
      <w:ind w:left="340" w:hanging="340"/>
    </w:pPr>
  </w:style>
  <w:style w:type="paragraph" w:customStyle="1" w:styleId="JuLista">
    <w:name w:val="Ju_List_a"/>
    <w:basedOn w:val="JuList"/>
    <w:uiPriority w:val="99"/>
    <w:rsid w:val="00841658"/>
    <w:pPr>
      <w:ind w:left="346" w:firstLine="0"/>
    </w:pPr>
  </w:style>
  <w:style w:type="paragraph" w:customStyle="1" w:styleId="JuListi">
    <w:name w:val="Ju_List_i"/>
    <w:basedOn w:val="Normalny"/>
    <w:next w:val="JuLista"/>
    <w:uiPriority w:val="99"/>
    <w:rsid w:val="00841658"/>
    <w:pPr>
      <w:ind w:left="794"/>
    </w:pPr>
  </w:style>
  <w:style w:type="character" w:styleId="Wyrnieniedelikatne">
    <w:name w:val="Subtle Emphasis"/>
    <w:basedOn w:val="Domylnaczcionkaakapitu"/>
    <w:uiPriority w:val="99"/>
    <w:qFormat/>
    <w:rsid w:val="00841658"/>
    <w:rPr>
      <w:i/>
      <w:iCs/>
    </w:rPr>
  </w:style>
  <w:style w:type="paragraph" w:customStyle="1" w:styleId="JuTitle">
    <w:name w:val="Ju_Title"/>
    <w:basedOn w:val="Normalny"/>
    <w:next w:val="ECHRPara"/>
    <w:uiPriority w:val="99"/>
    <w:semiHidden/>
    <w:rsid w:val="00841658"/>
    <w:pPr>
      <w:spacing w:before="720" w:after="240"/>
      <w:jc w:val="center"/>
      <w:outlineLvl w:val="0"/>
    </w:pPr>
    <w:rPr>
      <w:b/>
      <w:bCs/>
      <w:caps/>
    </w:rPr>
  </w:style>
  <w:style w:type="table" w:customStyle="1" w:styleId="ECHRTable">
    <w:name w:val="ECHR_Table"/>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pPr>
      <w:spacing w:after="0" w:line="240" w:lineRule="auto"/>
    </w:pPr>
    <w:rPr>
      <w:rFonts w:ascii="Verdana" w:hAnsi="Verdana" w:cs="Verdana"/>
      <w:sz w:val="20"/>
      <w:szCs w:val="20"/>
    </w:rPr>
    <w:tblPr>
      <w:tblCellMar>
        <w:top w:w="57" w:type="dxa"/>
        <w:left w:w="57" w:type="dxa"/>
        <w:bottom w:w="57" w:type="dxa"/>
        <w:right w:w="57" w:type="dxa"/>
      </w:tblCellMar>
    </w:tblPr>
    <w:tcPr>
      <w:shd w:val="clear" w:color="auto" w:fill="F8F8F8"/>
    </w:tcPr>
  </w:style>
  <w:style w:type="paragraph" w:customStyle="1" w:styleId="OpiH1">
    <w:name w:val="Opi_H_1"/>
    <w:basedOn w:val="ECHRHeading2"/>
    <w:uiPriority w:val="99"/>
    <w:rsid w:val="00841658"/>
    <w:pPr>
      <w:ind w:left="635" w:hanging="357"/>
      <w:outlineLvl w:val="2"/>
    </w:pPr>
  </w:style>
  <w:style w:type="paragraph" w:customStyle="1" w:styleId="OpiHa">
    <w:name w:val="Opi_H_a"/>
    <w:basedOn w:val="ECHRHeading3"/>
    <w:uiPriority w:val="99"/>
    <w:rsid w:val="00841658"/>
    <w:pPr>
      <w:ind w:left="833" w:hanging="357"/>
      <w:outlineLvl w:val="3"/>
    </w:pPr>
    <w:rPr>
      <w:b/>
      <w:bCs/>
      <w:i w:val="0"/>
      <w:iCs w:val="0"/>
      <w:sz w:val="20"/>
      <w:szCs w:val="20"/>
    </w:rPr>
  </w:style>
  <w:style w:type="paragraph" w:customStyle="1" w:styleId="OpiHA0">
    <w:name w:val="Opi_H_A"/>
    <w:basedOn w:val="ECHRHeading1"/>
    <w:next w:val="OpiPara"/>
    <w:uiPriority w:val="99"/>
    <w:rsid w:val="00841658"/>
    <w:pPr>
      <w:tabs>
        <w:tab w:val="clear" w:pos="357"/>
      </w:tabs>
      <w:outlineLvl w:val="1"/>
    </w:pPr>
    <w:rPr>
      <w:b/>
      <w:bCs/>
    </w:rPr>
  </w:style>
  <w:style w:type="character" w:styleId="Uwydatnienie">
    <w:name w:val="Emphasis"/>
    <w:basedOn w:val="Domylnaczcionkaakapitu"/>
    <w:uiPriority w:val="99"/>
    <w:qFormat/>
    <w:rsid w:val="00841658"/>
    <w:rPr>
      <w:b/>
      <w:bCs/>
      <w:i/>
      <w:iCs/>
      <w:spacing w:val="10"/>
      <w:shd w:val="clear" w:color="auto" w:fill="auto"/>
    </w:rPr>
  </w:style>
  <w:style w:type="paragraph" w:styleId="Stopka">
    <w:name w:val="footer"/>
    <w:basedOn w:val="Normalny"/>
    <w:link w:val="StopkaZnak"/>
    <w:uiPriority w:val="99"/>
    <w:semiHidden/>
    <w:rsid w:val="00841658"/>
    <w:pPr>
      <w:tabs>
        <w:tab w:val="center" w:pos="4536"/>
        <w:tab w:val="right" w:pos="9696"/>
      </w:tabs>
      <w:ind w:left="-680" w:right="-680"/>
    </w:pPr>
    <w:rPr>
      <w:rFonts w:eastAsia="Times New Roman"/>
      <w:lang w:eastAsia="pl-PL"/>
    </w:rPr>
  </w:style>
  <w:style w:type="character" w:styleId="Odwoanieprzypisudolnego">
    <w:name w:val="footnote reference"/>
    <w:basedOn w:val="Domylnaczcionkaakapitu"/>
    <w:uiPriority w:val="99"/>
    <w:semiHidden/>
    <w:rsid w:val="00841658"/>
    <w:rPr>
      <w:vertAlign w:val="superscript"/>
    </w:rPr>
  </w:style>
  <w:style w:type="character" w:customStyle="1" w:styleId="StopkaZnak">
    <w:name w:val="Stopka Znak"/>
    <w:link w:val="Stopka"/>
    <w:uiPriority w:val="99"/>
    <w:semiHidden/>
    <w:locked/>
    <w:rsid w:val="00841658"/>
    <w:rPr>
      <w:sz w:val="24"/>
      <w:szCs w:val="24"/>
    </w:rPr>
  </w:style>
  <w:style w:type="paragraph" w:styleId="Tekstprzypisudolnego">
    <w:name w:val="footnote text"/>
    <w:basedOn w:val="Normalny"/>
    <w:link w:val="TekstprzypisudolnegoZnak"/>
    <w:uiPriority w:val="99"/>
    <w:semiHidden/>
    <w:rsid w:val="00841658"/>
    <w:rPr>
      <w:sz w:val="20"/>
      <w:szCs w:val="20"/>
      <w:lang w:eastAsia="pl-PL"/>
    </w:rPr>
  </w:style>
  <w:style w:type="character" w:styleId="Hipercze">
    <w:name w:val="Hyperlink"/>
    <w:basedOn w:val="Domylnaczcionkaakapitu"/>
    <w:uiPriority w:val="99"/>
    <w:semiHidden/>
    <w:rsid w:val="00841658"/>
    <w:rPr>
      <w:color w:val="0072BC"/>
      <w:u w:val="single"/>
    </w:rPr>
  </w:style>
  <w:style w:type="character" w:customStyle="1" w:styleId="TekstprzypisudolnegoZnak">
    <w:name w:val="Tekst przypisu dolnego Znak"/>
    <w:link w:val="Tekstprzypisudolnego"/>
    <w:uiPriority w:val="99"/>
    <w:semiHidden/>
    <w:locked/>
    <w:rsid w:val="00841658"/>
    <w:rPr>
      <w:rFonts w:eastAsia="MS Mincho"/>
      <w:sz w:val="20"/>
      <w:szCs w:val="20"/>
    </w:rPr>
  </w:style>
  <w:style w:type="character" w:styleId="Wyrnienieintensywne">
    <w:name w:val="Intense Emphasis"/>
    <w:basedOn w:val="Domylnaczcionkaakapitu"/>
    <w:uiPriority w:val="99"/>
    <w:qFormat/>
    <w:rsid w:val="00841658"/>
    <w:rPr>
      <w:b/>
      <w:bCs/>
    </w:rPr>
  </w:style>
  <w:style w:type="paragraph" w:styleId="Cytatintensywny">
    <w:name w:val="Intense Quote"/>
    <w:basedOn w:val="Normalny"/>
    <w:next w:val="Normalny"/>
    <w:link w:val="CytatintensywnyZnak"/>
    <w:uiPriority w:val="99"/>
    <w:qFormat/>
    <w:rsid w:val="00841658"/>
    <w:pPr>
      <w:pBdr>
        <w:bottom w:val="single" w:sz="4" w:space="1" w:color="auto"/>
      </w:pBdr>
      <w:spacing w:before="200" w:after="280"/>
      <w:ind w:left="1008" w:right="1152"/>
    </w:pPr>
    <w:rPr>
      <w:b/>
      <w:bCs/>
      <w:i/>
      <w:iCs/>
      <w:sz w:val="20"/>
      <w:szCs w:val="20"/>
      <w:lang w:eastAsia="pl-PL"/>
    </w:rPr>
  </w:style>
  <w:style w:type="character" w:styleId="Odwoanieintensywne">
    <w:name w:val="Intense Reference"/>
    <w:basedOn w:val="Domylnaczcionkaakapitu"/>
    <w:uiPriority w:val="99"/>
    <w:qFormat/>
    <w:rsid w:val="00841658"/>
    <w:rPr>
      <w:smallCaps/>
      <w:spacing w:val="5"/>
      <w:u w:val="single"/>
    </w:rPr>
  </w:style>
  <w:style w:type="character" w:customStyle="1" w:styleId="CytatintensywnyZnak">
    <w:name w:val="Cytat intensywny Znak"/>
    <w:link w:val="Cytatintensywny"/>
    <w:uiPriority w:val="99"/>
    <w:semiHidden/>
    <w:locked/>
    <w:rsid w:val="00841658"/>
    <w:rPr>
      <w:rFonts w:eastAsia="MS Mincho"/>
      <w:b/>
      <w:bCs/>
      <w:i/>
      <w:iCs/>
    </w:rPr>
  </w:style>
  <w:style w:type="paragraph" w:styleId="Akapitzlist">
    <w:name w:val="List Paragraph"/>
    <w:basedOn w:val="Normalny"/>
    <w:uiPriority w:val="99"/>
    <w:qFormat/>
    <w:rsid w:val="00841658"/>
    <w:pPr>
      <w:ind w:left="720"/>
    </w:pPr>
  </w:style>
  <w:style w:type="table" w:customStyle="1" w:styleId="LtrTableAddress">
    <w:name w:val="Ltr_Table_Address"/>
    <w:uiPriority w:val="99"/>
    <w:rsid w:val="001E6F32"/>
    <w:pPr>
      <w:spacing w:after="0" w:line="240" w:lineRule="auto"/>
    </w:pPr>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841658"/>
    <w:pPr>
      <w:spacing w:before="200"/>
      <w:ind w:left="360" w:right="360"/>
    </w:pPr>
    <w:rPr>
      <w:i/>
      <w:iCs/>
      <w:sz w:val="20"/>
      <w:szCs w:val="20"/>
      <w:lang w:eastAsia="pl-PL"/>
    </w:rPr>
  </w:style>
  <w:style w:type="character" w:styleId="Odwoaniedelikatne">
    <w:name w:val="Subtle Reference"/>
    <w:basedOn w:val="Domylnaczcionkaakapitu"/>
    <w:uiPriority w:val="99"/>
    <w:qFormat/>
    <w:rsid w:val="00841658"/>
    <w:rPr>
      <w:smallCaps/>
    </w:rPr>
  </w:style>
  <w:style w:type="character" w:customStyle="1" w:styleId="CytatZnak">
    <w:name w:val="Cytat Znak"/>
    <w:link w:val="Cytat"/>
    <w:uiPriority w:val="99"/>
    <w:semiHidden/>
    <w:locked/>
    <w:rsid w:val="00841658"/>
    <w:rPr>
      <w:rFonts w:eastAsia="MS Mincho"/>
      <w:i/>
      <w:iCs/>
    </w:rPr>
  </w:style>
  <w:style w:type="table" w:styleId="Tabela-Siatka">
    <w:name w:val="Table Grid"/>
    <w:basedOn w:val="Standardowy"/>
    <w:uiPriority w:val="99"/>
    <w:semiHidden/>
    <w:rsid w:val="00841658"/>
    <w:pPr>
      <w:spacing w:after="0" w:line="240" w:lineRule="auto"/>
    </w:pPr>
    <w:rPr>
      <w:rFonts w:eastAsia="MS Minch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841658"/>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841658"/>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841658"/>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841658"/>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841658"/>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841658"/>
    <w:pPr>
      <w:keepNext/>
      <w:keepLines/>
      <w:spacing w:before="240"/>
      <w:jc w:val="center"/>
    </w:pPr>
    <w:rPr>
      <w:rFonts w:eastAsia="Times New Roman"/>
      <w:b/>
      <w:bCs/>
      <w:color w:val="474747"/>
      <w:sz w:val="28"/>
      <w:szCs w:val="28"/>
    </w:rPr>
  </w:style>
  <w:style w:type="table" w:customStyle="1" w:styleId="UGTable">
    <w:name w:val="UG_Table"/>
    <w:uiPriority w:val="99"/>
    <w:rsid w:val="00572845"/>
    <w:pPr>
      <w:spacing w:after="0" w:line="240" w:lineRule="auto"/>
    </w:pPr>
    <w:rPr>
      <w:rFonts w:eastAsia="MS Mincho"/>
      <w:sz w:val="20"/>
      <w:szCs w:val="20"/>
      <w:lang w:eastAsia="en-GB"/>
    </w:rPr>
    <w:tblPr>
      <w:tblCellMar>
        <w:top w:w="0" w:type="dxa"/>
        <w:left w:w="57" w:type="dxa"/>
        <w:bottom w:w="57" w:type="dxa"/>
        <w:right w:w="113" w:type="dxa"/>
      </w:tblCellMar>
    </w:tblPr>
  </w:style>
  <w:style w:type="table" w:customStyle="1" w:styleId="UGTableWhiteBox">
    <w:name w:val="UG_Table_White_Box"/>
    <w:uiPriority w:val="99"/>
    <w:rsid w:val="003609FA"/>
    <w:pPr>
      <w:spacing w:after="0" w:line="240" w:lineRule="auto"/>
    </w:pPr>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pPr>
      <w:spacing w:after="0" w:line="240" w:lineRule="auto"/>
    </w:pPr>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pPr>
      <w:spacing w:after="0" w:line="240" w:lineRule="auto"/>
    </w:pPr>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pPr>
      <w:spacing w:after="0" w:line="240" w:lineRule="auto"/>
    </w:pPr>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pPr>
      <w:spacing w:after="0" w:line="240" w:lineRule="auto"/>
    </w:pPr>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841658"/>
    <w:pPr>
      <w:keepNext/>
      <w:keepLines/>
      <w:spacing w:before="240"/>
      <w:jc w:val="center"/>
    </w:pPr>
    <w:rPr>
      <w:rFonts w:eastAsia="MS Gothic"/>
      <w:b/>
      <w:bCs/>
      <w:color w:val="474747"/>
      <w:sz w:val="28"/>
      <w:szCs w:val="28"/>
    </w:rPr>
  </w:style>
  <w:style w:type="paragraph" w:styleId="Podtytu">
    <w:name w:val="Subtitle"/>
    <w:basedOn w:val="Normalny"/>
    <w:next w:val="Normalny"/>
    <w:link w:val="PodtytuZnak"/>
    <w:uiPriority w:val="99"/>
    <w:qFormat/>
    <w:rsid w:val="00841658"/>
    <w:pPr>
      <w:spacing w:after="600"/>
    </w:pPr>
    <w:rPr>
      <w:rFonts w:eastAsia="MS Gothic"/>
      <w:i/>
      <w:iCs/>
      <w:spacing w:val="13"/>
      <w:lang w:eastAsia="pl-PL"/>
    </w:rPr>
  </w:style>
  <w:style w:type="paragraph" w:customStyle="1" w:styleId="ECHRPara">
    <w:name w:val="ECHR_Para"/>
    <w:aliases w:val="Ju_Para,Left,First line:  0 cm"/>
    <w:basedOn w:val="Normalny"/>
    <w:link w:val="ECHRParaChar"/>
    <w:uiPriority w:val="99"/>
    <w:rsid w:val="00841658"/>
    <w:pPr>
      <w:ind w:firstLine="284"/>
    </w:pPr>
    <w:rPr>
      <w:lang w:eastAsia="pl-PL"/>
    </w:rPr>
  </w:style>
  <w:style w:type="character" w:customStyle="1" w:styleId="PodtytuZnak">
    <w:name w:val="Podtytuł Znak"/>
    <w:link w:val="Podtytu"/>
    <w:uiPriority w:val="99"/>
    <w:semiHidden/>
    <w:locked/>
    <w:rsid w:val="00841658"/>
    <w:rPr>
      <w:rFonts w:ascii="Times New Roman" w:eastAsia="MS Gothic" w:hAnsi="Times New Roman" w:cs="Times New Roman"/>
      <w:i/>
      <w:iCs/>
      <w:spacing w:val="13"/>
      <w:sz w:val="24"/>
      <w:szCs w:val="24"/>
    </w:rPr>
  </w:style>
  <w:style w:type="table" w:customStyle="1" w:styleId="ECHRTableSimpleBox">
    <w:name w:val="ECHR_Table_Simple_Box"/>
    <w:uiPriority w:val="99"/>
    <w:rsid w:val="00AE354C"/>
    <w:pPr>
      <w:spacing w:after="0" w:line="240" w:lineRule="auto"/>
    </w:pPr>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pPr>
      <w:spacing w:after="0" w:line="240" w:lineRule="auto"/>
    </w:pPr>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pPr>
      <w:spacing w:after="0" w:line="240" w:lineRule="auto"/>
    </w:pPr>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841658"/>
    <w:pPr>
      <w:spacing w:after="0" w:line="240" w:lineRule="auto"/>
    </w:pPr>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661971"/>
    <w:pPr>
      <w:spacing w:after="0" w:line="240" w:lineRule="auto"/>
    </w:pPr>
    <w:rPr>
      <w:sz w:val="20"/>
      <w:szCs w:val="20"/>
    </w:rPr>
    <w:tblPr>
      <w:tblBorders>
        <w:bottom w:val="single" w:sz="6" w:space="0" w:color="949494"/>
      </w:tblBorders>
      <w:tblCellMar>
        <w:top w:w="0" w:type="dxa"/>
        <w:left w:w="0" w:type="dxa"/>
        <w:bottom w:w="28" w:type="dxa"/>
        <w:right w:w="0" w:type="dxa"/>
      </w:tblCellMar>
    </w:tblPr>
  </w:style>
  <w:style w:type="paragraph" w:styleId="Tekstpodstawowy">
    <w:name w:val="Body Text"/>
    <w:basedOn w:val="Normalny"/>
    <w:link w:val="TekstpodstawowyZnak"/>
    <w:uiPriority w:val="99"/>
    <w:semiHidden/>
    <w:rsid w:val="00DC4033"/>
    <w:pPr>
      <w:spacing w:after="120"/>
    </w:pPr>
    <w:rPr>
      <w:lang w:eastAsia="pl-PL"/>
    </w:rPr>
  </w:style>
  <w:style w:type="table" w:customStyle="1" w:styleId="ECHRTableOddBanded">
    <w:name w:val="ECHR_Table_Odd_Banded"/>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character" w:customStyle="1" w:styleId="TekstpodstawowyZnak">
    <w:name w:val="Tekst podstawowy Znak"/>
    <w:link w:val="Tekstpodstawowy"/>
    <w:uiPriority w:val="99"/>
    <w:semiHidden/>
    <w:locked/>
    <w:rsid w:val="00DC4033"/>
    <w:rPr>
      <w:rFonts w:eastAsia="MS Mincho"/>
      <w:sz w:val="24"/>
      <w:szCs w:val="24"/>
    </w:rPr>
  </w:style>
  <w:style w:type="paragraph" w:styleId="Tekstpodstawowy2">
    <w:name w:val="Body Text 2"/>
    <w:basedOn w:val="Normalny"/>
    <w:link w:val="Tekstpodstawowy2Znak"/>
    <w:uiPriority w:val="99"/>
    <w:semiHidden/>
    <w:rsid w:val="00DC4033"/>
    <w:pPr>
      <w:spacing w:after="120" w:line="480" w:lineRule="auto"/>
    </w:pPr>
    <w:rPr>
      <w:lang w:eastAsia="pl-PL"/>
    </w:rPr>
  </w:style>
  <w:style w:type="table" w:customStyle="1" w:styleId="ECHRHeaderTableReduced">
    <w:name w:val="ECHR_Header_Table_Reduced"/>
    <w:uiPriority w:val="99"/>
    <w:rsid w:val="00B52BE0"/>
    <w:pPr>
      <w:spacing w:after="0" w:line="240" w:lineRule="auto"/>
    </w:pPr>
    <w:rPr>
      <w:sz w:val="20"/>
      <w:szCs w:val="20"/>
    </w:rPr>
    <w:tblPr>
      <w:tblCellMar>
        <w:top w:w="0" w:type="dxa"/>
        <w:left w:w="0" w:type="dxa"/>
        <w:bottom w:w="0" w:type="dxa"/>
        <w:right w:w="0" w:type="dxa"/>
      </w:tblCellMar>
    </w:tblPr>
  </w:style>
  <w:style w:type="character" w:customStyle="1" w:styleId="Tekstpodstawowy2Znak">
    <w:name w:val="Tekst podstawowy 2 Znak"/>
    <w:link w:val="Tekstpodstawowy2"/>
    <w:uiPriority w:val="99"/>
    <w:semiHidden/>
    <w:locked/>
    <w:rsid w:val="00DC4033"/>
    <w:rPr>
      <w:rFonts w:eastAsia="MS Mincho"/>
      <w:sz w:val="24"/>
      <w:szCs w:val="24"/>
    </w:rPr>
  </w:style>
  <w:style w:type="paragraph" w:customStyle="1" w:styleId="JuCase">
    <w:name w:val="Ju_Case"/>
    <w:basedOn w:val="Normalny"/>
    <w:next w:val="ECHRPara"/>
    <w:uiPriority w:val="99"/>
    <w:rsid w:val="00841658"/>
    <w:pPr>
      <w:ind w:firstLine="284"/>
    </w:pPr>
    <w:rPr>
      <w:b/>
      <w:bCs/>
    </w:rPr>
  </w:style>
  <w:style w:type="character" w:styleId="Numerstrony">
    <w:name w:val="page number"/>
    <w:basedOn w:val="Domylnaczcionkaakapitu"/>
    <w:uiPriority w:val="99"/>
    <w:semiHidden/>
    <w:rsid w:val="00DC4033"/>
    <w:rPr>
      <w:sz w:val="18"/>
      <w:szCs w:val="18"/>
    </w:rPr>
  </w:style>
  <w:style w:type="paragraph" w:styleId="Listapunktowana">
    <w:name w:val="List Bullet"/>
    <w:basedOn w:val="Normalny"/>
    <w:uiPriority w:val="99"/>
    <w:semiHidden/>
    <w:rsid w:val="00DC4033"/>
    <w:pPr>
      <w:numPr>
        <w:numId w:val="31"/>
      </w:numPr>
    </w:pPr>
  </w:style>
  <w:style w:type="paragraph" w:styleId="Tekstpodstawowy3">
    <w:name w:val="Body Text 3"/>
    <w:basedOn w:val="Normalny"/>
    <w:link w:val="Tekstpodstawowy3Znak"/>
    <w:uiPriority w:val="99"/>
    <w:semiHidden/>
    <w:rsid w:val="00DC4033"/>
    <w:pPr>
      <w:spacing w:after="120"/>
    </w:pPr>
    <w:rPr>
      <w:sz w:val="16"/>
      <w:szCs w:val="16"/>
      <w:lang w:eastAsia="pl-PL"/>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3Znak">
    <w:name w:val="Tekst podstawowy 3 Znak"/>
    <w:link w:val="Tekstpodstawowy3"/>
    <w:uiPriority w:val="99"/>
    <w:semiHidden/>
    <w:locked/>
    <w:rsid w:val="00DC4033"/>
    <w:rPr>
      <w:rFonts w:eastAsia="MS Mincho"/>
      <w:sz w:val="16"/>
      <w:szCs w:val="16"/>
    </w:rPr>
  </w:style>
  <w:style w:type="paragraph" w:styleId="Tekstpodstawowywcity">
    <w:name w:val="Body Text Indent"/>
    <w:basedOn w:val="Normalny"/>
    <w:link w:val="TekstpodstawowywcityZnak"/>
    <w:uiPriority w:val="99"/>
    <w:semiHidden/>
    <w:rsid w:val="00DC4033"/>
    <w:pPr>
      <w:spacing w:after="120"/>
      <w:ind w:left="283"/>
    </w:pPr>
    <w:rPr>
      <w:lang w:eastAsia="pl-PL"/>
    </w:rPr>
  </w:style>
  <w:style w:type="character" w:customStyle="1" w:styleId="TekstpodstawowyzwciciemZnak">
    <w:name w:val="Tekst podstawowy z wcięciem Znak"/>
    <w:link w:val="Tekstpodstawowyzwciciem"/>
    <w:uiPriority w:val="99"/>
    <w:semiHidden/>
    <w:locked/>
    <w:rsid w:val="00DC4033"/>
    <w:rPr>
      <w:rFonts w:eastAsia="MS Mincho"/>
      <w:sz w:val="24"/>
      <w:szCs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wcityZnak">
    <w:name w:val="Tekst podstawowy wcięty Znak"/>
    <w:link w:val="Tekstpodstawowywcity"/>
    <w:uiPriority w:val="99"/>
    <w:semiHidden/>
    <w:locked/>
    <w:rsid w:val="00DC4033"/>
    <w:rPr>
      <w:rFonts w:eastAsia="MS Mincho"/>
      <w:sz w:val="24"/>
      <w:szCs w:val="24"/>
    </w:rPr>
  </w:style>
  <w:style w:type="paragraph" w:styleId="Tekstpodstawowywcity2">
    <w:name w:val="Body Text Indent 2"/>
    <w:basedOn w:val="Normalny"/>
    <w:link w:val="Tekstpodstawowywcity2Znak"/>
    <w:uiPriority w:val="99"/>
    <w:semiHidden/>
    <w:rsid w:val="00DC4033"/>
    <w:pPr>
      <w:spacing w:after="120" w:line="480" w:lineRule="auto"/>
      <w:ind w:left="283"/>
    </w:pPr>
    <w:rPr>
      <w:lang w:eastAsia="pl-PL"/>
    </w:rPr>
  </w:style>
  <w:style w:type="character" w:customStyle="1" w:styleId="Tekstpodstawowyzwciciem2Znak">
    <w:name w:val="Tekst podstawowy z wcięciem 2 Znak"/>
    <w:link w:val="Tekstpodstawowyzwciciem2"/>
    <w:uiPriority w:val="99"/>
    <w:semiHidden/>
    <w:locked/>
    <w:rsid w:val="00DC4033"/>
    <w:rPr>
      <w:rFonts w:eastAsia="MS Mincho"/>
      <w:sz w:val="24"/>
      <w:szCs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lang w:eastAsia="pl-PL"/>
    </w:rPr>
  </w:style>
  <w:style w:type="character" w:customStyle="1" w:styleId="Tekstpodstawowywcity2Znak">
    <w:name w:val="Tekst podstawowy wcięty 2 Znak"/>
    <w:link w:val="Tekstpodstawowywcity2"/>
    <w:uiPriority w:val="99"/>
    <w:semiHidden/>
    <w:locked/>
    <w:rsid w:val="00DC4033"/>
    <w:rPr>
      <w:rFonts w:eastAsia="MS Mincho"/>
      <w:sz w:val="24"/>
      <w:szCs w:val="24"/>
    </w:rPr>
  </w:style>
  <w:style w:type="paragraph" w:styleId="Legenda">
    <w:name w:val="caption"/>
    <w:basedOn w:val="Normalny"/>
    <w:next w:val="Normalny"/>
    <w:uiPriority w:val="99"/>
    <w:qFormat/>
    <w:rsid w:val="00DC4033"/>
    <w:pPr>
      <w:spacing w:after="200"/>
    </w:pPr>
    <w:rPr>
      <w:b/>
      <w:bCs/>
      <w:color w:val="0072BC"/>
      <w:sz w:val="18"/>
      <w:szCs w:val="18"/>
    </w:rPr>
  </w:style>
  <w:style w:type="character" w:customStyle="1" w:styleId="Tekstpodstawowywcity3Znak">
    <w:name w:val="Tekst podstawowy wcięty 3 Znak"/>
    <w:link w:val="Tekstpodstawowywcity3"/>
    <w:uiPriority w:val="99"/>
    <w:semiHidden/>
    <w:locked/>
    <w:rsid w:val="00DC4033"/>
    <w:rPr>
      <w:rFonts w:eastAsia="MS Mincho"/>
      <w:sz w:val="16"/>
      <w:szCs w:val="16"/>
    </w:rPr>
  </w:style>
  <w:style w:type="paragraph" w:styleId="Zwrotpoegnalny">
    <w:name w:val="Closing"/>
    <w:basedOn w:val="Normalny"/>
    <w:link w:val="ZwrotpoegnalnyZnak"/>
    <w:uiPriority w:val="99"/>
    <w:semiHidden/>
    <w:rsid w:val="00DC4033"/>
    <w:pPr>
      <w:ind w:left="4252"/>
    </w:pPr>
    <w:rPr>
      <w:lang w:eastAsia="pl-PL"/>
    </w:rPr>
  </w:style>
  <w:style w:type="table" w:styleId="Kolorowasiatka">
    <w:name w:val="Colorful Grid"/>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ZwrotpoegnalnyZnak">
    <w:name w:val="Zwrot pożegnalny Znak"/>
    <w:link w:val="Zwrotpoegnalny"/>
    <w:uiPriority w:val="99"/>
    <w:semiHidden/>
    <w:locked/>
    <w:rsid w:val="00DC4033"/>
    <w:rPr>
      <w:rFonts w:eastAsia="MS Mincho"/>
      <w:sz w:val="24"/>
      <w:szCs w:val="24"/>
    </w:rPr>
  </w:style>
  <w:style w:type="table" w:styleId="Kolorowasiatkaakcent1">
    <w:name w:val="Colorful Grid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Odwoaniedokomentarza">
    <w:name w:val="annotation reference"/>
    <w:basedOn w:val="Domylnaczcionkaakapitu"/>
    <w:uiPriority w:val="99"/>
    <w:semiHidden/>
    <w:rsid w:val="00DC4033"/>
    <w:rPr>
      <w:sz w:val="16"/>
      <w:szCs w:val="16"/>
    </w:rPr>
  </w:style>
  <w:style w:type="paragraph" w:styleId="Tekstkomentarza">
    <w:name w:val="annotation text"/>
    <w:basedOn w:val="Normalny"/>
    <w:link w:val="TekstkomentarzaZnak"/>
    <w:uiPriority w:val="99"/>
    <w:semiHidden/>
    <w:rsid w:val="00DC4033"/>
    <w:rPr>
      <w:sz w:val="20"/>
      <w:szCs w:val="20"/>
      <w:lang w:eastAsia="pl-PL"/>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kstkomentarzaZnak">
    <w:name w:val="Tekst komentarza Znak"/>
    <w:link w:val="Tekstkomentarza"/>
    <w:uiPriority w:val="99"/>
    <w:semiHidden/>
    <w:locked/>
    <w:rsid w:val="00DC4033"/>
    <w:rPr>
      <w:rFonts w:eastAsia="MS Mincho"/>
      <w:sz w:val="20"/>
      <w:szCs w:val="20"/>
    </w:rPr>
  </w:style>
  <w:style w:type="table" w:styleId="Ciemnalista">
    <w:name w:val="Dark List"/>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TematkomentarzaZnak">
    <w:name w:val="Temat komentarza Znak"/>
    <w:link w:val="Tematkomentarza"/>
    <w:uiPriority w:val="99"/>
    <w:semiHidden/>
    <w:locked/>
    <w:rsid w:val="00DC4033"/>
    <w:rPr>
      <w:rFonts w:eastAsia="MS Mincho"/>
      <w:b/>
      <w:bCs/>
      <w:sz w:val="20"/>
      <w:szCs w:val="20"/>
    </w:rPr>
  </w:style>
  <w:style w:type="table" w:styleId="Ciemnalista2akcent1">
    <w:name w:val="Dark List Accent 1"/>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DC4033"/>
    <w:rPr>
      <w:lang w:eastAsia="pl-PL"/>
    </w:rPr>
  </w:style>
  <w:style w:type="paragraph" w:styleId="Mapadokumentu">
    <w:name w:val="Document Map"/>
    <w:basedOn w:val="Normalny"/>
    <w:link w:val="MapadokumentuZnak"/>
    <w:uiPriority w:val="99"/>
    <w:semiHidden/>
    <w:rsid w:val="00DC4033"/>
    <w:rPr>
      <w:rFonts w:ascii="Tahoma" w:hAnsi="Tahoma" w:cs="Tahoma"/>
      <w:sz w:val="16"/>
      <w:szCs w:val="16"/>
      <w:lang w:eastAsia="pl-PL"/>
    </w:rPr>
  </w:style>
  <w:style w:type="character" w:customStyle="1" w:styleId="DataZnak">
    <w:name w:val="Data Znak"/>
    <w:link w:val="Data"/>
    <w:uiPriority w:val="99"/>
    <w:semiHidden/>
    <w:locked/>
    <w:rsid w:val="00DC4033"/>
    <w:rPr>
      <w:rFonts w:eastAsia="MS Mincho"/>
      <w:sz w:val="24"/>
      <w:szCs w:val="24"/>
    </w:rPr>
  </w:style>
  <w:style w:type="paragraph" w:styleId="Podpise-mail">
    <w:name w:val="E-mail Signature"/>
    <w:basedOn w:val="Normalny"/>
    <w:link w:val="Podpise-mailZnak"/>
    <w:uiPriority w:val="99"/>
    <w:semiHidden/>
    <w:rsid w:val="00DC4033"/>
    <w:rPr>
      <w:lang w:eastAsia="pl-PL"/>
    </w:rPr>
  </w:style>
  <w:style w:type="character" w:customStyle="1" w:styleId="MapadokumentuZnak">
    <w:name w:val="Mapa dokumentu Znak"/>
    <w:link w:val="Mapadokumentu"/>
    <w:uiPriority w:val="99"/>
    <w:semiHidden/>
    <w:locked/>
    <w:rsid w:val="00DC4033"/>
    <w:rPr>
      <w:rFonts w:ascii="Tahoma" w:eastAsia="MS Mincho" w:hAnsi="Tahoma" w:cs="Tahoma"/>
      <w:sz w:val="16"/>
      <w:szCs w:val="16"/>
    </w:rPr>
  </w:style>
  <w:style w:type="character" w:styleId="Odwoanieprzypisukocowego">
    <w:name w:val="endnote reference"/>
    <w:basedOn w:val="Domylnaczcionkaakapitu"/>
    <w:uiPriority w:val="99"/>
    <w:semiHidden/>
    <w:rsid w:val="00DC4033"/>
    <w:rPr>
      <w:vertAlign w:val="superscript"/>
    </w:rPr>
  </w:style>
  <w:style w:type="character" w:customStyle="1" w:styleId="Podpise-mailZnak">
    <w:name w:val="Podpis e-mail Znak"/>
    <w:link w:val="Podpise-mail"/>
    <w:uiPriority w:val="99"/>
    <w:semiHidden/>
    <w:locked/>
    <w:rsid w:val="00DC4033"/>
    <w:rPr>
      <w:rFonts w:eastAsia="MS Mincho"/>
      <w:sz w:val="24"/>
      <w:szCs w:val="24"/>
    </w:rPr>
  </w:style>
  <w:style w:type="paragraph" w:styleId="Tekstprzypisukocowego">
    <w:name w:val="endnote text"/>
    <w:basedOn w:val="Normalny"/>
    <w:link w:val="TekstprzypisukocowegoZnak"/>
    <w:uiPriority w:val="99"/>
    <w:semiHidden/>
    <w:rsid w:val="00DC4033"/>
    <w:rPr>
      <w:sz w:val="20"/>
      <w:szCs w:val="20"/>
      <w:lang w:eastAsia="pl-PL"/>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eastAsia="MS Gothic"/>
    </w:rPr>
  </w:style>
  <w:style w:type="character" w:customStyle="1" w:styleId="TekstprzypisukocowegoZnak">
    <w:name w:val="Tekst przypisu końcowego Znak"/>
    <w:link w:val="Tekstprzypisukocowego"/>
    <w:uiPriority w:val="99"/>
    <w:semiHidden/>
    <w:locked/>
    <w:rsid w:val="00DC4033"/>
    <w:rPr>
      <w:rFonts w:eastAsia="MS Mincho"/>
      <w:sz w:val="20"/>
      <w:szCs w:val="20"/>
    </w:rPr>
  </w:style>
  <w:style w:type="paragraph" w:styleId="Adreszwrotnynakopercie">
    <w:name w:val="envelope return"/>
    <w:basedOn w:val="Normalny"/>
    <w:uiPriority w:val="99"/>
    <w:semiHidden/>
    <w:rsid w:val="00DC4033"/>
    <w:rPr>
      <w:rFonts w:eastAsia="MS Gothic"/>
      <w:sz w:val="20"/>
      <w:szCs w:val="20"/>
    </w:rPr>
  </w:style>
  <w:style w:type="character" w:styleId="UyteHipercze">
    <w:name w:val="FollowedHyperlink"/>
    <w:basedOn w:val="Domylnaczcionkaakapitu"/>
    <w:uiPriority w:val="99"/>
    <w:semiHidden/>
    <w:rsid w:val="00DC4033"/>
    <w:rPr>
      <w:color w:val="auto"/>
      <w:u w:val="single"/>
    </w:rPr>
  </w:style>
  <w:style w:type="character" w:styleId="HTML-akronim">
    <w:name w:val="HTML Acronym"/>
    <w:basedOn w:val="Domylnaczcionkaakapitu"/>
    <w:uiPriority w:val="99"/>
    <w:semiHidden/>
    <w:rsid w:val="00DC4033"/>
  </w:style>
  <w:style w:type="paragraph" w:styleId="HTML-adres">
    <w:name w:val="HTML Address"/>
    <w:basedOn w:val="Normalny"/>
    <w:link w:val="HTML-adresZnak"/>
    <w:uiPriority w:val="99"/>
    <w:semiHidden/>
    <w:rsid w:val="00DC4033"/>
    <w:rPr>
      <w:i/>
      <w:iCs/>
      <w:lang w:eastAsia="pl-PL"/>
    </w:rPr>
  </w:style>
  <w:style w:type="character" w:styleId="HTML-cytat">
    <w:name w:val="HTML Cite"/>
    <w:basedOn w:val="Domylnaczcionkaakapitu"/>
    <w:uiPriority w:val="99"/>
    <w:semiHidden/>
    <w:rsid w:val="00DC4033"/>
    <w:rPr>
      <w:i/>
      <w:iCs/>
    </w:rPr>
  </w:style>
  <w:style w:type="character" w:customStyle="1" w:styleId="HTML-adresZnak">
    <w:name w:val="HTML - adres Znak"/>
    <w:link w:val="HTML-adres"/>
    <w:uiPriority w:val="99"/>
    <w:semiHidden/>
    <w:locked/>
    <w:rsid w:val="00DC4033"/>
    <w:rPr>
      <w:rFonts w:eastAsia="MS Mincho"/>
      <w:i/>
      <w:iCs/>
      <w:sz w:val="24"/>
      <w:szCs w:val="24"/>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lang w:eastAsia="pl-PL"/>
    </w:rPr>
  </w:style>
  <w:style w:type="character" w:styleId="HTML-przykad">
    <w:name w:val="HTML Sample"/>
    <w:basedOn w:val="Domylnaczcionkaakapitu"/>
    <w:uiPriority w:val="99"/>
    <w:semiHidden/>
    <w:rsid w:val="00DC4033"/>
    <w:rPr>
      <w:rFonts w:ascii="Consolas" w:hAnsi="Consolas" w:cs="Consolas"/>
      <w:sz w:val="24"/>
      <w:szCs w:val="24"/>
    </w:rPr>
  </w:style>
  <w:style w:type="character" w:customStyle="1" w:styleId="HTML-wstpniesformatowanyZnak">
    <w:name w:val="HTML - wstępnie sformatowany Znak"/>
    <w:link w:val="HTML-wstpniesformatowany"/>
    <w:uiPriority w:val="99"/>
    <w:semiHidden/>
    <w:locked/>
    <w:rsid w:val="00DC4033"/>
    <w:rPr>
      <w:rFonts w:ascii="Consolas" w:eastAsia="MS Mincho" w:hAnsi="Consolas" w:cs="Consolas"/>
      <w:sz w:val="20"/>
      <w:szCs w:val="20"/>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eastAsia="MS Gothic"/>
      <w:b/>
      <w:bCs/>
    </w:rPr>
  </w:style>
  <w:style w:type="table" w:styleId="Jasnasiatka">
    <w:name w:val="Light Grid"/>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DC4033"/>
    <w:pPr>
      <w:spacing w:after="0" w:line="240" w:lineRule="auto"/>
    </w:pPr>
    <w:rPr>
      <w:color w:val="00548C"/>
      <w:sz w:val="20"/>
      <w:szCs w:val="20"/>
    </w:rPr>
    <w:tblPr>
      <w:tblStyleRowBandSize w:val="1"/>
      <w:tblStyleColBandSize w:val="1"/>
      <w:tblInd w:w="0" w:type="nil"/>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DC4033"/>
    <w:pPr>
      <w:spacing w:after="0" w:line="240" w:lineRule="auto"/>
    </w:pPr>
    <w:rPr>
      <w:color w:val="8F0000"/>
      <w:sz w:val="20"/>
      <w:szCs w:val="20"/>
    </w:rPr>
    <w:tblPr>
      <w:tblStyleRowBandSize w:val="1"/>
      <w:tblStyleColBandSize w:val="1"/>
      <w:tblInd w:w="0" w:type="nil"/>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DC4033"/>
    <w:pPr>
      <w:spacing w:after="0" w:line="240" w:lineRule="auto"/>
    </w:pPr>
    <w:rPr>
      <w:color w:val="707070"/>
      <w:sz w:val="20"/>
      <w:szCs w:val="20"/>
    </w:rPr>
    <w:tblPr>
      <w:tblStyleRowBandSize w:val="1"/>
      <w:tblStyleColBandSize w:val="1"/>
      <w:tblInd w:w="0" w:type="nil"/>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DC4033"/>
    <w:pPr>
      <w:spacing w:after="0" w:line="240" w:lineRule="auto"/>
    </w:pPr>
    <w:rPr>
      <w:color w:val="393939"/>
      <w:sz w:val="20"/>
      <w:szCs w:val="20"/>
    </w:rPr>
    <w:tblPr>
      <w:tblStyleRowBandSize w:val="1"/>
      <w:tblStyleColBandSize w:val="1"/>
      <w:tblInd w:w="0" w:type="nil"/>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DC4033"/>
  </w:style>
  <w:style w:type="paragraph" w:styleId="Lista">
    <w:name w:val="List"/>
    <w:basedOn w:val="Normalny"/>
    <w:uiPriority w:val="99"/>
    <w:semiHidden/>
    <w:rsid w:val="00DC4033"/>
    <w:pPr>
      <w:ind w:left="283" w:hanging="283"/>
    </w:pPr>
  </w:style>
  <w:style w:type="paragraph" w:styleId="Lista2">
    <w:name w:val="List 2"/>
    <w:basedOn w:val="Normalny"/>
    <w:uiPriority w:val="99"/>
    <w:semiHidden/>
    <w:rsid w:val="00DC4033"/>
    <w:pPr>
      <w:ind w:left="566" w:hanging="283"/>
    </w:pPr>
  </w:style>
  <w:style w:type="paragraph" w:styleId="Lista3">
    <w:name w:val="List 3"/>
    <w:basedOn w:val="Normalny"/>
    <w:uiPriority w:val="99"/>
    <w:semiHidden/>
    <w:rsid w:val="00DC4033"/>
    <w:pPr>
      <w:ind w:left="849" w:hanging="283"/>
    </w:pPr>
  </w:style>
  <w:style w:type="paragraph" w:styleId="Lista4">
    <w:name w:val="List 4"/>
    <w:basedOn w:val="Normalny"/>
    <w:uiPriority w:val="99"/>
    <w:semiHidden/>
    <w:rsid w:val="00DC4033"/>
    <w:pPr>
      <w:ind w:left="1132" w:hanging="283"/>
    </w:pPr>
  </w:style>
  <w:style w:type="paragraph" w:styleId="Lista5">
    <w:name w:val="List 5"/>
    <w:basedOn w:val="Normalny"/>
    <w:uiPriority w:val="99"/>
    <w:semiHidden/>
    <w:rsid w:val="00DC4033"/>
    <w:pPr>
      <w:ind w:left="1415" w:hanging="283"/>
    </w:pPr>
  </w:style>
  <w:style w:type="paragraph" w:styleId="Listapunktowana2">
    <w:name w:val="List Bullet 2"/>
    <w:basedOn w:val="Normalny"/>
    <w:uiPriority w:val="99"/>
    <w:semiHidden/>
    <w:rsid w:val="00DC4033"/>
    <w:pPr>
      <w:numPr>
        <w:numId w:val="12"/>
      </w:numPr>
    </w:pPr>
  </w:style>
  <w:style w:type="paragraph" w:styleId="Listapunktowana3">
    <w:name w:val="List Bullet 3"/>
    <w:basedOn w:val="Normalny"/>
    <w:uiPriority w:val="99"/>
    <w:semiHidden/>
    <w:rsid w:val="00DC4033"/>
    <w:pPr>
      <w:numPr>
        <w:numId w:val="13"/>
      </w:numPr>
    </w:pPr>
  </w:style>
  <w:style w:type="paragraph" w:styleId="Listapunktowana4">
    <w:name w:val="List Bullet 4"/>
    <w:basedOn w:val="Normalny"/>
    <w:uiPriority w:val="99"/>
    <w:semiHidden/>
    <w:rsid w:val="00DC4033"/>
    <w:pPr>
      <w:numPr>
        <w:numId w:val="14"/>
      </w:numPr>
    </w:pPr>
  </w:style>
  <w:style w:type="paragraph" w:styleId="Listapunktowana5">
    <w:name w:val="List Bullet 5"/>
    <w:basedOn w:val="Normalny"/>
    <w:uiPriority w:val="99"/>
    <w:semiHidden/>
    <w:rsid w:val="00DC4033"/>
    <w:pPr>
      <w:numPr>
        <w:numId w:val="15"/>
      </w:numPr>
    </w:pPr>
  </w:style>
  <w:style w:type="paragraph" w:styleId="Lista-kontynuacja">
    <w:name w:val="List Continue"/>
    <w:basedOn w:val="Normalny"/>
    <w:uiPriority w:val="99"/>
    <w:semiHidden/>
    <w:rsid w:val="00DC4033"/>
    <w:pPr>
      <w:spacing w:after="120"/>
      <w:ind w:left="283"/>
    </w:pPr>
  </w:style>
  <w:style w:type="paragraph" w:styleId="Lista-kontynuacja2">
    <w:name w:val="List Continue 2"/>
    <w:basedOn w:val="Normalny"/>
    <w:uiPriority w:val="99"/>
    <w:semiHidden/>
    <w:rsid w:val="00DC4033"/>
    <w:pPr>
      <w:spacing w:after="120"/>
      <w:ind w:left="566"/>
    </w:pPr>
  </w:style>
  <w:style w:type="paragraph" w:styleId="Lista-kontynuacja3">
    <w:name w:val="List Continue 3"/>
    <w:basedOn w:val="Normalny"/>
    <w:uiPriority w:val="99"/>
    <w:semiHidden/>
    <w:rsid w:val="00DC4033"/>
    <w:pPr>
      <w:spacing w:after="120"/>
      <w:ind w:left="849"/>
    </w:pPr>
  </w:style>
  <w:style w:type="paragraph" w:styleId="Lista-kontynuacja4">
    <w:name w:val="List Continue 4"/>
    <w:basedOn w:val="Normalny"/>
    <w:uiPriority w:val="99"/>
    <w:semiHidden/>
    <w:rsid w:val="00DC4033"/>
    <w:pPr>
      <w:spacing w:after="120"/>
      <w:ind w:left="1132"/>
    </w:pPr>
  </w:style>
  <w:style w:type="paragraph" w:styleId="Lista-kontynuacja5">
    <w:name w:val="List Continue 5"/>
    <w:basedOn w:val="Normalny"/>
    <w:uiPriority w:val="99"/>
    <w:semiHidden/>
    <w:rsid w:val="00DC4033"/>
    <w:pPr>
      <w:spacing w:after="120"/>
      <w:ind w:left="1415"/>
    </w:pPr>
  </w:style>
  <w:style w:type="paragraph" w:styleId="Listanumerowana">
    <w:name w:val="List Number"/>
    <w:basedOn w:val="Normalny"/>
    <w:uiPriority w:val="99"/>
    <w:semiHidden/>
    <w:rsid w:val="00DC4033"/>
    <w:pPr>
      <w:numPr>
        <w:numId w:val="16"/>
      </w:numPr>
    </w:pPr>
  </w:style>
  <w:style w:type="paragraph" w:styleId="Listanumerowana2">
    <w:name w:val="List Number 2"/>
    <w:basedOn w:val="Normalny"/>
    <w:uiPriority w:val="99"/>
    <w:semiHidden/>
    <w:rsid w:val="00DC4033"/>
    <w:pPr>
      <w:numPr>
        <w:numId w:val="17"/>
      </w:numPr>
    </w:pPr>
  </w:style>
  <w:style w:type="paragraph" w:styleId="Listanumerowana3">
    <w:name w:val="List Number 3"/>
    <w:basedOn w:val="Normalny"/>
    <w:uiPriority w:val="99"/>
    <w:semiHidden/>
    <w:rsid w:val="00DC4033"/>
    <w:pPr>
      <w:numPr>
        <w:numId w:val="18"/>
      </w:numPr>
    </w:pPr>
  </w:style>
  <w:style w:type="paragraph" w:styleId="Listanumerowana4">
    <w:name w:val="List Number 4"/>
    <w:basedOn w:val="Normalny"/>
    <w:uiPriority w:val="99"/>
    <w:semiHidden/>
    <w:rsid w:val="00DC4033"/>
    <w:pPr>
      <w:numPr>
        <w:numId w:val="19"/>
      </w:numPr>
    </w:pPr>
  </w:style>
  <w:style w:type="paragraph" w:styleId="Listanumerowana5">
    <w:name w:val="List Number 5"/>
    <w:basedOn w:val="Normalny"/>
    <w:uiPriority w:val="99"/>
    <w:semiHidden/>
    <w:rsid w:val="00DC4033"/>
    <w:pPr>
      <w:numPr>
        <w:numId w:val="20"/>
      </w:numPr>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lang w:eastAsia="en-US"/>
    </w:rPr>
  </w:style>
  <w:style w:type="table" w:styleId="redniasiatka1">
    <w:name w:val="Medium Grid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TekstmakraZnak">
    <w:name w:val="Tekst makra Znak"/>
    <w:link w:val="Tekstmakra"/>
    <w:uiPriority w:val="99"/>
    <w:semiHidden/>
    <w:locked/>
    <w:rsid w:val="00DC4033"/>
    <w:rPr>
      <w:rFonts w:ascii="Consolas" w:eastAsia="MS Mincho" w:hAnsi="Consolas" w:cs="Consolas"/>
      <w:lang w:val="pl-PL" w:eastAsia="en-US"/>
    </w:rPr>
  </w:style>
  <w:style w:type="table" w:styleId="redniasiatka1akcent1">
    <w:name w:val="Medium Grid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eastAsia="pl-PL"/>
    </w:rPr>
  </w:style>
  <w:style w:type="paragraph" w:styleId="NormalnyWeb">
    <w:name w:val="Normal (Web)"/>
    <w:basedOn w:val="Normalny"/>
    <w:uiPriority w:val="99"/>
    <w:semiHidden/>
    <w:rsid w:val="00DC4033"/>
  </w:style>
  <w:style w:type="character" w:customStyle="1" w:styleId="NagwekwiadomociZnak">
    <w:name w:val="Nagłówek wiadomości Znak"/>
    <w:link w:val="Nagwekwiadomoci"/>
    <w:uiPriority w:val="99"/>
    <w:semiHidden/>
    <w:locked/>
    <w:rsid w:val="00DC4033"/>
    <w:rPr>
      <w:rFonts w:ascii="Times New Roman" w:eastAsia="MS Gothic" w:hAnsi="Times New Roman" w:cs="Times New Roman"/>
      <w:sz w:val="24"/>
      <w:szCs w:val="24"/>
      <w:shd w:val="pct20" w:color="auto" w:fill="auto"/>
    </w:rPr>
  </w:style>
  <w:style w:type="paragraph" w:styleId="Wcicienormalne">
    <w:name w:val="Normal Indent"/>
    <w:basedOn w:val="Normalny"/>
    <w:uiPriority w:val="99"/>
    <w:semiHidden/>
    <w:rsid w:val="00DC4033"/>
    <w:pPr>
      <w:ind w:left="720"/>
    </w:pPr>
  </w:style>
  <w:style w:type="paragraph" w:styleId="Nagweknotatki">
    <w:name w:val="Note Heading"/>
    <w:basedOn w:val="Normalny"/>
    <w:next w:val="Normalny"/>
    <w:link w:val="NagweknotatkiZnak"/>
    <w:uiPriority w:val="99"/>
    <w:semiHidden/>
    <w:rsid w:val="00DC4033"/>
    <w:rPr>
      <w:lang w:eastAsia="pl-PL"/>
    </w:rPr>
  </w:style>
  <w:style w:type="character" w:styleId="Tekstzastpczy">
    <w:name w:val="Placeholder Text"/>
    <w:basedOn w:val="Domylnaczcionkaakapitu"/>
    <w:uiPriority w:val="99"/>
    <w:semiHidden/>
    <w:rsid w:val="00841658"/>
    <w:rPr>
      <w:color w:val="auto"/>
      <w:shd w:val="clear" w:color="auto" w:fill="DFDFDF"/>
    </w:rPr>
  </w:style>
  <w:style w:type="character" w:customStyle="1" w:styleId="NagweknotatkiZnak">
    <w:name w:val="Nagłówek notatki Znak"/>
    <w:link w:val="Nagweknotatki"/>
    <w:uiPriority w:val="99"/>
    <w:semiHidden/>
    <w:locked/>
    <w:rsid w:val="00DC4033"/>
    <w:rPr>
      <w:rFonts w:eastAsia="MS Mincho"/>
      <w:sz w:val="24"/>
      <w:szCs w:val="24"/>
    </w:rPr>
  </w:style>
  <w:style w:type="paragraph" w:styleId="Zwykytekst">
    <w:name w:val="Plain Text"/>
    <w:basedOn w:val="Normalny"/>
    <w:link w:val="ZwykytekstZnak"/>
    <w:uiPriority w:val="99"/>
    <w:semiHidden/>
    <w:rsid w:val="00DC4033"/>
    <w:rPr>
      <w:rFonts w:ascii="Consolas" w:hAnsi="Consolas" w:cs="Consolas"/>
      <w:sz w:val="21"/>
      <w:szCs w:val="21"/>
      <w:lang w:eastAsia="pl-PL"/>
    </w:rPr>
  </w:style>
  <w:style w:type="paragraph" w:styleId="Zwrotgrzecznociowy">
    <w:name w:val="Salutation"/>
    <w:basedOn w:val="Normalny"/>
    <w:next w:val="Normalny"/>
    <w:link w:val="ZwrotgrzecznociowyZnak"/>
    <w:uiPriority w:val="99"/>
    <w:semiHidden/>
    <w:rsid w:val="00DC4033"/>
    <w:rPr>
      <w:lang w:eastAsia="pl-PL"/>
    </w:rPr>
  </w:style>
  <w:style w:type="character" w:customStyle="1" w:styleId="ZwykytekstZnak">
    <w:name w:val="Zwykły tekst Znak"/>
    <w:link w:val="Zwykytekst"/>
    <w:uiPriority w:val="99"/>
    <w:semiHidden/>
    <w:locked/>
    <w:rsid w:val="00DC4033"/>
    <w:rPr>
      <w:rFonts w:ascii="Consolas" w:eastAsia="MS Mincho" w:hAnsi="Consolas" w:cs="Consolas"/>
      <w:sz w:val="21"/>
      <w:szCs w:val="21"/>
    </w:rPr>
  </w:style>
  <w:style w:type="paragraph" w:styleId="Podpis">
    <w:name w:val="Signature"/>
    <w:basedOn w:val="Normalny"/>
    <w:link w:val="PodpisZnak"/>
    <w:uiPriority w:val="99"/>
    <w:semiHidden/>
    <w:rsid w:val="00DC4033"/>
    <w:pPr>
      <w:ind w:left="4252"/>
    </w:pPr>
    <w:rPr>
      <w:lang w:eastAsia="pl-PL"/>
    </w:rPr>
  </w:style>
  <w:style w:type="character" w:customStyle="1" w:styleId="ZwrotgrzecznociowyZnak">
    <w:name w:val="Zwrot grzecznościowy Znak"/>
    <w:link w:val="Zwrotgrzecznociowy"/>
    <w:uiPriority w:val="99"/>
    <w:semiHidden/>
    <w:locked/>
    <w:rsid w:val="00DC4033"/>
    <w:rPr>
      <w:rFonts w:eastAsia="MS Mincho"/>
      <w:sz w:val="24"/>
      <w:szCs w:val="24"/>
    </w:rPr>
  </w:style>
  <w:style w:type="table" w:styleId="Tabela-Efekty3W1">
    <w:name w:val="Table 3D effects 1"/>
    <w:basedOn w:val="Standardowy"/>
    <w:uiPriority w:val="99"/>
    <w:semiHidden/>
    <w:rsid w:val="00DC4033"/>
    <w:pPr>
      <w:spacing w:after="0" w:line="240" w:lineRule="auto"/>
      <w:jc w:val="both"/>
    </w:pPr>
    <w:rPr>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odpisZnak">
    <w:name w:val="Podpis Znak"/>
    <w:link w:val="Podpis"/>
    <w:uiPriority w:val="99"/>
    <w:semiHidden/>
    <w:locked/>
    <w:rsid w:val="00DC4033"/>
    <w:rPr>
      <w:rFonts w:eastAsia="MS Mincho"/>
      <w:sz w:val="24"/>
      <w:szCs w:val="24"/>
    </w:rPr>
  </w:style>
  <w:style w:type="table" w:styleId="Tabela-Efekty3W2">
    <w:name w:val="Table 3D effects 2"/>
    <w:basedOn w:val="Standardowy"/>
    <w:uiPriority w:val="99"/>
    <w:semiHidden/>
    <w:rsid w:val="00DC4033"/>
    <w:pPr>
      <w:spacing w:after="0" w:line="240" w:lineRule="auto"/>
      <w:jc w:val="both"/>
    </w:pPr>
    <w:rPr>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DC4033"/>
    <w:pPr>
      <w:spacing w:after="0" w:line="240" w:lineRule="auto"/>
      <w:jc w:val="both"/>
    </w:pPr>
    <w:rPr>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DC4033"/>
    <w:pPr>
      <w:spacing w:after="0" w:line="240" w:lineRule="auto"/>
      <w:jc w:val="both"/>
    </w:pPr>
    <w:rPr>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DC4033"/>
    <w:pPr>
      <w:spacing w:after="0" w:line="240" w:lineRule="auto"/>
      <w:jc w:val="both"/>
    </w:pPr>
    <w:rPr>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DC4033"/>
    <w:pPr>
      <w:spacing w:after="0" w:line="240" w:lineRule="auto"/>
      <w:jc w:val="both"/>
    </w:pPr>
    <w:rPr>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DC4033"/>
    <w:pPr>
      <w:spacing w:after="0" w:line="240" w:lineRule="auto"/>
      <w:jc w:val="both"/>
    </w:pPr>
    <w:rPr>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DC4033"/>
    <w:pPr>
      <w:spacing w:after="0" w:line="240" w:lineRule="auto"/>
      <w:jc w:val="both"/>
    </w:pPr>
    <w:rPr>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DC4033"/>
    <w:pPr>
      <w:spacing w:after="0" w:line="240" w:lineRule="auto"/>
      <w:jc w:val="both"/>
    </w:pPr>
    <w:rPr>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DC4033"/>
    <w:pPr>
      <w:spacing w:after="0" w:line="240" w:lineRule="auto"/>
      <w:jc w:val="both"/>
    </w:pPr>
    <w:rPr>
      <w:b/>
      <w:bCs/>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DC4033"/>
    <w:pPr>
      <w:spacing w:after="0" w:line="240" w:lineRule="auto"/>
      <w:jc w:val="both"/>
    </w:pPr>
    <w:rPr>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DC4033"/>
    <w:pPr>
      <w:spacing w:after="0" w:line="240" w:lineRule="auto"/>
      <w:jc w:val="both"/>
    </w:pPr>
    <w:rPr>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DC4033"/>
    <w:pPr>
      <w:spacing w:after="0" w:line="240" w:lineRule="auto"/>
      <w:jc w:val="both"/>
    </w:pPr>
    <w:rPr>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DC4033"/>
    <w:pPr>
      <w:spacing w:after="0" w:line="240" w:lineRule="auto"/>
      <w:jc w:val="both"/>
    </w:pPr>
    <w:rPr>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DC4033"/>
    <w:pPr>
      <w:spacing w:after="0" w:line="240" w:lineRule="auto"/>
      <w:jc w:val="both"/>
    </w:pPr>
    <w:rPr>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DC4033"/>
    <w:pPr>
      <w:spacing w:after="0" w:line="240" w:lineRule="auto"/>
      <w:jc w:val="both"/>
    </w:pPr>
    <w:rPr>
      <w:sz w:val="20"/>
      <w:szCs w:val="20"/>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DC4033"/>
    <w:pPr>
      <w:spacing w:after="0" w:line="240" w:lineRule="auto"/>
      <w:jc w:val="both"/>
    </w:pPr>
    <w:rPr>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DC4033"/>
    <w:pPr>
      <w:spacing w:after="0" w:line="240" w:lineRule="auto"/>
      <w:jc w:val="both"/>
    </w:pPr>
    <w:rPr>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DC4033"/>
    <w:pPr>
      <w:spacing w:after="0" w:line="240" w:lineRule="auto"/>
      <w:jc w:val="both"/>
    </w:pPr>
    <w:rPr>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DC4033"/>
    <w:pPr>
      <w:spacing w:after="0" w:line="240" w:lineRule="auto"/>
      <w:jc w:val="both"/>
    </w:pPr>
    <w:rPr>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DC4033"/>
    <w:pPr>
      <w:spacing w:after="0" w:line="240" w:lineRule="auto"/>
      <w:jc w:val="both"/>
    </w:pPr>
    <w:rPr>
      <w:sz w:val="20"/>
      <w:szCs w:val="20"/>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DC4033"/>
    <w:pPr>
      <w:spacing w:after="0" w:line="240" w:lineRule="auto"/>
      <w:jc w:val="both"/>
    </w:pPr>
    <w:rPr>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DC4033"/>
    <w:pPr>
      <w:spacing w:after="0" w:line="240" w:lineRule="auto"/>
      <w:jc w:val="both"/>
    </w:pPr>
    <w:rPr>
      <w:sz w:val="20"/>
      <w:szCs w:val="20"/>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DC4033"/>
    <w:pPr>
      <w:spacing w:after="0" w:line="240" w:lineRule="auto"/>
      <w:jc w:val="both"/>
    </w:pPr>
    <w:rPr>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DC4033"/>
    <w:pPr>
      <w:spacing w:after="0" w:line="240" w:lineRule="auto"/>
      <w:jc w:val="both"/>
    </w:pPr>
    <w:rPr>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DC4033"/>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DC4033"/>
    <w:pPr>
      <w:spacing w:after="0" w:line="240" w:lineRule="auto"/>
      <w:jc w:val="both"/>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DC4033"/>
    <w:pPr>
      <w:spacing w:after="0" w:line="240" w:lineRule="auto"/>
      <w:jc w:val="both"/>
    </w:pPr>
    <w:rPr>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DC4033"/>
    <w:pPr>
      <w:spacing w:after="0" w:line="240" w:lineRule="auto"/>
      <w:jc w:val="both"/>
    </w:pPr>
    <w:rPr>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841658"/>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841658"/>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DC4033"/>
    <w:pPr>
      <w:spacing w:after="100"/>
      <w:ind w:left="1680"/>
    </w:pPr>
  </w:style>
  <w:style w:type="paragraph" w:styleId="Spistreci9">
    <w:name w:val="toc 9"/>
    <w:basedOn w:val="Normalny"/>
    <w:next w:val="Normalny"/>
    <w:autoRedefine/>
    <w:uiPriority w:val="99"/>
    <w:semiHidden/>
    <w:rsid w:val="00DC4033"/>
    <w:pPr>
      <w:spacing w:after="100"/>
      <w:ind w:left="1920"/>
    </w:pPr>
  </w:style>
  <w:style w:type="paragraph" w:customStyle="1" w:styleId="OpiHi">
    <w:name w:val="Opi_H_i"/>
    <w:basedOn w:val="ECHRHeading4"/>
    <w:uiPriority w:val="99"/>
    <w:rsid w:val="00841658"/>
    <w:pPr>
      <w:ind w:left="1037" w:hanging="357"/>
      <w:outlineLvl w:val="4"/>
    </w:pPr>
    <w:rPr>
      <w:b w:val="0"/>
      <w:bCs w:val="0"/>
      <w:i/>
      <w:iCs/>
    </w:rPr>
  </w:style>
  <w:style w:type="paragraph" w:customStyle="1" w:styleId="OpiParaSub">
    <w:name w:val="Opi_Para_Sub"/>
    <w:basedOn w:val="JuParaSub"/>
    <w:uiPriority w:val="99"/>
    <w:rsid w:val="00841658"/>
  </w:style>
  <w:style w:type="paragraph" w:customStyle="1" w:styleId="ECHRFooter">
    <w:name w:val="ECHR_Footer"/>
    <w:aliases w:val="Footer_ECHR"/>
    <w:basedOn w:val="Stopka"/>
    <w:uiPriority w:val="99"/>
    <w:semiHidden/>
    <w:rsid w:val="00841658"/>
    <w:pPr>
      <w:jc w:val="left"/>
    </w:pPr>
    <w:rPr>
      <w:sz w:val="8"/>
      <w:szCs w:val="8"/>
    </w:rPr>
  </w:style>
  <w:style w:type="paragraph" w:customStyle="1" w:styleId="ECHRFooterLine">
    <w:name w:val="ECHR_Footer_Line"/>
    <w:aliases w:val="Footer_Line"/>
    <w:basedOn w:val="Normalny"/>
    <w:next w:val="ECHRFooter"/>
    <w:uiPriority w:val="99"/>
    <w:semiHidden/>
    <w:rsid w:val="00841658"/>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ny"/>
    <w:next w:val="ECHRPara"/>
    <w:uiPriority w:val="99"/>
    <w:rsid w:val="00841658"/>
    <w:pPr>
      <w:spacing w:after="240"/>
      <w:jc w:val="center"/>
      <w:outlineLvl w:val="0"/>
    </w:pPr>
  </w:style>
  <w:style w:type="paragraph" w:customStyle="1" w:styleId="OpiQuot">
    <w:name w:val="Opi_Quot"/>
    <w:basedOn w:val="ECHRParaQuote"/>
    <w:uiPriority w:val="99"/>
    <w:rsid w:val="00841658"/>
  </w:style>
  <w:style w:type="paragraph" w:customStyle="1" w:styleId="OpiQuotSub">
    <w:name w:val="Opi_Quot_Sub"/>
    <w:basedOn w:val="JuQuotSub"/>
    <w:uiPriority w:val="99"/>
    <w:rsid w:val="00841658"/>
  </w:style>
  <w:style w:type="paragraph" w:customStyle="1" w:styleId="OpiTranslation">
    <w:name w:val="Opi_Translation"/>
    <w:basedOn w:val="Normalny"/>
    <w:next w:val="OpiPara"/>
    <w:uiPriority w:val="99"/>
    <w:rsid w:val="00841658"/>
    <w:pPr>
      <w:jc w:val="center"/>
      <w:outlineLvl w:val="0"/>
    </w:pPr>
    <w:rPr>
      <w:i/>
      <w:iCs/>
    </w:rPr>
  </w:style>
  <w:style w:type="paragraph" w:styleId="Poprawka">
    <w:name w:val="Revision"/>
    <w:hidden/>
    <w:uiPriority w:val="99"/>
    <w:semiHidden/>
    <w:rsid w:val="00DE2C4C"/>
    <w:pPr>
      <w:spacing w:after="0" w:line="240" w:lineRule="auto"/>
    </w:pPr>
    <w:rPr>
      <w:rFonts w:eastAsia="MS Mincho"/>
      <w:sz w:val="24"/>
      <w:szCs w:val="24"/>
      <w:lang w:eastAsia="en-US"/>
    </w:rPr>
  </w:style>
  <w:style w:type="character" w:customStyle="1" w:styleId="JuNames0">
    <w:name w:val="Ju_Names"/>
    <w:uiPriority w:val="99"/>
    <w:rsid w:val="00DE2C4C"/>
    <w:rPr>
      <w:smallCaps/>
    </w:rPr>
  </w:style>
  <w:style w:type="table" w:customStyle="1" w:styleId="Table3Deffects11">
    <w:name w:val="Table 3D effects 11"/>
    <w:uiPriority w:val="99"/>
    <w:semiHidden/>
    <w:rsid w:val="00DE2C4C"/>
    <w:pPr>
      <w:suppressAutoHyphens/>
      <w:spacing w:after="0" w:line="240" w:lineRule="auto"/>
    </w:pPr>
    <w:rPr>
      <w:sz w:val="20"/>
      <w:szCs w:val="20"/>
      <w:lang w:eastAsia="fr-FR"/>
    </w:rPr>
    <w:tblPr>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DE2C4C"/>
    <w:pPr>
      <w:suppressAutoHyphens/>
      <w:spacing w:after="0" w:line="240" w:lineRule="auto"/>
    </w:pPr>
    <w:rPr>
      <w:sz w:val="20"/>
      <w:szCs w:val="20"/>
      <w:lang w:eastAsia="fr-FR"/>
    </w:rPr>
    <w:tblPr>
      <w:tblStyleRowBandSize w:val="1"/>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DE2C4C"/>
    <w:pPr>
      <w:suppressAutoHyphens/>
      <w:spacing w:after="0" w:line="240" w:lineRule="auto"/>
    </w:pPr>
    <w:rPr>
      <w:sz w:val="20"/>
      <w:szCs w:val="20"/>
      <w:lang w:eastAsia="fr-FR"/>
    </w:rPr>
    <w:tblPr>
      <w:tblStyleRowBandSize w:val="1"/>
      <w:tblStyleColBandSize w:val="1"/>
      <w:tblCellMar>
        <w:top w:w="0" w:type="dxa"/>
        <w:left w:w="108" w:type="dxa"/>
        <w:bottom w:w="0" w:type="dxa"/>
        <w:right w:w="108" w:type="dxa"/>
      </w:tblCellMar>
    </w:tblPr>
  </w:style>
  <w:style w:type="table" w:customStyle="1" w:styleId="TableClassic11">
    <w:name w:val="Table Classic 11"/>
    <w:uiPriority w:val="99"/>
    <w:semiHidden/>
    <w:rsid w:val="00DE2C4C"/>
    <w:pPr>
      <w:suppressAutoHyphens/>
      <w:spacing w:after="0" w:line="240" w:lineRule="auto"/>
    </w:pPr>
    <w:rPr>
      <w:sz w:val="20"/>
      <w:szCs w:val="20"/>
      <w:lang w:eastAsia="fr-FR"/>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DE2C4C"/>
    <w:pPr>
      <w:suppressAutoHyphens/>
      <w:spacing w:after="0" w:line="240" w:lineRule="auto"/>
    </w:pPr>
    <w:rPr>
      <w:sz w:val="20"/>
      <w:szCs w:val="20"/>
      <w:lang w:eastAsia="fr-FR"/>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DE2C4C"/>
    <w:pPr>
      <w:suppressAutoHyphens/>
      <w:spacing w:after="0" w:line="240" w:lineRule="auto"/>
    </w:pPr>
    <w:rPr>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DE2C4C"/>
    <w:pPr>
      <w:suppressAutoHyphens/>
      <w:spacing w:after="0" w:line="240" w:lineRule="auto"/>
    </w:pPr>
    <w:rPr>
      <w:sz w:val="20"/>
      <w:szCs w:val="20"/>
      <w:lang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DE2C4C"/>
    <w:pPr>
      <w:suppressAutoHyphens/>
      <w:spacing w:after="0" w:line="240" w:lineRule="auto"/>
    </w:pPr>
    <w:rPr>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DE2C4C"/>
    <w:pPr>
      <w:suppressAutoHyphens/>
      <w:spacing w:after="0" w:line="240" w:lineRule="auto"/>
    </w:pPr>
    <w:rPr>
      <w:sz w:val="20"/>
      <w:szCs w:val="20"/>
      <w:lang w:eastAsia="fr-FR"/>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DE2C4C"/>
    <w:pPr>
      <w:suppressAutoHyphens/>
      <w:spacing w:after="0" w:line="240" w:lineRule="auto"/>
    </w:pPr>
    <w:rPr>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DE2C4C"/>
    <w:pPr>
      <w:suppressAutoHyphens/>
      <w:spacing w:after="0" w:line="240" w:lineRule="auto"/>
    </w:pPr>
    <w:rPr>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DE2C4C"/>
    <w:pPr>
      <w:suppressAutoHyphens/>
      <w:spacing w:after="0" w:line="240" w:lineRule="auto"/>
    </w:pPr>
    <w:rPr>
      <w:b/>
      <w:bCs/>
      <w:sz w:val="20"/>
      <w:szCs w:val="20"/>
      <w:lang w:eastAsia="fr-FR"/>
    </w:rPr>
    <w:tblPr>
      <w:tblStyleColBandSize w:val="1"/>
      <w:tblCellMar>
        <w:top w:w="0" w:type="dxa"/>
        <w:left w:w="108" w:type="dxa"/>
        <w:bottom w:w="0" w:type="dxa"/>
        <w:right w:w="108" w:type="dxa"/>
      </w:tblCellMar>
    </w:tblPr>
  </w:style>
  <w:style w:type="table" w:customStyle="1" w:styleId="TableColumns31">
    <w:name w:val="Table Columns 31"/>
    <w:uiPriority w:val="99"/>
    <w:semiHidden/>
    <w:rsid w:val="00DE2C4C"/>
    <w:pPr>
      <w:suppressAutoHyphens/>
      <w:spacing w:after="0" w:line="240" w:lineRule="auto"/>
    </w:pPr>
    <w:rPr>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DE2C4C"/>
    <w:pPr>
      <w:suppressAutoHyphens/>
      <w:spacing w:after="0" w:line="240" w:lineRule="auto"/>
    </w:pPr>
    <w:rPr>
      <w:sz w:val="20"/>
      <w:szCs w:val="20"/>
      <w:lang w:eastAsia="fr-FR"/>
    </w:rPr>
    <w:tblPr>
      <w:tblStyleColBandSize w:val="1"/>
      <w:tblCellMar>
        <w:top w:w="0" w:type="dxa"/>
        <w:left w:w="108" w:type="dxa"/>
        <w:bottom w:w="0" w:type="dxa"/>
        <w:right w:w="108" w:type="dxa"/>
      </w:tblCellMar>
    </w:tblPr>
  </w:style>
  <w:style w:type="table" w:customStyle="1" w:styleId="TableColumns51">
    <w:name w:val="Table Columns 51"/>
    <w:uiPriority w:val="99"/>
    <w:semiHidden/>
    <w:rsid w:val="00DE2C4C"/>
    <w:pPr>
      <w:suppressAutoHyphens/>
      <w:spacing w:after="0" w:line="240" w:lineRule="auto"/>
    </w:pPr>
    <w:rPr>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DE2C4C"/>
    <w:pPr>
      <w:suppressAutoHyphens/>
      <w:spacing w:after="0" w:line="240" w:lineRule="auto"/>
    </w:pPr>
    <w:rPr>
      <w:sz w:val="20"/>
      <w:szCs w:val="20"/>
      <w:lang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DE2C4C"/>
    <w:pPr>
      <w:suppressAutoHyphens/>
      <w:spacing w:after="0" w:line="240" w:lineRule="auto"/>
    </w:pPr>
    <w:rPr>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semiHidden/>
    <w:rsid w:val="00DE2C4C"/>
    <w:pPr>
      <w:suppressAutoHyphens/>
      <w:spacing w:after="0" w:line="240" w:lineRule="auto"/>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DE2C4C"/>
    <w:pPr>
      <w:suppressAutoHyphens/>
      <w:spacing w:after="0" w:line="240" w:lineRule="auto"/>
    </w:pPr>
    <w:rPr>
      <w:sz w:val="20"/>
      <w:szCs w:val="20"/>
      <w:lang w:eastAsia="fr-FR"/>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DE2C4C"/>
    <w:pPr>
      <w:suppressAutoHyphens/>
      <w:spacing w:after="0" w:line="240" w:lineRule="auto"/>
    </w:pPr>
    <w:rPr>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DE2C4C"/>
    <w:pPr>
      <w:suppressAutoHyphens/>
      <w:spacing w:after="0" w:line="240" w:lineRule="auto"/>
    </w:pPr>
    <w:rPr>
      <w:sz w:val="20"/>
      <w:szCs w:val="20"/>
      <w:lang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DE2C4C"/>
    <w:pPr>
      <w:suppressAutoHyphens/>
      <w:spacing w:after="0" w:line="240" w:lineRule="auto"/>
    </w:pPr>
    <w:rPr>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DE2C4C"/>
    <w:pPr>
      <w:suppressAutoHyphens/>
      <w:spacing w:after="0" w:line="240" w:lineRule="auto"/>
    </w:pPr>
    <w:rPr>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DE2C4C"/>
    <w:pPr>
      <w:suppressAutoHyphens/>
      <w:spacing w:after="0" w:line="240" w:lineRule="auto"/>
    </w:pPr>
    <w:rPr>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DE2C4C"/>
    <w:pPr>
      <w:suppressAutoHyphens/>
      <w:spacing w:after="0" w:line="240" w:lineRule="auto"/>
    </w:pPr>
    <w:rPr>
      <w:sz w:val="20"/>
      <w:szCs w:val="20"/>
      <w:lang w:eastAsia="fr-FR"/>
    </w:rPr>
    <w:tblPr>
      <w:tblStyleRowBandSize w:val="2"/>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DE2C4C"/>
    <w:pPr>
      <w:suppressAutoHyphens/>
      <w:spacing w:after="0" w:line="240" w:lineRule="auto"/>
    </w:pPr>
    <w:rPr>
      <w:sz w:val="20"/>
      <w:szCs w:val="20"/>
      <w:lang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DE2C4C"/>
    <w:pPr>
      <w:suppressAutoHyphens/>
      <w:spacing w:after="0" w:line="240" w:lineRule="auto"/>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DE2C4C"/>
    <w:pPr>
      <w:suppressAutoHyphens/>
      <w:spacing w:after="0" w:line="240" w:lineRule="auto"/>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DE2C4C"/>
    <w:pPr>
      <w:suppressAutoHyphens/>
      <w:spacing w:after="0" w:line="240" w:lineRule="auto"/>
    </w:pPr>
    <w:rPr>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DE2C4C"/>
    <w:pPr>
      <w:suppressAutoHyphens/>
      <w:spacing w:after="0" w:line="240" w:lineRule="auto"/>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DE2C4C"/>
    <w:pPr>
      <w:suppressAutoHyphens/>
      <w:spacing w:after="0" w:line="240" w:lineRule="auto"/>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DE2C4C"/>
    <w:pPr>
      <w:suppressAutoHyphens/>
      <w:spacing w:after="0" w:line="240" w:lineRule="auto"/>
    </w:pPr>
    <w:rPr>
      <w:sz w:val="20"/>
      <w:szCs w:val="20"/>
      <w:lang w:eastAsia="fr-FR"/>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DE2C4C"/>
    <w:pPr>
      <w:suppressAutoHyphens/>
      <w:spacing w:after="0" w:line="240" w:lineRule="auto"/>
    </w:pPr>
    <w:rPr>
      <w:sz w:val="20"/>
      <w:szCs w:val="20"/>
      <w:lang w:eastAsia="fr-FR"/>
    </w:rPr>
    <w:tblPr>
      <w:tblCellMar>
        <w:top w:w="0" w:type="dxa"/>
        <w:left w:w="108" w:type="dxa"/>
        <w:bottom w:w="0" w:type="dxa"/>
        <w:right w:w="108" w:type="dxa"/>
      </w:tblCellMar>
    </w:tblPr>
  </w:style>
  <w:style w:type="table" w:customStyle="1" w:styleId="TableSimple31">
    <w:name w:val="Table Simple 3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DE2C4C"/>
    <w:pPr>
      <w:suppressAutoHyphens/>
      <w:spacing w:after="0" w:line="240" w:lineRule="auto"/>
    </w:pPr>
    <w:rPr>
      <w:sz w:val="20"/>
      <w:szCs w:val="20"/>
      <w:lang w:eastAsia="fr-FR"/>
    </w:rPr>
    <w:tblPr>
      <w:tblStyleRowBandSize w:val="1"/>
      <w:tblCellMar>
        <w:top w:w="0" w:type="dxa"/>
        <w:left w:w="108" w:type="dxa"/>
        <w:bottom w:w="0" w:type="dxa"/>
        <w:right w:w="108" w:type="dxa"/>
      </w:tblCellMar>
    </w:tblPr>
  </w:style>
  <w:style w:type="table" w:customStyle="1" w:styleId="TableSubtle21">
    <w:name w:val="Table Subtle 21"/>
    <w:uiPriority w:val="99"/>
    <w:semiHidden/>
    <w:rsid w:val="00DE2C4C"/>
    <w:pPr>
      <w:suppressAutoHyphens/>
      <w:spacing w:after="0" w:line="240" w:lineRule="auto"/>
    </w:pPr>
    <w:rPr>
      <w:sz w:val="20"/>
      <w:szCs w:val="20"/>
      <w:lang w:eastAsia="fr-FR"/>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DE2C4C"/>
    <w:pPr>
      <w:suppressAutoHyphens/>
      <w:spacing w:after="0" w:line="240" w:lineRule="auto"/>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DE2C4C"/>
    <w:pPr>
      <w:suppressAutoHyphens/>
      <w:spacing w:after="0" w:line="240" w:lineRule="auto"/>
    </w:pPr>
    <w:rPr>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DE2C4C"/>
    <w:pPr>
      <w:suppressAutoHyphens/>
      <w:spacing w:after="0" w:line="240" w:lineRule="auto"/>
    </w:pPr>
    <w:rPr>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DE2C4C"/>
    <w:pPr>
      <w:suppressAutoHyphens/>
      <w:spacing w:after="0" w:line="240" w:lineRule="auto"/>
    </w:pPr>
    <w:rPr>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ECHRParaChar">
    <w:name w:val="ECHR_Para Char"/>
    <w:aliases w:val="Ju_Para Char"/>
    <w:link w:val="ECHRPara"/>
    <w:uiPriority w:val="99"/>
    <w:locked/>
    <w:rsid w:val="00DE2C4C"/>
    <w:rPr>
      <w:rFonts w:eastAsia="MS Mincho"/>
      <w:sz w:val="24"/>
      <w:szCs w:val="24"/>
    </w:rPr>
  </w:style>
  <w:style w:type="character" w:customStyle="1" w:styleId="JuHAChar">
    <w:name w:val="Ju_H_A Char"/>
    <w:link w:val="ECHRHeading2"/>
    <w:uiPriority w:val="99"/>
    <w:locked/>
    <w:rsid w:val="00DE2C4C"/>
    <w:rPr>
      <w:rFonts w:ascii="Times New Roman" w:eastAsia="MS Gothic" w:hAnsi="Times New Roman" w:cs="Times New Roman"/>
      <w:b/>
      <w:bCs/>
      <w:sz w:val="26"/>
      <w:szCs w:val="26"/>
    </w:rPr>
  </w:style>
  <w:style w:type="character" w:customStyle="1" w:styleId="JuH1Char">
    <w:name w:val="Ju_H_1. Char"/>
    <w:link w:val="ECHRHeading3"/>
    <w:uiPriority w:val="99"/>
    <w:locked/>
    <w:rsid w:val="00DE2C4C"/>
    <w:rPr>
      <w:rFonts w:ascii="Times New Roman" w:eastAsia="MS Gothic" w:hAnsi="Times New Roman" w:cs="Times New Roman"/>
      <w:i/>
      <w:iCs/>
      <w:sz w:val="24"/>
      <w:szCs w:val="24"/>
    </w:rPr>
  </w:style>
  <w:style w:type="character" w:customStyle="1" w:styleId="JuQuotChar">
    <w:name w:val="Ju_Quot Char"/>
    <w:link w:val="ECHRParaQuote"/>
    <w:uiPriority w:val="99"/>
    <w:locked/>
    <w:rsid w:val="00DE2C4C"/>
    <w:rPr>
      <w:rFonts w:eastAsia="MS Mincho"/>
      <w:sz w:val="20"/>
      <w:szCs w:val="20"/>
    </w:rPr>
  </w:style>
  <w:style w:type="character" w:customStyle="1" w:styleId="JuHaChar0">
    <w:name w:val="Ju_H_a Char"/>
    <w:link w:val="ECHRHeading4"/>
    <w:uiPriority w:val="99"/>
    <w:locked/>
    <w:rsid w:val="00DE2C4C"/>
    <w:rPr>
      <w:rFonts w:ascii="Times New Roman" w:eastAsia="MS Gothic" w:hAnsi="Times New Roman" w:cs="Times New Roman"/>
      <w:b/>
      <w:bCs/>
      <w:sz w:val="20"/>
      <w:szCs w:val="20"/>
    </w:rPr>
  </w:style>
  <w:style w:type="character" w:customStyle="1" w:styleId="s4f807e54">
    <w:name w:val="s4f807e54"/>
    <w:uiPriority w:val="99"/>
    <w:rsid w:val="00C025DA"/>
  </w:style>
  <w:style w:type="paragraph" w:customStyle="1" w:styleId="s50c0b1c7">
    <w:name w:val="s50c0b1c7"/>
    <w:basedOn w:val="Normalny"/>
    <w:uiPriority w:val="99"/>
    <w:rsid w:val="00002A99"/>
    <w:pPr>
      <w:spacing w:before="100" w:beforeAutospacing="1" w:after="100" w:afterAutospacing="1"/>
      <w:jc w:val="left"/>
    </w:pPr>
    <w:rPr>
      <w:rFonts w:eastAsia="Times New Roman"/>
      <w:lang w:eastAsia="pl-PL"/>
    </w:rPr>
  </w:style>
  <w:style w:type="character" w:customStyle="1" w:styleId="s3aeeab2">
    <w:name w:val="s3aeeab2"/>
    <w:uiPriority w:val="99"/>
    <w:rsid w:val="00002A99"/>
    <w:rPr>
      <w:lang w:val="pl-PL" w:eastAsia="pl-PL"/>
    </w:rPr>
  </w:style>
  <w:style w:type="character" w:customStyle="1" w:styleId="sfbbfee58">
    <w:name w:val="sfbbfee58"/>
    <w:uiPriority w:val="99"/>
    <w:rsid w:val="00002A99"/>
    <w:rPr>
      <w:lang w:val="pl-PL" w:eastAsia="pl-PL"/>
    </w:rPr>
  </w:style>
  <w:style w:type="character" w:customStyle="1" w:styleId="A6">
    <w:name w:val="A6"/>
    <w:uiPriority w:val="99"/>
    <w:rsid w:val="00002A99"/>
    <w:rPr>
      <w:color w:val="000000"/>
      <w:sz w:val="11"/>
      <w:szCs w:val="11"/>
    </w:rPr>
  </w:style>
  <w:style w:type="paragraph" w:customStyle="1" w:styleId="Pa16">
    <w:name w:val="Pa16"/>
    <w:basedOn w:val="Normalny"/>
    <w:next w:val="Normalny"/>
    <w:uiPriority w:val="99"/>
    <w:rsid w:val="00002A99"/>
    <w:pPr>
      <w:autoSpaceDE w:val="0"/>
      <w:autoSpaceDN w:val="0"/>
      <w:adjustRightInd w:val="0"/>
      <w:spacing w:line="201" w:lineRule="atLeast"/>
      <w:jc w:val="left"/>
    </w:pPr>
    <w:rPr>
      <w:rFonts w:ascii="Myriad Pro" w:eastAsia="Times New Roman" w:hAnsi="Myriad Pro" w:cs="Myriad Pro"/>
      <w:lang w:eastAsia="pl-PL"/>
    </w:rPr>
  </w:style>
  <w:style w:type="numbering" w:customStyle="1" w:styleId="ArticleSection">
    <w:name w:val="Article / Section"/>
    <w:pPr>
      <w:numPr>
        <w:numId w:val="34"/>
      </w:numPr>
    </w:pPr>
  </w:style>
  <w:style w:type="numbering" w:styleId="1ai">
    <w:name w:val="Outline List 1"/>
    <w:basedOn w:val="Bezlisty"/>
    <w:uiPriority w:val="99"/>
    <w:semiHidden/>
    <w:unhideWhenUsed/>
    <w:locked/>
    <w:pPr>
      <w:numPr>
        <w:numId w:val="33"/>
      </w:numPr>
    </w:pPr>
  </w:style>
  <w:style w:type="numbering" w:styleId="111111">
    <w:name w:val="Outline List 2"/>
    <w:basedOn w:val="Bezlisty"/>
    <w:uiPriority w:val="99"/>
    <w:semiHidden/>
    <w:unhideWhenUsed/>
    <w:locked/>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841658"/>
    <w:pPr>
      <w:spacing w:after="0" w:line="240" w:lineRule="auto"/>
      <w:jc w:val="both"/>
    </w:pPr>
    <w:rPr>
      <w:rFonts w:eastAsia="MS Mincho"/>
      <w:sz w:val="24"/>
      <w:szCs w:val="24"/>
      <w:lang w:eastAsia="en-US"/>
    </w:rPr>
  </w:style>
  <w:style w:type="paragraph" w:styleId="Nagwek1">
    <w:name w:val="heading 1"/>
    <w:basedOn w:val="Normalny"/>
    <w:next w:val="Normalny"/>
    <w:link w:val="Nagwek1Znak"/>
    <w:uiPriority w:val="99"/>
    <w:qFormat/>
    <w:rsid w:val="00841658"/>
    <w:pPr>
      <w:spacing w:before="480"/>
      <w:outlineLvl w:val="0"/>
    </w:pPr>
    <w:rPr>
      <w:rFonts w:eastAsia="MS Gothic"/>
      <w:b/>
      <w:bCs/>
      <w:color w:val="333333"/>
      <w:sz w:val="28"/>
      <w:szCs w:val="28"/>
      <w:lang w:eastAsia="pl-PL"/>
    </w:rPr>
  </w:style>
  <w:style w:type="paragraph" w:styleId="Nagwek2">
    <w:name w:val="heading 2"/>
    <w:basedOn w:val="Normalny"/>
    <w:next w:val="Normalny"/>
    <w:link w:val="Nagwek2Znak"/>
    <w:uiPriority w:val="99"/>
    <w:qFormat/>
    <w:rsid w:val="00841658"/>
    <w:pPr>
      <w:spacing w:before="200"/>
      <w:outlineLvl w:val="1"/>
    </w:pPr>
    <w:rPr>
      <w:rFonts w:eastAsia="MS Gothic"/>
      <w:b/>
      <w:bCs/>
      <w:color w:val="4D4D4D"/>
      <w:sz w:val="26"/>
      <w:szCs w:val="26"/>
      <w:lang w:eastAsia="pl-PL"/>
    </w:rPr>
  </w:style>
  <w:style w:type="paragraph" w:styleId="Nagwek3">
    <w:name w:val="heading 3"/>
    <w:basedOn w:val="Normalny"/>
    <w:next w:val="Normalny"/>
    <w:link w:val="Nagwek3Znak"/>
    <w:uiPriority w:val="99"/>
    <w:qFormat/>
    <w:rsid w:val="00841658"/>
    <w:pPr>
      <w:spacing w:before="200" w:line="271" w:lineRule="auto"/>
      <w:outlineLvl w:val="2"/>
    </w:pPr>
    <w:rPr>
      <w:rFonts w:eastAsia="MS Gothic"/>
      <w:b/>
      <w:bCs/>
      <w:color w:val="5F5F5F"/>
      <w:lang w:eastAsia="pl-PL"/>
    </w:rPr>
  </w:style>
  <w:style w:type="paragraph" w:styleId="Nagwek4">
    <w:name w:val="heading 4"/>
    <w:basedOn w:val="Normalny"/>
    <w:next w:val="Normalny"/>
    <w:link w:val="Nagwek4Znak"/>
    <w:uiPriority w:val="99"/>
    <w:qFormat/>
    <w:rsid w:val="00841658"/>
    <w:pPr>
      <w:spacing w:before="200"/>
      <w:outlineLvl w:val="3"/>
    </w:pPr>
    <w:rPr>
      <w:rFonts w:eastAsia="MS Gothic"/>
      <w:b/>
      <w:bCs/>
      <w:i/>
      <w:iCs/>
      <w:color w:val="777777"/>
      <w:lang w:eastAsia="pl-PL"/>
    </w:rPr>
  </w:style>
  <w:style w:type="paragraph" w:styleId="Nagwek5">
    <w:name w:val="heading 5"/>
    <w:basedOn w:val="Normalny"/>
    <w:next w:val="Normalny"/>
    <w:link w:val="Nagwek5Znak"/>
    <w:uiPriority w:val="99"/>
    <w:qFormat/>
    <w:rsid w:val="00841658"/>
    <w:pPr>
      <w:spacing w:before="200"/>
      <w:outlineLvl w:val="4"/>
    </w:pPr>
    <w:rPr>
      <w:rFonts w:eastAsia="MS Gothic"/>
      <w:b/>
      <w:bCs/>
      <w:color w:val="808080"/>
      <w:sz w:val="20"/>
      <w:szCs w:val="20"/>
      <w:lang w:eastAsia="pl-PL"/>
    </w:rPr>
  </w:style>
  <w:style w:type="paragraph" w:styleId="Nagwek6">
    <w:name w:val="heading 6"/>
    <w:basedOn w:val="Normalny"/>
    <w:next w:val="Normalny"/>
    <w:link w:val="Nagwek6Znak"/>
    <w:uiPriority w:val="99"/>
    <w:qFormat/>
    <w:rsid w:val="00841658"/>
    <w:pPr>
      <w:spacing w:line="271" w:lineRule="auto"/>
      <w:outlineLvl w:val="5"/>
    </w:pPr>
    <w:rPr>
      <w:rFonts w:eastAsia="MS Gothic"/>
      <w:b/>
      <w:bCs/>
      <w:i/>
      <w:iCs/>
      <w:color w:val="7F7F7F"/>
      <w:lang w:eastAsia="pl-PL"/>
    </w:rPr>
  </w:style>
  <w:style w:type="paragraph" w:styleId="Nagwek7">
    <w:name w:val="heading 7"/>
    <w:basedOn w:val="Normalny"/>
    <w:next w:val="Normalny"/>
    <w:link w:val="Nagwek7Znak"/>
    <w:uiPriority w:val="99"/>
    <w:qFormat/>
    <w:rsid w:val="00841658"/>
    <w:pPr>
      <w:outlineLvl w:val="6"/>
    </w:pPr>
    <w:rPr>
      <w:rFonts w:eastAsia="MS Gothic"/>
      <w:i/>
      <w:iCs/>
      <w:sz w:val="20"/>
      <w:szCs w:val="20"/>
      <w:lang w:eastAsia="pl-PL"/>
    </w:rPr>
  </w:style>
  <w:style w:type="paragraph" w:styleId="Nagwek8">
    <w:name w:val="heading 8"/>
    <w:basedOn w:val="Normalny"/>
    <w:next w:val="Normalny"/>
    <w:link w:val="Nagwek8Znak"/>
    <w:uiPriority w:val="99"/>
    <w:qFormat/>
    <w:rsid w:val="00841658"/>
    <w:pPr>
      <w:outlineLvl w:val="7"/>
    </w:pPr>
    <w:rPr>
      <w:rFonts w:eastAsia="MS Gothic"/>
      <w:sz w:val="20"/>
      <w:szCs w:val="20"/>
      <w:lang w:eastAsia="pl-PL"/>
    </w:rPr>
  </w:style>
  <w:style w:type="paragraph" w:styleId="Nagwek9">
    <w:name w:val="heading 9"/>
    <w:basedOn w:val="Normalny"/>
    <w:next w:val="Normalny"/>
    <w:link w:val="Nagwek9Znak"/>
    <w:uiPriority w:val="99"/>
    <w:qFormat/>
    <w:rsid w:val="00841658"/>
    <w:pPr>
      <w:outlineLvl w:val="8"/>
    </w:pPr>
    <w:rPr>
      <w:rFonts w:eastAsia="MS Gothic"/>
      <w:i/>
      <w:iCs/>
      <w:spacing w:val="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841658"/>
    <w:rPr>
      <w:rFonts w:ascii="Times New Roman" w:eastAsia="MS Gothic" w:hAnsi="Times New Roman" w:cs="Times New Roman"/>
      <w:b/>
      <w:bCs/>
      <w:color w:val="4D4D4D"/>
      <w:sz w:val="26"/>
      <w:szCs w:val="26"/>
    </w:rPr>
  </w:style>
  <w:style w:type="character" w:customStyle="1" w:styleId="Nagwek3Znak">
    <w:name w:val="Nagłówek 3 Znak"/>
    <w:link w:val="Nagwek3"/>
    <w:uiPriority w:val="99"/>
    <w:semiHidden/>
    <w:locked/>
    <w:rsid w:val="00841658"/>
    <w:rPr>
      <w:rFonts w:ascii="Times New Roman" w:eastAsia="MS Gothic" w:hAnsi="Times New Roman" w:cs="Times New Roman"/>
      <w:b/>
      <w:bCs/>
      <w:color w:val="5F5F5F"/>
      <w:sz w:val="24"/>
      <w:szCs w:val="24"/>
    </w:rPr>
  </w:style>
  <w:style w:type="character" w:customStyle="1" w:styleId="Nagwek4Znak">
    <w:name w:val="Nagłówek 4 Znak"/>
    <w:link w:val="Nagwek4"/>
    <w:uiPriority w:val="99"/>
    <w:semiHidden/>
    <w:locked/>
    <w:rsid w:val="00841658"/>
    <w:rPr>
      <w:rFonts w:ascii="Times New Roman" w:eastAsia="MS Gothic" w:hAnsi="Times New Roman" w:cs="Times New Roman"/>
      <w:b/>
      <w:bCs/>
      <w:i/>
      <w:iCs/>
      <w:color w:val="777777"/>
      <w:sz w:val="24"/>
      <w:szCs w:val="24"/>
    </w:rPr>
  </w:style>
  <w:style w:type="character" w:customStyle="1" w:styleId="Nagwek5Znak">
    <w:name w:val="Nagłówek 5 Znak"/>
    <w:link w:val="Nagwek5"/>
    <w:uiPriority w:val="99"/>
    <w:semiHidden/>
    <w:locked/>
    <w:rsid w:val="00841658"/>
    <w:rPr>
      <w:rFonts w:ascii="Times New Roman" w:eastAsia="MS Gothic" w:hAnsi="Times New Roman" w:cs="Times New Roman"/>
      <w:b/>
      <w:bCs/>
      <w:color w:val="808080"/>
    </w:rPr>
  </w:style>
  <w:style w:type="character" w:customStyle="1" w:styleId="Nagwek6Znak">
    <w:name w:val="Nagłówek 6 Znak"/>
    <w:link w:val="Nagwek6"/>
    <w:uiPriority w:val="99"/>
    <w:semiHidden/>
    <w:locked/>
    <w:rsid w:val="00841658"/>
    <w:rPr>
      <w:rFonts w:ascii="Times New Roman" w:eastAsia="MS Gothic" w:hAnsi="Times New Roman" w:cs="Times New Roman"/>
      <w:b/>
      <w:bCs/>
      <w:i/>
      <w:iCs/>
      <w:color w:val="7F7F7F"/>
      <w:sz w:val="24"/>
      <w:szCs w:val="24"/>
    </w:rPr>
  </w:style>
  <w:style w:type="character" w:customStyle="1" w:styleId="Nagwek7Znak">
    <w:name w:val="Nagłówek 7 Znak"/>
    <w:link w:val="Nagwek7"/>
    <w:uiPriority w:val="99"/>
    <w:semiHidden/>
    <w:locked/>
    <w:rsid w:val="00841658"/>
    <w:rPr>
      <w:rFonts w:ascii="Times New Roman" w:eastAsia="MS Gothic" w:hAnsi="Times New Roman" w:cs="Times New Roman"/>
      <w:i/>
      <w:iCs/>
    </w:rPr>
  </w:style>
  <w:style w:type="character" w:customStyle="1" w:styleId="Nagwek8Znak">
    <w:name w:val="Nagłówek 8 Znak"/>
    <w:link w:val="Nagwek8"/>
    <w:uiPriority w:val="99"/>
    <w:semiHidden/>
    <w:locked/>
    <w:rsid w:val="00841658"/>
    <w:rPr>
      <w:rFonts w:ascii="Times New Roman" w:eastAsia="MS Gothic" w:hAnsi="Times New Roman" w:cs="Times New Roman"/>
      <w:sz w:val="20"/>
      <w:szCs w:val="20"/>
    </w:rPr>
  </w:style>
  <w:style w:type="character" w:customStyle="1" w:styleId="Nagwek9Znak">
    <w:name w:val="Nagłówek 9 Znak"/>
    <w:link w:val="Nagwek9"/>
    <w:uiPriority w:val="99"/>
    <w:semiHidden/>
    <w:locked/>
    <w:rsid w:val="00841658"/>
    <w:rPr>
      <w:rFonts w:ascii="Times New Roman" w:eastAsia="MS Gothic" w:hAnsi="Times New Roman" w:cs="Times New Roman"/>
      <w:i/>
      <w:iCs/>
      <w:spacing w:val="5"/>
      <w:sz w:val="20"/>
      <w:szCs w:val="20"/>
    </w:rPr>
  </w:style>
  <w:style w:type="paragraph" w:styleId="Tekstdymka">
    <w:name w:val="Balloon Text"/>
    <w:basedOn w:val="Normalny"/>
    <w:link w:val="TekstdymkaZnak"/>
    <w:uiPriority w:val="99"/>
    <w:semiHidden/>
    <w:rsid w:val="00841658"/>
    <w:rPr>
      <w:rFonts w:ascii="Tahoma" w:hAnsi="Tahoma" w:cs="Tahoma"/>
      <w:sz w:val="16"/>
      <w:szCs w:val="16"/>
      <w:lang w:eastAsia="pl-PL"/>
    </w:rPr>
  </w:style>
  <w:style w:type="character" w:customStyle="1" w:styleId="Nagwek1Znak">
    <w:name w:val="Nagłówek 1 Znak"/>
    <w:link w:val="Nagwek1"/>
    <w:uiPriority w:val="99"/>
    <w:semiHidden/>
    <w:locked/>
    <w:rsid w:val="00841658"/>
    <w:rPr>
      <w:rFonts w:ascii="Times New Roman" w:eastAsia="MS Gothic" w:hAnsi="Times New Roman" w:cs="Times New Roman"/>
      <w:b/>
      <w:bCs/>
      <w:color w:val="333333"/>
      <w:sz w:val="28"/>
      <w:szCs w:val="28"/>
    </w:rPr>
  </w:style>
  <w:style w:type="character" w:styleId="Tytuksiki">
    <w:name w:val="Book Title"/>
    <w:basedOn w:val="Domylnaczcionkaakapitu"/>
    <w:uiPriority w:val="99"/>
    <w:qFormat/>
    <w:rsid w:val="00841658"/>
    <w:rPr>
      <w:i/>
      <w:iCs/>
      <w:smallCaps/>
      <w:spacing w:val="5"/>
    </w:rPr>
  </w:style>
  <w:style w:type="character" w:customStyle="1" w:styleId="TekstdymkaZnak">
    <w:name w:val="Tekst dymka Znak"/>
    <w:link w:val="Tekstdymka"/>
    <w:uiPriority w:val="99"/>
    <w:semiHidden/>
    <w:locked/>
    <w:rsid w:val="00841658"/>
    <w:rPr>
      <w:rFonts w:ascii="Tahoma" w:eastAsia="MS Mincho" w:hAnsi="Tahoma" w:cs="Tahoma"/>
      <w:sz w:val="16"/>
      <w:szCs w:val="16"/>
    </w:rPr>
  </w:style>
  <w:style w:type="paragraph" w:customStyle="1" w:styleId="ECHRHeader">
    <w:name w:val="ECHR_Header"/>
    <w:aliases w:val="Ju_Header"/>
    <w:basedOn w:val="Nagwek"/>
    <w:uiPriority w:val="4"/>
    <w:qFormat/>
    <w:rsid w:val="00841658"/>
    <w:pPr>
      <w:tabs>
        <w:tab w:val="clear" w:pos="4536"/>
        <w:tab w:val="clear" w:pos="9072"/>
        <w:tab w:val="center" w:pos="3686"/>
        <w:tab w:val="right" w:pos="7371"/>
      </w:tabs>
      <w:jc w:val="left"/>
    </w:pPr>
    <w:rPr>
      <w:sz w:val="18"/>
      <w:szCs w:val="18"/>
    </w:rPr>
  </w:style>
  <w:style w:type="paragraph" w:customStyle="1" w:styleId="OpiPara">
    <w:name w:val="Opi_Para"/>
    <w:basedOn w:val="ECHRPara"/>
    <w:uiPriority w:val="99"/>
    <w:rsid w:val="00841658"/>
  </w:style>
  <w:style w:type="character" w:styleId="Pogrubienie">
    <w:name w:val="Strong"/>
    <w:basedOn w:val="Domylnaczcionkaakapitu"/>
    <w:uiPriority w:val="99"/>
    <w:qFormat/>
    <w:rsid w:val="00841658"/>
    <w:rPr>
      <w:b/>
      <w:bCs/>
    </w:rPr>
  </w:style>
  <w:style w:type="paragraph" w:styleId="Bezodstpw">
    <w:name w:val="No Spacing"/>
    <w:basedOn w:val="Normalny"/>
    <w:link w:val="BezodstpwZnak"/>
    <w:uiPriority w:val="99"/>
    <w:qFormat/>
    <w:rsid w:val="00841658"/>
    <w:rPr>
      <w:sz w:val="20"/>
      <w:szCs w:val="20"/>
      <w:lang w:eastAsia="pl-PL"/>
    </w:rPr>
  </w:style>
  <w:style w:type="character" w:customStyle="1" w:styleId="BezodstpwZnak">
    <w:name w:val="Bez odstępów Znak"/>
    <w:link w:val="Bezodstpw"/>
    <w:uiPriority w:val="99"/>
    <w:semiHidden/>
    <w:locked/>
    <w:rsid w:val="00841658"/>
    <w:rPr>
      <w:rFonts w:eastAsia="MS Mincho"/>
    </w:rPr>
  </w:style>
  <w:style w:type="paragraph" w:customStyle="1" w:styleId="ECHRParaQuote">
    <w:name w:val="ECHR_Para_Quote"/>
    <w:aliases w:val="Ju_Quot"/>
    <w:basedOn w:val="Normalny"/>
    <w:link w:val="JuQuotChar"/>
    <w:uiPriority w:val="99"/>
    <w:rsid w:val="00841658"/>
    <w:pPr>
      <w:spacing w:before="120" w:after="120"/>
      <w:ind w:left="425" w:firstLine="142"/>
    </w:pPr>
    <w:rPr>
      <w:sz w:val="20"/>
      <w:szCs w:val="20"/>
      <w:lang w:eastAsia="pl-PL"/>
    </w:rPr>
  </w:style>
  <w:style w:type="paragraph" w:customStyle="1" w:styleId="DecHTitle">
    <w:name w:val="Dec_H_Title"/>
    <w:basedOn w:val="ECHRTitleCentre1"/>
    <w:uiPriority w:val="99"/>
    <w:semiHidden/>
    <w:rsid w:val="00841658"/>
  </w:style>
  <w:style w:type="paragraph" w:customStyle="1" w:styleId="DecList">
    <w:name w:val="Dec_List"/>
    <w:basedOn w:val="Normalny"/>
    <w:uiPriority w:val="99"/>
    <w:semiHidden/>
    <w:rsid w:val="00841658"/>
    <w:pPr>
      <w:spacing w:before="240"/>
      <w:ind w:left="284"/>
    </w:pPr>
  </w:style>
  <w:style w:type="paragraph" w:customStyle="1" w:styleId="DummyStyle">
    <w:name w:val="Dummy_Style"/>
    <w:basedOn w:val="Normalny"/>
    <w:uiPriority w:val="99"/>
    <w:semiHidden/>
    <w:rsid w:val="00841658"/>
    <w:rPr>
      <w:color w:val="00B050"/>
    </w:rPr>
  </w:style>
  <w:style w:type="paragraph" w:customStyle="1" w:styleId="JuAppQuestion">
    <w:name w:val="Ju_App_Question"/>
    <w:basedOn w:val="Normalny"/>
    <w:uiPriority w:val="99"/>
    <w:semiHidden/>
    <w:rsid w:val="00841658"/>
    <w:pPr>
      <w:numPr>
        <w:numId w:val="11"/>
      </w:numPr>
      <w:tabs>
        <w:tab w:val="clear" w:pos="360"/>
        <w:tab w:val="num" w:pos="720"/>
      </w:tabs>
      <w:ind w:left="720"/>
      <w:jc w:val="left"/>
    </w:pPr>
    <w:rPr>
      <w:b/>
      <w:bCs/>
    </w:rPr>
  </w:style>
  <w:style w:type="paragraph" w:customStyle="1" w:styleId="ECHRTitleCentre3">
    <w:name w:val="ECHR_Title_Centre_3"/>
    <w:aliases w:val="Ju_H_Article"/>
    <w:basedOn w:val="Normalny"/>
    <w:next w:val="ECHRParaQuote"/>
    <w:uiPriority w:val="99"/>
    <w:rsid w:val="00841658"/>
    <w:pPr>
      <w:keepNext/>
      <w:keepLines/>
      <w:spacing w:before="240" w:after="120"/>
      <w:jc w:val="center"/>
      <w:outlineLvl w:val="3"/>
    </w:pPr>
    <w:rPr>
      <w:b/>
      <w:bCs/>
      <w:sz w:val="20"/>
      <w:szCs w:val="20"/>
    </w:rPr>
  </w:style>
  <w:style w:type="paragraph" w:customStyle="1" w:styleId="ECHRTitleCentre1">
    <w:name w:val="ECHR_Title_Centre_1"/>
    <w:aliases w:val="Opi_H_Head"/>
    <w:basedOn w:val="Normalny"/>
    <w:next w:val="OpiPara"/>
    <w:uiPriority w:val="99"/>
    <w:rsid w:val="00841658"/>
    <w:pPr>
      <w:keepNext/>
      <w:keepLines/>
      <w:spacing w:after="240"/>
      <w:jc w:val="center"/>
      <w:outlineLvl w:val="0"/>
    </w:pPr>
    <w:rPr>
      <w:sz w:val="28"/>
      <w:szCs w:val="28"/>
    </w:rPr>
  </w:style>
  <w:style w:type="paragraph" w:customStyle="1" w:styleId="JuHeaderLandscape">
    <w:name w:val="Ju_Header_Landscape"/>
    <w:basedOn w:val="ECHRHeader"/>
    <w:uiPriority w:val="99"/>
    <w:rsid w:val="00841658"/>
    <w:pPr>
      <w:tabs>
        <w:tab w:val="clear" w:pos="3686"/>
        <w:tab w:val="clear" w:pos="7371"/>
        <w:tab w:val="center" w:pos="6146"/>
        <w:tab w:val="right" w:pos="12293"/>
      </w:tabs>
    </w:pPr>
  </w:style>
  <w:style w:type="paragraph" w:customStyle="1" w:styleId="ECHRTitle1">
    <w:name w:val="ECHR_Title_1"/>
    <w:aliases w:val="Ju_H_Head"/>
    <w:basedOn w:val="Normalny"/>
    <w:next w:val="ECHRPara"/>
    <w:uiPriority w:val="99"/>
    <w:rsid w:val="00841658"/>
    <w:pPr>
      <w:keepNext/>
      <w:keepLines/>
      <w:spacing w:before="720" w:after="240"/>
      <w:outlineLvl w:val="0"/>
    </w:pPr>
    <w:rPr>
      <w:sz w:val="28"/>
      <w:szCs w:val="28"/>
    </w:rPr>
  </w:style>
  <w:style w:type="paragraph" w:customStyle="1" w:styleId="JuInitialled">
    <w:name w:val="Ju_Initialled"/>
    <w:basedOn w:val="Normalny"/>
    <w:uiPriority w:val="99"/>
    <w:rsid w:val="00841658"/>
    <w:pPr>
      <w:tabs>
        <w:tab w:val="center" w:pos="6407"/>
      </w:tabs>
      <w:spacing w:before="720"/>
      <w:jc w:val="right"/>
    </w:pPr>
  </w:style>
  <w:style w:type="character" w:customStyle="1" w:styleId="JuITMark">
    <w:name w:val="Ju_ITMark"/>
    <w:uiPriority w:val="99"/>
    <w:rsid w:val="00841658"/>
    <w:rPr>
      <w:color w:val="auto"/>
      <w:sz w:val="14"/>
      <w:szCs w:val="14"/>
      <w:shd w:val="clear" w:color="auto" w:fill="BEE5FF"/>
    </w:rPr>
  </w:style>
  <w:style w:type="paragraph" w:styleId="Tytu">
    <w:name w:val="Title"/>
    <w:basedOn w:val="Normalny"/>
    <w:next w:val="Normalny"/>
    <w:link w:val="TytuZnak"/>
    <w:uiPriority w:val="99"/>
    <w:qFormat/>
    <w:rsid w:val="00841658"/>
    <w:pPr>
      <w:pBdr>
        <w:bottom w:val="single" w:sz="4" w:space="1" w:color="auto"/>
      </w:pBdr>
    </w:pPr>
    <w:rPr>
      <w:rFonts w:eastAsia="MS Gothic"/>
      <w:spacing w:val="5"/>
      <w:sz w:val="52"/>
      <w:szCs w:val="52"/>
      <w:lang w:eastAsia="pl-PL"/>
    </w:rPr>
  </w:style>
  <w:style w:type="character" w:customStyle="1" w:styleId="JUNAMES">
    <w:name w:val="JU_NAMES"/>
    <w:uiPriority w:val="99"/>
    <w:rsid w:val="00841658"/>
    <w:rPr>
      <w:smallCaps/>
    </w:rPr>
  </w:style>
  <w:style w:type="character" w:customStyle="1" w:styleId="TytuZnak">
    <w:name w:val="Tytuł Znak"/>
    <w:link w:val="Tytu"/>
    <w:uiPriority w:val="99"/>
    <w:semiHidden/>
    <w:locked/>
    <w:rsid w:val="00841658"/>
    <w:rPr>
      <w:rFonts w:ascii="Times New Roman" w:eastAsia="MS Gothic" w:hAnsi="Times New Roman" w:cs="Times New Roman"/>
      <w:spacing w:val="5"/>
      <w:sz w:val="52"/>
      <w:szCs w:val="52"/>
    </w:rPr>
  </w:style>
  <w:style w:type="paragraph" w:customStyle="1" w:styleId="JuParaSub">
    <w:name w:val="Ju_Para_Sub"/>
    <w:basedOn w:val="ECHRPara"/>
    <w:uiPriority w:val="99"/>
    <w:rsid w:val="00841658"/>
    <w:pPr>
      <w:ind w:left="284"/>
    </w:pPr>
  </w:style>
  <w:style w:type="paragraph" w:customStyle="1" w:styleId="JuQuotSub">
    <w:name w:val="Ju_Quot_Sub"/>
    <w:basedOn w:val="ECHRParaQuote"/>
    <w:uiPriority w:val="99"/>
    <w:rsid w:val="00841658"/>
    <w:pPr>
      <w:ind w:left="567"/>
    </w:pPr>
  </w:style>
  <w:style w:type="paragraph" w:customStyle="1" w:styleId="JuSigned">
    <w:name w:val="Ju_Signed"/>
    <w:basedOn w:val="Normalny"/>
    <w:next w:val="JuParaLast"/>
    <w:uiPriority w:val="99"/>
    <w:rsid w:val="00841658"/>
    <w:pPr>
      <w:tabs>
        <w:tab w:val="center" w:pos="851"/>
        <w:tab w:val="center" w:pos="6407"/>
      </w:tabs>
      <w:spacing w:before="720"/>
      <w:jc w:val="left"/>
    </w:pPr>
  </w:style>
  <w:style w:type="paragraph" w:customStyle="1" w:styleId="JuCourt">
    <w:name w:val="Ju_Court"/>
    <w:basedOn w:val="Normalny"/>
    <w:next w:val="Normalny"/>
    <w:uiPriority w:val="99"/>
    <w:rsid w:val="00841658"/>
    <w:pPr>
      <w:tabs>
        <w:tab w:val="left" w:pos="907"/>
        <w:tab w:val="left" w:pos="1701"/>
        <w:tab w:val="right" w:pos="7371"/>
      </w:tabs>
      <w:spacing w:before="240"/>
      <w:ind w:left="397" w:hanging="397"/>
      <w:jc w:val="left"/>
    </w:pPr>
  </w:style>
  <w:style w:type="paragraph" w:customStyle="1" w:styleId="ECHRHeading1">
    <w:name w:val="ECHR_Heading_1"/>
    <w:aliases w:val="Ju_H_I_Roman"/>
    <w:basedOn w:val="Nagwek1"/>
    <w:next w:val="ECHRPara"/>
    <w:uiPriority w:val="99"/>
    <w:rsid w:val="00841658"/>
    <w:pPr>
      <w:keepNext/>
      <w:keepLines/>
      <w:tabs>
        <w:tab w:val="left" w:pos="357"/>
      </w:tabs>
      <w:spacing w:before="360" w:after="240"/>
      <w:ind w:left="357" w:hanging="357"/>
    </w:pPr>
    <w:rPr>
      <w:b w:val="0"/>
      <w:bCs w:val="0"/>
      <w:color w:val="auto"/>
      <w:sz w:val="24"/>
      <w:szCs w:val="24"/>
    </w:rPr>
  </w:style>
  <w:style w:type="paragraph" w:customStyle="1" w:styleId="ECHRHeading2">
    <w:name w:val="ECHR_Heading_2"/>
    <w:aliases w:val="Ju_H_A,Head_2"/>
    <w:basedOn w:val="Nagwek2"/>
    <w:next w:val="ECHRPara"/>
    <w:link w:val="JuHAChar"/>
    <w:uiPriority w:val="99"/>
    <w:rsid w:val="00841658"/>
    <w:pPr>
      <w:keepNext/>
      <w:keepLines/>
      <w:tabs>
        <w:tab w:val="left" w:pos="584"/>
      </w:tabs>
      <w:spacing w:before="360" w:after="240"/>
      <w:ind w:left="584" w:hanging="352"/>
    </w:pPr>
    <w:rPr>
      <w:color w:val="auto"/>
    </w:rPr>
  </w:style>
  <w:style w:type="paragraph" w:customStyle="1" w:styleId="ECHRHeading3">
    <w:name w:val="ECHR_Heading_3"/>
    <w:aliases w:val="Ju_H_1."/>
    <w:basedOn w:val="Nagwek3"/>
    <w:next w:val="ECHRPara"/>
    <w:link w:val="JuH1Char"/>
    <w:uiPriority w:val="99"/>
    <w:rsid w:val="00841658"/>
    <w:pPr>
      <w:keepNext/>
      <w:keepLines/>
      <w:tabs>
        <w:tab w:val="left" w:pos="731"/>
      </w:tabs>
      <w:spacing w:before="240" w:after="120" w:line="240" w:lineRule="auto"/>
      <w:ind w:left="732" w:hanging="301"/>
    </w:pPr>
    <w:rPr>
      <w:b w:val="0"/>
      <w:bCs w:val="0"/>
      <w:i/>
      <w:iCs/>
      <w:color w:val="auto"/>
    </w:rPr>
  </w:style>
  <w:style w:type="paragraph" w:styleId="Nagwek">
    <w:name w:val="header"/>
    <w:basedOn w:val="Normalny"/>
    <w:link w:val="NagwekZnak"/>
    <w:uiPriority w:val="99"/>
    <w:semiHidden/>
    <w:rsid w:val="00841658"/>
    <w:pPr>
      <w:tabs>
        <w:tab w:val="center" w:pos="4536"/>
        <w:tab w:val="right" w:pos="9072"/>
      </w:tabs>
    </w:pPr>
    <w:rPr>
      <w:rFonts w:eastAsia="Times New Roman"/>
      <w:lang w:eastAsia="pl-PL"/>
    </w:rPr>
  </w:style>
  <w:style w:type="paragraph" w:customStyle="1" w:styleId="ECHRHeading4">
    <w:name w:val="ECHR_Heading_4"/>
    <w:aliases w:val="Ju_H_a"/>
    <w:basedOn w:val="Nagwek4"/>
    <w:next w:val="ECHRPara"/>
    <w:link w:val="JuHaChar0"/>
    <w:uiPriority w:val="99"/>
    <w:rsid w:val="00841658"/>
    <w:pPr>
      <w:keepNext/>
      <w:keepLines/>
      <w:tabs>
        <w:tab w:val="left" w:pos="975"/>
      </w:tabs>
      <w:spacing w:before="240" w:after="120"/>
      <w:ind w:left="975" w:hanging="340"/>
    </w:pPr>
    <w:rPr>
      <w:i w:val="0"/>
      <w:iCs w:val="0"/>
      <w:color w:val="auto"/>
      <w:sz w:val="20"/>
      <w:szCs w:val="20"/>
    </w:rPr>
  </w:style>
  <w:style w:type="character" w:customStyle="1" w:styleId="NagwekZnak">
    <w:name w:val="Nagłówek Znak"/>
    <w:link w:val="Nagwek"/>
    <w:uiPriority w:val="99"/>
    <w:semiHidden/>
    <w:locked/>
    <w:rsid w:val="00841658"/>
    <w:rPr>
      <w:sz w:val="24"/>
      <w:szCs w:val="24"/>
    </w:rPr>
  </w:style>
  <w:style w:type="paragraph" w:customStyle="1" w:styleId="ECHRHeading5">
    <w:name w:val="ECHR_Heading_5"/>
    <w:aliases w:val="Ju_H_i"/>
    <w:basedOn w:val="Nagwek5"/>
    <w:next w:val="ECHRPara"/>
    <w:uiPriority w:val="99"/>
    <w:rsid w:val="00841658"/>
    <w:pPr>
      <w:keepNext/>
      <w:keepLines/>
      <w:tabs>
        <w:tab w:val="left" w:pos="1191"/>
      </w:tabs>
      <w:spacing w:before="240" w:after="120"/>
      <w:ind w:left="1190" w:hanging="357"/>
    </w:pPr>
    <w:rPr>
      <w:b w:val="0"/>
      <w:bCs w:val="0"/>
      <w:i/>
      <w:iCs/>
      <w:color w:val="auto"/>
    </w:rPr>
  </w:style>
  <w:style w:type="paragraph" w:customStyle="1" w:styleId="ECHRHeading6">
    <w:name w:val="ECHR_Heading_6"/>
    <w:aliases w:val="Ju_H_alpha"/>
    <w:basedOn w:val="Nagwek6"/>
    <w:next w:val="ECHRPara"/>
    <w:uiPriority w:val="99"/>
    <w:rsid w:val="00841658"/>
    <w:pPr>
      <w:keepNext/>
      <w:keepLines/>
      <w:tabs>
        <w:tab w:val="left" w:pos="1372"/>
      </w:tabs>
      <w:spacing w:before="240" w:after="120" w:line="240" w:lineRule="auto"/>
      <w:ind w:left="1373" w:hanging="335"/>
    </w:pPr>
    <w:rPr>
      <w:b w:val="0"/>
      <w:bCs w:val="0"/>
      <w:color w:val="auto"/>
      <w:sz w:val="20"/>
      <w:szCs w:val="20"/>
    </w:rPr>
  </w:style>
  <w:style w:type="paragraph" w:customStyle="1" w:styleId="ECHRHeading7">
    <w:name w:val="ECHR_Heading_7"/>
    <w:aliases w:val="Ju_H_–"/>
    <w:basedOn w:val="Nagwek7"/>
    <w:next w:val="ECHRPara"/>
    <w:uiPriority w:val="99"/>
    <w:rsid w:val="00841658"/>
    <w:pPr>
      <w:keepNext/>
      <w:keepLines/>
      <w:spacing w:before="240" w:after="120"/>
      <w:ind w:left="1236"/>
    </w:pPr>
  </w:style>
  <w:style w:type="paragraph" w:customStyle="1" w:styleId="JuParaLast">
    <w:name w:val="Ju_Para_Last"/>
    <w:basedOn w:val="Normalny"/>
    <w:next w:val="ECHRPara"/>
    <w:uiPriority w:val="99"/>
    <w:rsid w:val="00841658"/>
    <w:pPr>
      <w:keepNext/>
      <w:keepLines/>
      <w:spacing w:before="240"/>
      <w:ind w:firstLine="284"/>
    </w:pPr>
  </w:style>
  <w:style w:type="paragraph" w:customStyle="1" w:styleId="ECHRDecisionBody">
    <w:name w:val="ECHR_Decision_Body"/>
    <w:aliases w:val="Ju_Judges"/>
    <w:basedOn w:val="Normalny"/>
    <w:uiPriority w:val="99"/>
    <w:rsid w:val="00841658"/>
    <w:pPr>
      <w:tabs>
        <w:tab w:val="left" w:pos="567"/>
        <w:tab w:val="left" w:pos="1134"/>
      </w:tabs>
      <w:jc w:val="left"/>
    </w:pPr>
  </w:style>
  <w:style w:type="paragraph" w:customStyle="1" w:styleId="JuList">
    <w:name w:val="Ju_List"/>
    <w:basedOn w:val="Normalny"/>
    <w:uiPriority w:val="99"/>
    <w:rsid w:val="00841658"/>
    <w:pPr>
      <w:ind w:left="340" w:hanging="340"/>
    </w:pPr>
  </w:style>
  <w:style w:type="paragraph" w:customStyle="1" w:styleId="JuLista">
    <w:name w:val="Ju_List_a"/>
    <w:basedOn w:val="JuList"/>
    <w:uiPriority w:val="99"/>
    <w:rsid w:val="00841658"/>
    <w:pPr>
      <w:ind w:left="346" w:firstLine="0"/>
    </w:pPr>
  </w:style>
  <w:style w:type="paragraph" w:customStyle="1" w:styleId="JuListi">
    <w:name w:val="Ju_List_i"/>
    <w:basedOn w:val="Normalny"/>
    <w:next w:val="JuLista"/>
    <w:uiPriority w:val="99"/>
    <w:rsid w:val="00841658"/>
    <w:pPr>
      <w:ind w:left="794"/>
    </w:pPr>
  </w:style>
  <w:style w:type="character" w:styleId="Wyrnieniedelikatne">
    <w:name w:val="Subtle Emphasis"/>
    <w:basedOn w:val="Domylnaczcionkaakapitu"/>
    <w:uiPriority w:val="99"/>
    <w:qFormat/>
    <w:rsid w:val="00841658"/>
    <w:rPr>
      <w:i/>
      <w:iCs/>
    </w:rPr>
  </w:style>
  <w:style w:type="paragraph" w:customStyle="1" w:styleId="JuTitle">
    <w:name w:val="Ju_Title"/>
    <w:basedOn w:val="Normalny"/>
    <w:next w:val="ECHRPara"/>
    <w:uiPriority w:val="99"/>
    <w:semiHidden/>
    <w:rsid w:val="00841658"/>
    <w:pPr>
      <w:spacing w:before="720" w:after="240"/>
      <w:jc w:val="center"/>
      <w:outlineLvl w:val="0"/>
    </w:pPr>
    <w:rPr>
      <w:b/>
      <w:bCs/>
      <w:caps/>
    </w:rPr>
  </w:style>
  <w:style w:type="table" w:customStyle="1" w:styleId="ECHRTable">
    <w:name w:val="ECHR_Table"/>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pPr>
      <w:spacing w:after="0" w:line="240" w:lineRule="auto"/>
    </w:pPr>
    <w:rPr>
      <w:rFonts w:ascii="Verdana" w:hAnsi="Verdana" w:cs="Verdana"/>
      <w:sz w:val="20"/>
      <w:szCs w:val="20"/>
    </w:rPr>
    <w:tblPr>
      <w:tblCellMar>
        <w:top w:w="57" w:type="dxa"/>
        <w:left w:w="57" w:type="dxa"/>
        <w:bottom w:w="57" w:type="dxa"/>
        <w:right w:w="57" w:type="dxa"/>
      </w:tblCellMar>
    </w:tblPr>
    <w:tcPr>
      <w:shd w:val="clear" w:color="auto" w:fill="F8F8F8"/>
    </w:tcPr>
  </w:style>
  <w:style w:type="paragraph" w:customStyle="1" w:styleId="OpiH1">
    <w:name w:val="Opi_H_1"/>
    <w:basedOn w:val="ECHRHeading2"/>
    <w:uiPriority w:val="99"/>
    <w:rsid w:val="00841658"/>
    <w:pPr>
      <w:ind w:left="635" w:hanging="357"/>
      <w:outlineLvl w:val="2"/>
    </w:pPr>
  </w:style>
  <w:style w:type="paragraph" w:customStyle="1" w:styleId="OpiHa">
    <w:name w:val="Opi_H_a"/>
    <w:basedOn w:val="ECHRHeading3"/>
    <w:uiPriority w:val="99"/>
    <w:rsid w:val="00841658"/>
    <w:pPr>
      <w:ind w:left="833" w:hanging="357"/>
      <w:outlineLvl w:val="3"/>
    </w:pPr>
    <w:rPr>
      <w:b/>
      <w:bCs/>
      <w:i w:val="0"/>
      <w:iCs w:val="0"/>
      <w:sz w:val="20"/>
      <w:szCs w:val="20"/>
    </w:rPr>
  </w:style>
  <w:style w:type="paragraph" w:customStyle="1" w:styleId="OpiHA0">
    <w:name w:val="Opi_H_A"/>
    <w:basedOn w:val="ECHRHeading1"/>
    <w:next w:val="OpiPara"/>
    <w:uiPriority w:val="99"/>
    <w:rsid w:val="00841658"/>
    <w:pPr>
      <w:tabs>
        <w:tab w:val="clear" w:pos="357"/>
      </w:tabs>
      <w:outlineLvl w:val="1"/>
    </w:pPr>
    <w:rPr>
      <w:b/>
      <w:bCs/>
    </w:rPr>
  </w:style>
  <w:style w:type="character" w:styleId="Uwydatnienie">
    <w:name w:val="Emphasis"/>
    <w:basedOn w:val="Domylnaczcionkaakapitu"/>
    <w:uiPriority w:val="99"/>
    <w:qFormat/>
    <w:rsid w:val="00841658"/>
    <w:rPr>
      <w:b/>
      <w:bCs/>
      <w:i/>
      <w:iCs/>
      <w:spacing w:val="10"/>
      <w:shd w:val="clear" w:color="auto" w:fill="auto"/>
    </w:rPr>
  </w:style>
  <w:style w:type="paragraph" w:styleId="Stopka">
    <w:name w:val="footer"/>
    <w:basedOn w:val="Normalny"/>
    <w:link w:val="StopkaZnak"/>
    <w:uiPriority w:val="99"/>
    <w:semiHidden/>
    <w:rsid w:val="00841658"/>
    <w:pPr>
      <w:tabs>
        <w:tab w:val="center" w:pos="4536"/>
        <w:tab w:val="right" w:pos="9696"/>
      </w:tabs>
      <w:ind w:left="-680" w:right="-680"/>
    </w:pPr>
    <w:rPr>
      <w:rFonts w:eastAsia="Times New Roman"/>
      <w:lang w:eastAsia="pl-PL"/>
    </w:rPr>
  </w:style>
  <w:style w:type="character" w:styleId="Odwoanieprzypisudolnego">
    <w:name w:val="footnote reference"/>
    <w:basedOn w:val="Domylnaczcionkaakapitu"/>
    <w:uiPriority w:val="99"/>
    <w:semiHidden/>
    <w:rsid w:val="00841658"/>
    <w:rPr>
      <w:vertAlign w:val="superscript"/>
    </w:rPr>
  </w:style>
  <w:style w:type="character" w:customStyle="1" w:styleId="StopkaZnak">
    <w:name w:val="Stopka Znak"/>
    <w:link w:val="Stopka"/>
    <w:uiPriority w:val="99"/>
    <w:semiHidden/>
    <w:locked/>
    <w:rsid w:val="00841658"/>
    <w:rPr>
      <w:sz w:val="24"/>
      <w:szCs w:val="24"/>
    </w:rPr>
  </w:style>
  <w:style w:type="paragraph" w:styleId="Tekstprzypisudolnego">
    <w:name w:val="footnote text"/>
    <w:basedOn w:val="Normalny"/>
    <w:link w:val="TekstprzypisudolnegoZnak"/>
    <w:uiPriority w:val="99"/>
    <w:semiHidden/>
    <w:rsid w:val="00841658"/>
    <w:rPr>
      <w:sz w:val="20"/>
      <w:szCs w:val="20"/>
      <w:lang w:eastAsia="pl-PL"/>
    </w:rPr>
  </w:style>
  <w:style w:type="character" w:styleId="Hipercze">
    <w:name w:val="Hyperlink"/>
    <w:basedOn w:val="Domylnaczcionkaakapitu"/>
    <w:uiPriority w:val="99"/>
    <w:semiHidden/>
    <w:rsid w:val="00841658"/>
    <w:rPr>
      <w:color w:val="0072BC"/>
      <w:u w:val="single"/>
    </w:rPr>
  </w:style>
  <w:style w:type="character" w:customStyle="1" w:styleId="TekstprzypisudolnegoZnak">
    <w:name w:val="Tekst przypisu dolnego Znak"/>
    <w:link w:val="Tekstprzypisudolnego"/>
    <w:uiPriority w:val="99"/>
    <w:semiHidden/>
    <w:locked/>
    <w:rsid w:val="00841658"/>
    <w:rPr>
      <w:rFonts w:eastAsia="MS Mincho"/>
      <w:sz w:val="20"/>
      <w:szCs w:val="20"/>
    </w:rPr>
  </w:style>
  <w:style w:type="character" w:styleId="Wyrnienieintensywne">
    <w:name w:val="Intense Emphasis"/>
    <w:basedOn w:val="Domylnaczcionkaakapitu"/>
    <w:uiPriority w:val="99"/>
    <w:qFormat/>
    <w:rsid w:val="00841658"/>
    <w:rPr>
      <w:b/>
      <w:bCs/>
    </w:rPr>
  </w:style>
  <w:style w:type="paragraph" w:styleId="Cytatintensywny">
    <w:name w:val="Intense Quote"/>
    <w:basedOn w:val="Normalny"/>
    <w:next w:val="Normalny"/>
    <w:link w:val="CytatintensywnyZnak"/>
    <w:uiPriority w:val="99"/>
    <w:qFormat/>
    <w:rsid w:val="00841658"/>
    <w:pPr>
      <w:pBdr>
        <w:bottom w:val="single" w:sz="4" w:space="1" w:color="auto"/>
      </w:pBdr>
      <w:spacing w:before="200" w:after="280"/>
      <w:ind w:left="1008" w:right="1152"/>
    </w:pPr>
    <w:rPr>
      <w:b/>
      <w:bCs/>
      <w:i/>
      <w:iCs/>
      <w:sz w:val="20"/>
      <w:szCs w:val="20"/>
      <w:lang w:eastAsia="pl-PL"/>
    </w:rPr>
  </w:style>
  <w:style w:type="character" w:styleId="Odwoanieintensywne">
    <w:name w:val="Intense Reference"/>
    <w:basedOn w:val="Domylnaczcionkaakapitu"/>
    <w:uiPriority w:val="99"/>
    <w:qFormat/>
    <w:rsid w:val="00841658"/>
    <w:rPr>
      <w:smallCaps/>
      <w:spacing w:val="5"/>
      <w:u w:val="single"/>
    </w:rPr>
  </w:style>
  <w:style w:type="character" w:customStyle="1" w:styleId="CytatintensywnyZnak">
    <w:name w:val="Cytat intensywny Znak"/>
    <w:link w:val="Cytatintensywny"/>
    <w:uiPriority w:val="99"/>
    <w:semiHidden/>
    <w:locked/>
    <w:rsid w:val="00841658"/>
    <w:rPr>
      <w:rFonts w:eastAsia="MS Mincho"/>
      <w:b/>
      <w:bCs/>
      <w:i/>
      <w:iCs/>
    </w:rPr>
  </w:style>
  <w:style w:type="paragraph" w:styleId="Akapitzlist">
    <w:name w:val="List Paragraph"/>
    <w:basedOn w:val="Normalny"/>
    <w:uiPriority w:val="99"/>
    <w:qFormat/>
    <w:rsid w:val="00841658"/>
    <w:pPr>
      <w:ind w:left="720"/>
    </w:pPr>
  </w:style>
  <w:style w:type="table" w:customStyle="1" w:styleId="LtrTableAddress">
    <w:name w:val="Ltr_Table_Address"/>
    <w:uiPriority w:val="99"/>
    <w:rsid w:val="001E6F32"/>
    <w:pPr>
      <w:spacing w:after="0" w:line="240" w:lineRule="auto"/>
    </w:pPr>
    <w:rPr>
      <w:sz w:val="20"/>
      <w:szCs w:val="20"/>
    </w:rPr>
    <w:tblPr>
      <w:tblCellMar>
        <w:top w:w="0" w:type="dxa"/>
        <w:left w:w="108" w:type="dxa"/>
        <w:bottom w:w="0" w:type="dxa"/>
        <w:right w:w="108" w:type="dxa"/>
      </w:tblCellMar>
    </w:tblPr>
  </w:style>
  <w:style w:type="paragraph" w:styleId="Cytat">
    <w:name w:val="Quote"/>
    <w:basedOn w:val="Normalny"/>
    <w:next w:val="Normalny"/>
    <w:link w:val="CytatZnak"/>
    <w:uiPriority w:val="99"/>
    <w:qFormat/>
    <w:rsid w:val="00841658"/>
    <w:pPr>
      <w:spacing w:before="200"/>
      <w:ind w:left="360" w:right="360"/>
    </w:pPr>
    <w:rPr>
      <w:i/>
      <w:iCs/>
      <w:sz w:val="20"/>
      <w:szCs w:val="20"/>
      <w:lang w:eastAsia="pl-PL"/>
    </w:rPr>
  </w:style>
  <w:style w:type="character" w:styleId="Odwoaniedelikatne">
    <w:name w:val="Subtle Reference"/>
    <w:basedOn w:val="Domylnaczcionkaakapitu"/>
    <w:uiPriority w:val="99"/>
    <w:qFormat/>
    <w:rsid w:val="00841658"/>
    <w:rPr>
      <w:smallCaps/>
    </w:rPr>
  </w:style>
  <w:style w:type="character" w:customStyle="1" w:styleId="CytatZnak">
    <w:name w:val="Cytat Znak"/>
    <w:link w:val="Cytat"/>
    <w:uiPriority w:val="99"/>
    <w:semiHidden/>
    <w:locked/>
    <w:rsid w:val="00841658"/>
    <w:rPr>
      <w:rFonts w:eastAsia="MS Mincho"/>
      <w:i/>
      <w:iCs/>
    </w:rPr>
  </w:style>
  <w:style w:type="table" w:styleId="Tabela-Siatka">
    <w:name w:val="Table Grid"/>
    <w:basedOn w:val="Standardowy"/>
    <w:uiPriority w:val="99"/>
    <w:semiHidden/>
    <w:rsid w:val="00841658"/>
    <w:pPr>
      <w:spacing w:after="0" w:line="240" w:lineRule="auto"/>
    </w:pPr>
    <w:rPr>
      <w:rFonts w:eastAsia="MS Minch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99"/>
    <w:semiHidden/>
    <w:rsid w:val="00841658"/>
    <w:pPr>
      <w:keepNext/>
      <w:tabs>
        <w:tab w:val="right" w:leader="dot" w:pos="7371"/>
      </w:tabs>
      <w:spacing w:before="160" w:after="60" w:line="240" w:lineRule="exact"/>
      <w:ind w:left="340" w:right="567" w:hanging="340"/>
    </w:pPr>
    <w:rPr>
      <w:b/>
      <w:bCs/>
      <w:sz w:val="22"/>
      <w:szCs w:val="22"/>
    </w:rPr>
  </w:style>
  <w:style w:type="paragraph" w:styleId="Spistreci2">
    <w:name w:val="toc 2"/>
    <w:basedOn w:val="Normalny"/>
    <w:next w:val="Normalny"/>
    <w:autoRedefine/>
    <w:uiPriority w:val="99"/>
    <w:semiHidden/>
    <w:rsid w:val="00841658"/>
    <w:pPr>
      <w:keepNext/>
      <w:tabs>
        <w:tab w:val="right" w:leader="dot" w:pos="7371"/>
      </w:tabs>
      <w:spacing w:after="60" w:line="240" w:lineRule="exact"/>
      <w:ind w:left="680" w:right="567" w:hanging="340"/>
    </w:pPr>
    <w:rPr>
      <w:sz w:val="22"/>
      <w:szCs w:val="22"/>
    </w:rPr>
  </w:style>
  <w:style w:type="paragraph" w:styleId="Spistreci3">
    <w:name w:val="toc 3"/>
    <w:basedOn w:val="Normalny"/>
    <w:next w:val="Normalny"/>
    <w:autoRedefine/>
    <w:uiPriority w:val="99"/>
    <w:semiHidden/>
    <w:rsid w:val="00841658"/>
    <w:pPr>
      <w:keepNext/>
      <w:tabs>
        <w:tab w:val="right" w:leader="dot" w:pos="7371"/>
      </w:tabs>
      <w:spacing w:after="60" w:line="240" w:lineRule="exact"/>
      <w:ind w:left="1020" w:right="567" w:hanging="340"/>
    </w:pPr>
    <w:rPr>
      <w:sz w:val="20"/>
      <w:szCs w:val="20"/>
    </w:rPr>
  </w:style>
  <w:style w:type="paragraph" w:styleId="Spistreci4">
    <w:name w:val="toc 4"/>
    <w:basedOn w:val="Normalny"/>
    <w:next w:val="Normalny"/>
    <w:autoRedefine/>
    <w:uiPriority w:val="99"/>
    <w:semiHidden/>
    <w:rsid w:val="00841658"/>
    <w:pPr>
      <w:tabs>
        <w:tab w:val="right" w:leader="dot" w:pos="7371"/>
      </w:tabs>
      <w:spacing w:after="60" w:line="240" w:lineRule="exact"/>
      <w:ind w:left="1361" w:right="567" w:hanging="340"/>
    </w:pPr>
    <w:rPr>
      <w:sz w:val="20"/>
      <w:szCs w:val="20"/>
    </w:rPr>
  </w:style>
  <w:style w:type="paragraph" w:styleId="Spistreci5">
    <w:name w:val="toc 5"/>
    <w:basedOn w:val="Normalny"/>
    <w:next w:val="Normalny"/>
    <w:autoRedefine/>
    <w:uiPriority w:val="99"/>
    <w:semiHidden/>
    <w:rsid w:val="00841658"/>
    <w:pPr>
      <w:tabs>
        <w:tab w:val="right" w:leader="dot" w:pos="7371"/>
      </w:tabs>
      <w:spacing w:after="60" w:line="240" w:lineRule="exact"/>
      <w:ind w:left="1701" w:right="567" w:hanging="340"/>
    </w:pPr>
    <w:rPr>
      <w:sz w:val="20"/>
      <w:szCs w:val="20"/>
    </w:rPr>
  </w:style>
  <w:style w:type="paragraph" w:styleId="Nagwekspisutreci">
    <w:name w:val="TOC Heading"/>
    <w:basedOn w:val="Normalny"/>
    <w:next w:val="Normalny"/>
    <w:uiPriority w:val="99"/>
    <w:qFormat/>
    <w:rsid w:val="00841658"/>
    <w:pPr>
      <w:keepNext/>
      <w:keepLines/>
      <w:spacing w:before="240"/>
      <w:jc w:val="center"/>
    </w:pPr>
    <w:rPr>
      <w:rFonts w:eastAsia="Times New Roman"/>
      <w:b/>
      <w:bCs/>
      <w:color w:val="474747"/>
      <w:sz w:val="28"/>
      <w:szCs w:val="28"/>
    </w:rPr>
  </w:style>
  <w:style w:type="table" w:customStyle="1" w:styleId="UGTable">
    <w:name w:val="UG_Table"/>
    <w:uiPriority w:val="99"/>
    <w:rsid w:val="00572845"/>
    <w:pPr>
      <w:spacing w:after="0" w:line="240" w:lineRule="auto"/>
    </w:pPr>
    <w:rPr>
      <w:rFonts w:eastAsia="MS Mincho"/>
      <w:sz w:val="20"/>
      <w:szCs w:val="20"/>
      <w:lang w:eastAsia="en-GB"/>
    </w:rPr>
    <w:tblPr>
      <w:tblCellMar>
        <w:top w:w="0" w:type="dxa"/>
        <w:left w:w="57" w:type="dxa"/>
        <w:bottom w:w="57" w:type="dxa"/>
        <w:right w:w="113" w:type="dxa"/>
      </w:tblCellMar>
    </w:tblPr>
  </w:style>
  <w:style w:type="table" w:customStyle="1" w:styleId="UGTableWhiteBox">
    <w:name w:val="UG_Table_White_Box"/>
    <w:uiPriority w:val="99"/>
    <w:rsid w:val="003609FA"/>
    <w:pPr>
      <w:spacing w:after="0" w:line="240" w:lineRule="auto"/>
    </w:pPr>
    <w:rPr>
      <w:rFonts w:eastAsia="MS Mincho"/>
      <w:sz w:val="20"/>
      <w:szCs w:val="20"/>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pPr>
      <w:spacing w:after="0" w:line="240" w:lineRule="auto"/>
    </w:pPr>
    <w:rPr>
      <w:color w:val="000000"/>
      <w:sz w:val="18"/>
      <w:szCs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pPr>
      <w:spacing w:after="0" w:line="240" w:lineRule="auto"/>
    </w:pPr>
    <w:rPr>
      <w:color w:val="000000"/>
      <w:sz w:val="20"/>
      <w:szCs w:val="20"/>
    </w:rPr>
    <w:tblPr>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pPr>
      <w:spacing w:after="0" w:line="240" w:lineRule="auto"/>
    </w:pPr>
    <w:rPr>
      <w:sz w:val="20"/>
      <w:szCs w:val="20"/>
    </w:rPr>
    <w:tblPr>
      <w:jc w:val="center"/>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pPr>
      <w:spacing w:after="0" w:line="240" w:lineRule="auto"/>
    </w:pPr>
    <w:rPr>
      <w:sz w:val="20"/>
      <w:szCs w:val="20"/>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Nagwekwykazurde">
    <w:name w:val="toa heading"/>
    <w:basedOn w:val="Normalny"/>
    <w:next w:val="Normalny"/>
    <w:uiPriority w:val="99"/>
    <w:semiHidden/>
    <w:rsid w:val="00841658"/>
    <w:pPr>
      <w:keepNext/>
      <w:keepLines/>
      <w:spacing w:before="240"/>
      <w:jc w:val="center"/>
    </w:pPr>
    <w:rPr>
      <w:rFonts w:eastAsia="MS Gothic"/>
      <w:b/>
      <w:bCs/>
      <w:color w:val="474747"/>
      <w:sz w:val="28"/>
      <w:szCs w:val="28"/>
    </w:rPr>
  </w:style>
  <w:style w:type="paragraph" w:styleId="Podtytu">
    <w:name w:val="Subtitle"/>
    <w:basedOn w:val="Normalny"/>
    <w:next w:val="Normalny"/>
    <w:link w:val="PodtytuZnak"/>
    <w:uiPriority w:val="99"/>
    <w:qFormat/>
    <w:rsid w:val="00841658"/>
    <w:pPr>
      <w:spacing w:after="600"/>
    </w:pPr>
    <w:rPr>
      <w:rFonts w:eastAsia="MS Gothic"/>
      <w:i/>
      <w:iCs/>
      <w:spacing w:val="13"/>
      <w:lang w:eastAsia="pl-PL"/>
    </w:rPr>
  </w:style>
  <w:style w:type="paragraph" w:customStyle="1" w:styleId="ECHRPara">
    <w:name w:val="ECHR_Para"/>
    <w:aliases w:val="Ju_Para,Left,First line:  0 cm"/>
    <w:basedOn w:val="Normalny"/>
    <w:link w:val="ECHRParaChar"/>
    <w:uiPriority w:val="99"/>
    <w:rsid w:val="00841658"/>
    <w:pPr>
      <w:ind w:firstLine="284"/>
    </w:pPr>
    <w:rPr>
      <w:lang w:eastAsia="pl-PL"/>
    </w:rPr>
  </w:style>
  <w:style w:type="character" w:customStyle="1" w:styleId="PodtytuZnak">
    <w:name w:val="Podtytuł Znak"/>
    <w:link w:val="Podtytu"/>
    <w:uiPriority w:val="99"/>
    <w:semiHidden/>
    <w:locked/>
    <w:rsid w:val="00841658"/>
    <w:rPr>
      <w:rFonts w:ascii="Times New Roman" w:eastAsia="MS Gothic" w:hAnsi="Times New Roman" w:cs="Times New Roman"/>
      <w:i/>
      <w:iCs/>
      <w:spacing w:val="13"/>
      <w:sz w:val="24"/>
      <w:szCs w:val="24"/>
    </w:rPr>
  </w:style>
  <w:style w:type="table" w:customStyle="1" w:styleId="ECHRTableSimpleBox">
    <w:name w:val="ECHR_Table_Simple_Box"/>
    <w:uiPriority w:val="99"/>
    <w:rsid w:val="00AE354C"/>
    <w:pPr>
      <w:spacing w:after="0" w:line="240" w:lineRule="auto"/>
    </w:pPr>
    <w:rPr>
      <w:sz w:val="20"/>
      <w:szCs w:val="20"/>
    </w:rPr>
    <w:tblPr>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pPr>
      <w:spacing w:after="0" w:line="240" w:lineRule="auto"/>
    </w:pPr>
    <w:rPr>
      <w:sz w:val="20"/>
      <w:szCs w:val="20"/>
    </w:rPr>
    <w:tblPr>
      <w:tblCellMar>
        <w:top w:w="85" w:type="dxa"/>
        <w:left w:w="142" w:type="dxa"/>
        <w:bottom w:w="28" w:type="dxa"/>
        <w:right w:w="142" w:type="dxa"/>
      </w:tblCellMar>
    </w:tblPr>
  </w:style>
  <w:style w:type="table" w:customStyle="1" w:styleId="ECHRTableForInternalUse">
    <w:name w:val="ECHR_Table_For_Internal_Use"/>
    <w:uiPriority w:val="99"/>
    <w:rsid w:val="005474E7"/>
    <w:pPr>
      <w:spacing w:after="0" w:line="240" w:lineRule="auto"/>
    </w:pPr>
    <w:rPr>
      <w:color w:val="636363"/>
      <w:sz w:val="18"/>
      <w:szCs w:val="18"/>
    </w:rPr>
    <w:tblPr>
      <w:tblStyleColBandSize w:val="1"/>
      <w:jc w:val="right"/>
      <w:tblCellMar>
        <w:top w:w="113" w:type="dxa"/>
        <w:left w:w="108" w:type="dxa"/>
        <w:bottom w:w="28" w:type="dxa"/>
        <w:right w:w="108" w:type="dxa"/>
      </w:tblCellMar>
    </w:tblPr>
    <w:trPr>
      <w:jc w:val="right"/>
    </w:trPr>
  </w:style>
  <w:style w:type="table" w:customStyle="1" w:styleId="ECHRListTable">
    <w:name w:val="ECHR_List_Table"/>
    <w:uiPriority w:val="99"/>
    <w:rsid w:val="00841658"/>
    <w:pPr>
      <w:spacing w:after="0" w:line="240" w:lineRule="auto"/>
    </w:pPr>
    <w:rPr>
      <w:sz w:val="20"/>
      <w:szCs w:val="20"/>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styleId="Bibliografia">
    <w:name w:val="Bibliography"/>
    <w:basedOn w:val="Normalny"/>
    <w:next w:val="Normalny"/>
    <w:uiPriority w:val="99"/>
    <w:semiHidden/>
    <w:rsid w:val="00DC4033"/>
  </w:style>
  <w:style w:type="paragraph" w:styleId="Tekstblokowy">
    <w:name w:val="Block Text"/>
    <w:basedOn w:val="Normalny"/>
    <w:uiPriority w:val="99"/>
    <w:semiHidden/>
    <w:rsid w:val="00DC4033"/>
    <w:pPr>
      <w:pBdr>
        <w:top w:val="single" w:sz="2" w:space="10" w:color="0072BC"/>
        <w:left w:val="single" w:sz="2" w:space="10" w:color="0072BC"/>
        <w:bottom w:val="single" w:sz="2" w:space="10" w:color="0072BC"/>
        <w:right w:val="single" w:sz="2" w:space="10" w:color="0072BC"/>
      </w:pBdr>
      <w:ind w:left="1152" w:right="1152"/>
    </w:pPr>
    <w:rPr>
      <w:i/>
      <w:iCs/>
      <w:color w:val="0072BC"/>
    </w:rPr>
  </w:style>
  <w:style w:type="table" w:customStyle="1" w:styleId="ECHRHeaderTable">
    <w:name w:val="ECHR_Header_Table"/>
    <w:uiPriority w:val="99"/>
    <w:rsid w:val="00661971"/>
    <w:pPr>
      <w:spacing w:after="0" w:line="240" w:lineRule="auto"/>
    </w:pPr>
    <w:rPr>
      <w:sz w:val="20"/>
      <w:szCs w:val="20"/>
    </w:rPr>
    <w:tblPr>
      <w:tblBorders>
        <w:bottom w:val="single" w:sz="6" w:space="0" w:color="949494"/>
      </w:tblBorders>
      <w:tblCellMar>
        <w:top w:w="0" w:type="dxa"/>
        <w:left w:w="0" w:type="dxa"/>
        <w:bottom w:w="28" w:type="dxa"/>
        <w:right w:w="0" w:type="dxa"/>
      </w:tblCellMar>
    </w:tblPr>
  </w:style>
  <w:style w:type="paragraph" w:styleId="Tekstpodstawowy">
    <w:name w:val="Body Text"/>
    <w:basedOn w:val="Normalny"/>
    <w:link w:val="TekstpodstawowyZnak"/>
    <w:uiPriority w:val="99"/>
    <w:semiHidden/>
    <w:rsid w:val="00DC4033"/>
    <w:pPr>
      <w:spacing w:after="120"/>
    </w:pPr>
    <w:rPr>
      <w:lang w:eastAsia="pl-PL"/>
    </w:rPr>
  </w:style>
  <w:style w:type="table" w:customStyle="1" w:styleId="ECHRTableOddBanded">
    <w:name w:val="ECHR_Table_Odd_Banded"/>
    <w:uiPriority w:val="99"/>
    <w:rsid w:val="00860B03"/>
    <w:pPr>
      <w:spacing w:after="0" w:line="240" w:lineRule="auto"/>
    </w:pPr>
    <w:rPr>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character" w:customStyle="1" w:styleId="TekstpodstawowyZnak">
    <w:name w:val="Tekst podstawowy Znak"/>
    <w:link w:val="Tekstpodstawowy"/>
    <w:uiPriority w:val="99"/>
    <w:semiHidden/>
    <w:locked/>
    <w:rsid w:val="00DC4033"/>
    <w:rPr>
      <w:rFonts w:eastAsia="MS Mincho"/>
      <w:sz w:val="24"/>
      <w:szCs w:val="24"/>
    </w:rPr>
  </w:style>
  <w:style w:type="paragraph" w:styleId="Tekstpodstawowy2">
    <w:name w:val="Body Text 2"/>
    <w:basedOn w:val="Normalny"/>
    <w:link w:val="Tekstpodstawowy2Znak"/>
    <w:uiPriority w:val="99"/>
    <w:semiHidden/>
    <w:rsid w:val="00DC4033"/>
    <w:pPr>
      <w:spacing w:after="120" w:line="480" w:lineRule="auto"/>
    </w:pPr>
    <w:rPr>
      <w:lang w:eastAsia="pl-PL"/>
    </w:rPr>
  </w:style>
  <w:style w:type="table" w:customStyle="1" w:styleId="ECHRHeaderTableReduced">
    <w:name w:val="ECHR_Header_Table_Reduced"/>
    <w:uiPriority w:val="99"/>
    <w:rsid w:val="00B52BE0"/>
    <w:pPr>
      <w:spacing w:after="0" w:line="240" w:lineRule="auto"/>
    </w:pPr>
    <w:rPr>
      <w:sz w:val="20"/>
      <w:szCs w:val="20"/>
    </w:rPr>
    <w:tblPr>
      <w:tblCellMar>
        <w:top w:w="0" w:type="dxa"/>
        <w:left w:w="0" w:type="dxa"/>
        <w:bottom w:w="0" w:type="dxa"/>
        <w:right w:w="0" w:type="dxa"/>
      </w:tblCellMar>
    </w:tblPr>
  </w:style>
  <w:style w:type="character" w:customStyle="1" w:styleId="Tekstpodstawowy2Znak">
    <w:name w:val="Tekst podstawowy 2 Znak"/>
    <w:link w:val="Tekstpodstawowy2"/>
    <w:uiPriority w:val="99"/>
    <w:semiHidden/>
    <w:locked/>
    <w:rsid w:val="00DC4033"/>
    <w:rPr>
      <w:rFonts w:eastAsia="MS Mincho"/>
      <w:sz w:val="24"/>
      <w:szCs w:val="24"/>
    </w:rPr>
  </w:style>
  <w:style w:type="paragraph" w:customStyle="1" w:styleId="JuCase">
    <w:name w:val="Ju_Case"/>
    <w:basedOn w:val="Normalny"/>
    <w:next w:val="ECHRPara"/>
    <w:uiPriority w:val="99"/>
    <w:rsid w:val="00841658"/>
    <w:pPr>
      <w:ind w:firstLine="284"/>
    </w:pPr>
    <w:rPr>
      <w:b/>
      <w:bCs/>
    </w:rPr>
  </w:style>
  <w:style w:type="character" w:styleId="Numerstrony">
    <w:name w:val="page number"/>
    <w:basedOn w:val="Domylnaczcionkaakapitu"/>
    <w:uiPriority w:val="99"/>
    <w:semiHidden/>
    <w:rsid w:val="00DC4033"/>
    <w:rPr>
      <w:sz w:val="18"/>
      <w:szCs w:val="18"/>
    </w:rPr>
  </w:style>
  <w:style w:type="paragraph" w:styleId="Listapunktowana">
    <w:name w:val="List Bullet"/>
    <w:basedOn w:val="Normalny"/>
    <w:uiPriority w:val="99"/>
    <w:semiHidden/>
    <w:rsid w:val="00DC4033"/>
    <w:pPr>
      <w:numPr>
        <w:numId w:val="31"/>
      </w:numPr>
    </w:pPr>
  </w:style>
  <w:style w:type="paragraph" w:styleId="Tekstpodstawowy3">
    <w:name w:val="Body Text 3"/>
    <w:basedOn w:val="Normalny"/>
    <w:link w:val="Tekstpodstawowy3Znak"/>
    <w:uiPriority w:val="99"/>
    <w:semiHidden/>
    <w:rsid w:val="00DC4033"/>
    <w:pPr>
      <w:spacing w:after="120"/>
    </w:pPr>
    <w:rPr>
      <w:sz w:val="16"/>
      <w:szCs w:val="16"/>
      <w:lang w:eastAsia="pl-PL"/>
    </w:rPr>
  </w:style>
  <w:style w:type="paragraph" w:styleId="Tekstpodstawowyzwciciem">
    <w:name w:val="Body Text First Indent"/>
    <w:basedOn w:val="Tekstpodstawowy"/>
    <w:link w:val="TekstpodstawowyzwciciemZnak"/>
    <w:uiPriority w:val="99"/>
    <w:semiHidden/>
    <w:rsid w:val="00DC4033"/>
    <w:pPr>
      <w:spacing w:after="0"/>
      <w:ind w:firstLine="360"/>
    </w:pPr>
  </w:style>
  <w:style w:type="character" w:customStyle="1" w:styleId="Tekstpodstawowy3Znak">
    <w:name w:val="Tekst podstawowy 3 Znak"/>
    <w:link w:val="Tekstpodstawowy3"/>
    <w:uiPriority w:val="99"/>
    <w:semiHidden/>
    <w:locked/>
    <w:rsid w:val="00DC4033"/>
    <w:rPr>
      <w:rFonts w:eastAsia="MS Mincho"/>
      <w:sz w:val="16"/>
      <w:szCs w:val="16"/>
    </w:rPr>
  </w:style>
  <w:style w:type="paragraph" w:styleId="Tekstpodstawowywcity">
    <w:name w:val="Body Text Indent"/>
    <w:basedOn w:val="Normalny"/>
    <w:link w:val="TekstpodstawowywcityZnak"/>
    <w:uiPriority w:val="99"/>
    <w:semiHidden/>
    <w:rsid w:val="00DC4033"/>
    <w:pPr>
      <w:spacing w:after="120"/>
      <w:ind w:left="283"/>
    </w:pPr>
    <w:rPr>
      <w:lang w:eastAsia="pl-PL"/>
    </w:rPr>
  </w:style>
  <w:style w:type="character" w:customStyle="1" w:styleId="TekstpodstawowyzwciciemZnak">
    <w:name w:val="Tekst podstawowy z wcięciem Znak"/>
    <w:link w:val="Tekstpodstawowyzwciciem"/>
    <w:uiPriority w:val="99"/>
    <w:semiHidden/>
    <w:locked/>
    <w:rsid w:val="00DC4033"/>
    <w:rPr>
      <w:rFonts w:eastAsia="MS Mincho"/>
      <w:sz w:val="24"/>
      <w:szCs w:val="24"/>
    </w:rPr>
  </w:style>
  <w:style w:type="paragraph" w:styleId="Tekstpodstawowyzwciciem2">
    <w:name w:val="Body Text First Indent 2"/>
    <w:basedOn w:val="Tekstpodstawowywcity"/>
    <w:link w:val="Tekstpodstawowyzwciciem2Znak"/>
    <w:uiPriority w:val="99"/>
    <w:semiHidden/>
    <w:rsid w:val="00DC4033"/>
    <w:pPr>
      <w:spacing w:after="0"/>
      <w:ind w:left="360" w:firstLine="360"/>
    </w:pPr>
  </w:style>
  <w:style w:type="character" w:customStyle="1" w:styleId="TekstpodstawowywcityZnak">
    <w:name w:val="Tekst podstawowy wcięty Znak"/>
    <w:link w:val="Tekstpodstawowywcity"/>
    <w:uiPriority w:val="99"/>
    <w:semiHidden/>
    <w:locked/>
    <w:rsid w:val="00DC4033"/>
    <w:rPr>
      <w:rFonts w:eastAsia="MS Mincho"/>
      <w:sz w:val="24"/>
      <w:szCs w:val="24"/>
    </w:rPr>
  </w:style>
  <w:style w:type="paragraph" w:styleId="Tekstpodstawowywcity2">
    <w:name w:val="Body Text Indent 2"/>
    <w:basedOn w:val="Normalny"/>
    <w:link w:val="Tekstpodstawowywcity2Znak"/>
    <w:uiPriority w:val="99"/>
    <w:semiHidden/>
    <w:rsid w:val="00DC4033"/>
    <w:pPr>
      <w:spacing w:after="120" w:line="480" w:lineRule="auto"/>
      <w:ind w:left="283"/>
    </w:pPr>
    <w:rPr>
      <w:lang w:eastAsia="pl-PL"/>
    </w:rPr>
  </w:style>
  <w:style w:type="character" w:customStyle="1" w:styleId="Tekstpodstawowyzwciciem2Znak">
    <w:name w:val="Tekst podstawowy z wcięciem 2 Znak"/>
    <w:link w:val="Tekstpodstawowyzwciciem2"/>
    <w:uiPriority w:val="99"/>
    <w:semiHidden/>
    <w:locked/>
    <w:rsid w:val="00DC4033"/>
    <w:rPr>
      <w:rFonts w:eastAsia="MS Mincho"/>
      <w:sz w:val="24"/>
      <w:szCs w:val="24"/>
    </w:rPr>
  </w:style>
  <w:style w:type="paragraph" w:styleId="Tekstpodstawowywcity3">
    <w:name w:val="Body Text Indent 3"/>
    <w:basedOn w:val="Normalny"/>
    <w:link w:val="Tekstpodstawowywcity3Znak"/>
    <w:uiPriority w:val="99"/>
    <w:semiHidden/>
    <w:rsid w:val="00DC4033"/>
    <w:pPr>
      <w:spacing w:after="120"/>
      <w:ind w:left="283"/>
    </w:pPr>
    <w:rPr>
      <w:sz w:val="16"/>
      <w:szCs w:val="16"/>
      <w:lang w:eastAsia="pl-PL"/>
    </w:rPr>
  </w:style>
  <w:style w:type="character" w:customStyle="1" w:styleId="Tekstpodstawowywcity2Znak">
    <w:name w:val="Tekst podstawowy wcięty 2 Znak"/>
    <w:link w:val="Tekstpodstawowywcity2"/>
    <w:uiPriority w:val="99"/>
    <w:semiHidden/>
    <w:locked/>
    <w:rsid w:val="00DC4033"/>
    <w:rPr>
      <w:rFonts w:eastAsia="MS Mincho"/>
      <w:sz w:val="24"/>
      <w:szCs w:val="24"/>
    </w:rPr>
  </w:style>
  <w:style w:type="paragraph" w:styleId="Legenda">
    <w:name w:val="caption"/>
    <w:basedOn w:val="Normalny"/>
    <w:next w:val="Normalny"/>
    <w:uiPriority w:val="99"/>
    <w:qFormat/>
    <w:rsid w:val="00DC4033"/>
    <w:pPr>
      <w:spacing w:after="200"/>
    </w:pPr>
    <w:rPr>
      <w:b/>
      <w:bCs/>
      <w:color w:val="0072BC"/>
      <w:sz w:val="18"/>
      <w:szCs w:val="18"/>
    </w:rPr>
  </w:style>
  <w:style w:type="character" w:customStyle="1" w:styleId="Tekstpodstawowywcity3Znak">
    <w:name w:val="Tekst podstawowy wcięty 3 Znak"/>
    <w:link w:val="Tekstpodstawowywcity3"/>
    <w:uiPriority w:val="99"/>
    <w:semiHidden/>
    <w:locked/>
    <w:rsid w:val="00DC4033"/>
    <w:rPr>
      <w:rFonts w:eastAsia="MS Mincho"/>
      <w:sz w:val="16"/>
      <w:szCs w:val="16"/>
    </w:rPr>
  </w:style>
  <w:style w:type="paragraph" w:styleId="Zwrotpoegnalny">
    <w:name w:val="Closing"/>
    <w:basedOn w:val="Normalny"/>
    <w:link w:val="ZwrotpoegnalnyZnak"/>
    <w:uiPriority w:val="99"/>
    <w:semiHidden/>
    <w:rsid w:val="00DC4033"/>
    <w:pPr>
      <w:ind w:left="4252"/>
    </w:pPr>
    <w:rPr>
      <w:lang w:eastAsia="pl-PL"/>
    </w:rPr>
  </w:style>
  <w:style w:type="table" w:styleId="Kolorowasiatka">
    <w:name w:val="Colorful Grid"/>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customStyle="1" w:styleId="ZwrotpoegnalnyZnak">
    <w:name w:val="Zwrot pożegnalny Znak"/>
    <w:link w:val="Zwrotpoegnalny"/>
    <w:uiPriority w:val="99"/>
    <w:semiHidden/>
    <w:locked/>
    <w:rsid w:val="00DC4033"/>
    <w:rPr>
      <w:rFonts w:eastAsia="MS Mincho"/>
      <w:sz w:val="24"/>
      <w:szCs w:val="24"/>
    </w:rPr>
  </w:style>
  <w:style w:type="table" w:styleId="Kolorowasiatkaakcent1">
    <w:name w:val="Colorful Grid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Kolorowasiatkaakcent2">
    <w:name w:val="Colorful Grid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Kolorowasiatkaakcent3">
    <w:name w:val="Colorful Grid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4">
    <w:name w:val="Colorful Grid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Kolorowasiatkaakcent5">
    <w:name w:val="Colorful Grid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Kolorowasiatkaakcent6">
    <w:name w:val="Colorful Grid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Kolorowalista">
    <w:name w:val="Colorful List"/>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Kolorowalistaakcent2">
    <w:name w:val="Colorful List Accent 2"/>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Kolorowalistaakcent3">
    <w:name w:val="Colorful List Accent 3"/>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4">
    <w:name w:val="Colorful List Accent 4"/>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Kolorowalistaakcent5">
    <w:name w:val="Colorful List Accent 5"/>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Kolorowalistaakcent6">
    <w:name w:val="Colorful List Accent 6"/>
    <w:basedOn w:val="Standardowy"/>
    <w:uiPriority w:val="99"/>
    <w:semiHidden/>
    <w:rsid w:val="00DC4033"/>
    <w:pPr>
      <w:spacing w:after="0" w:line="240" w:lineRule="auto"/>
    </w:pPr>
    <w:rPr>
      <w:color w:val="000000"/>
      <w:sz w:val="20"/>
      <w:szCs w:val="20"/>
    </w:rPr>
    <w:tblPr>
      <w:tblStyleRowBandSize w:val="1"/>
      <w:tblStyleColBandSize w:val="1"/>
      <w:tblInd w:w="0" w:type="nil"/>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Kolorowecieniowanie">
    <w:name w:val="Colorful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Kolorowecieniowanieakcent2">
    <w:name w:val="Colorful Shading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Kolorowecieniowanieakcent3">
    <w:name w:val="Colorful Shading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Kolorowecieniowanieakcent4">
    <w:name w:val="Colorful Shading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Kolorowecieniowanieakcent5">
    <w:name w:val="Colorful Shading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Kolorowecieniowanieakcent6">
    <w:name w:val="Colorful Shading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Odwoaniedokomentarza">
    <w:name w:val="annotation reference"/>
    <w:basedOn w:val="Domylnaczcionkaakapitu"/>
    <w:uiPriority w:val="99"/>
    <w:semiHidden/>
    <w:rsid w:val="00DC4033"/>
    <w:rPr>
      <w:sz w:val="16"/>
      <w:szCs w:val="16"/>
    </w:rPr>
  </w:style>
  <w:style w:type="paragraph" w:styleId="Tekstkomentarza">
    <w:name w:val="annotation text"/>
    <w:basedOn w:val="Normalny"/>
    <w:link w:val="TekstkomentarzaZnak"/>
    <w:uiPriority w:val="99"/>
    <w:semiHidden/>
    <w:rsid w:val="00DC4033"/>
    <w:rPr>
      <w:sz w:val="20"/>
      <w:szCs w:val="20"/>
      <w:lang w:eastAsia="pl-PL"/>
    </w:rPr>
  </w:style>
  <w:style w:type="paragraph" w:styleId="Tematkomentarza">
    <w:name w:val="annotation subject"/>
    <w:basedOn w:val="Tekstkomentarza"/>
    <w:next w:val="Tekstkomentarza"/>
    <w:link w:val="TematkomentarzaZnak"/>
    <w:uiPriority w:val="99"/>
    <w:semiHidden/>
    <w:rsid w:val="00DC4033"/>
    <w:rPr>
      <w:b/>
      <w:bCs/>
    </w:rPr>
  </w:style>
  <w:style w:type="character" w:customStyle="1" w:styleId="TekstkomentarzaZnak">
    <w:name w:val="Tekst komentarza Znak"/>
    <w:link w:val="Tekstkomentarza"/>
    <w:uiPriority w:val="99"/>
    <w:semiHidden/>
    <w:locked/>
    <w:rsid w:val="00DC4033"/>
    <w:rPr>
      <w:rFonts w:eastAsia="MS Mincho"/>
      <w:sz w:val="20"/>
      <w:szCs w:val="20"/>
    </w:rPr>
  </w:style>
  <w:style w:type="table" w:styleId="Ciemnalista">
    <w:name w:val="Dark List"/>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TematkomentarzaZnak">
    <w:name w:val="Temat komentarza Znak"/>
    <w:link w:val="Tematkomentarza"/>
    <w:uiPriority w:val="99"/>
    <w:semiHidden/>
    <w:locked/>
    <w:rsid w:val="00DC4033"/>
    <w:rPr>
      <w:rFonts w:eastAsia="MS Mincho"/>
      <w:b/>
      <w:bCs/>
      <w:sz w:val="20"/>
      <w:szCs w:val="20"/>
    </w:rPr>
  </w:style>
  <w:style w:type="table" w:styleId="Ciemnalista2akcent1">
    <w:name w:val="Dark List Accent 1"/>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Ciemnalistaakcent2">
    <w:name w:val="Dark List Accent 2"/>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Ciemnalistaakcent3">
    <w:name w:val="Dark List Accent 3"/>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4">
    <w:name w:val="Dark List Accent 4"/>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Ciemnalistaakcent5">
    <w:name w:val="Dark List Accent 5"/>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Ciemnalistaakcent6">
    <w:name w:val="Dark List Accent 6"/>
    <w:basedOn w:val="Standardowy"/>
    <w:uiPriority w:val="99"/>
    <w:semiHidden/>
    <w:rsid w:val="00DC4033"/>
    <w:pPr>
      <w:spacing w:after="0" w:line="240" w:lineRule="auto"/>
    </w:pPr>
    <w:rPr>
      <w:color w:val="0072BC"/>
      <w:sz w:val="20"/>
      <w:szCs w:val="20"/>
    </w:rPr>
    <w:tblPr>
      <w:tblStyleRowBandSize w:val="1"/>
      <w:tblStyleColBandSize w:val="1"/>
      <w:tblInd w:w="0" w:type="nil"/>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a">
    <w:name w:val="Date"/>
    <w:basedOn w:val="Normalny"/>
    <w:next w:val="Normalny"/>
    <w:link w:val="DataZnak"/>
    <w:uiPriority w:val="99"/>
    <w:semiHidden/>
    <w:rsid w:val="00DC4033"/>
    <w:rPr>
      <w:lang w:eastAsia="pl-PL"/>
    </w:rPr>
  </w:style>
  <w:style w:type="paragraph" w:styleId="Mapadokumentu">
    <w:name w:val="Document Map"/>
    <w:basedOn w:val="Normalny"/>
    <w:link w:val="MapadokumentuZnak"/>
    <w:uiPriority w:val="99"/>
    <w:semiHidden/>
    <w:rsid w:val="00DC4033"/>
    <w:rPr>
      <w:rFonts w:ascii="Tahoma" w:hAnsi="Tahoma" w:cs="Tahoma"/>
      <w:sz w:val="16"/>
      <w:szCs w:val="16"/>
      <w:lang w:eastAsia="pl-PL"/>
    </w:rPr>
  </w:style>
  <w:style w:type="character" w:customStyle="1" w:styleId="DataZnak">
    <w:name w:val="Data Znak"/>
    <w:link w:val="Data"/>
    <w:uiPriority w:val="99"/>
    <w:semiHidden/>
    <w:locked/>
    <w:rsid w:val="00DC4033"/>
    <w:rPr>
      <w:rFonts w:eastAsia="MS Mincho"/>
      <w:sz w:val="24"/>
      <w:szCs w:val="24"/>
    </w:rPr>
  </w:style>
  <w:style w:type="paragraph" w:styleId="Podpise-mail">
    <w:name w:val="E-mail Signature"/>
    <w:basedOn w:val="Normalny"/>
    <w:link w:val="Podpise-mailZnak"/>
    <w:uiPriority w:val="99"/>
    <w:semiHidden/>
    <w:rsid w:val="00DC4033"/>
    <w:rPr>
      <w:lang w:eastAsia="pl-PL"/>
    </w:rPr>
  </w:style>
  <w:style w:type="character" w:customStyle="1" w:styleId="MapadokumentuZnak">
    <w:name w:val="Mapa dokumentu Znak"/>
    <w:link w:val="Mapadokumentu"/>
    <w:uiPriority w:val="99"/>
    <w:semiHidden/>
    <w:locked/>
    <w:rsid w:val="00DC4033"/>
    <w:rPr>
      <w:rFonts w:ascii="Tahoma" w:eastAsia="MS Mincho" w:hAnsi="Tahoma" w:cs="Tahoma"/>
      <w:sz w:val="16"/>
      <w:szCs w:val="16"/>
    </w:rPr>
  </w:style>
  <w:style w:type="character" w:styleId="Odwoanieprzypisukocowego">
    <w:name w:val="endnote reference"/>
    <w:basedOn w:val="Domylnaczcionkaakapitu"/>
    <w:uiPriority w:val="99"/>
    <w:semiHidden/>
    <w:rsid w:val="00DC4033"/>
    <w:rPr>
      <w:vertAlign w:val="superscript"/>
    </w:rPr>
  </w:style>
  <w:style w:type="character" w:customStyle="1" w:styleId="Podpise-mailZnak">
    <w:name w:val="Podpis e-mail Znak"/>
    <w:link w:val="Podpise-mail"/>
    <w:uiPriority w:val="99"/>
    <w:semiHidden/>
    <w:locked/>
    <w:rsid w:val="00DC4033"/>
    <w:rPr>
      <w:rFonts w:eastAsia="MS Mincho"/>
      <w:sz w:val="24"/>
      <w:szCs w:val="24"/>
    </w:rPr>
  </w:style>
  <w:style w:type="paragraph" w:styleId="Tekstprzypisukocowego">
    <w:name w:val="endnote text"/>
    <w:basedOn w:val="Normalny"/>
    <w:link w:val="TekstprzypisukocowegoZnak"/>
    <w:uiPriority w:val="99"/>
    <w:semiHidden/>
    <w:rsid w:val="00DC4033"/>
    <w:rPr>
      <w:sz w:val="20"/>
      <w:szCs w:val="20"/>
      <w:lang w:eastAsia="pl-PL"/>
    </w:rPr>
  </w:style>
  <w:style w:type="paragraph" w:styleId="Adresnakopercie">
    <w:name w:val="envelope address"/>
    <w:basedOn w:val="Normalny"/>
    <w:uiPriority w:val="99"/>
    <w:semiHidden/>
    <w:rsid w:val="00DC4033"/>
    <w:pPr>
      <w:framePr w:w="7938" w:h="1985" w:hRule="exact" w:hSpace="141" w:wrap="auto" w:hAnchor="page" w:xAlign="center" w:yAlign="bottom"/>
      <w:ind w:left="2835"/>
    </w:pPr>
    <w:rPr>
      <w:rFonts w:eastAsia="MS Gothic"/>
    </w:rPr>
  </w:style>
  <w:style w:type="character" w:customStyle="1" w:styleId="TekstprzypisukocowegoZnak">
    <w:name w:val="Tekst przypisu końcowego Znak"/>
    <w:link w:val="Tekstprzypisukocowego"/>
    <w:uiPriority w:val="99"/>
    <w:semiHidden/>
    <w:locked/>
    <w:rsid w:val="00DC4033"/>
    <w:rPr>
      <w:rFonts w:eastAsia="MS Mincho"/>
      <w:sz w:val="20"/>
      <w:szCs w:val="20"/>
    </w:rPr>
  </w:style>
  <w:style w:type="paragraph" w:styleId="Adreszwrotnynakopercie">
    <w:name w:val="envelope return"/>
    <w:basedOn w:val="Normalny"/>
    <w:uiPriority w:val="99"/>
    <w:semiHidden/>
    <w:rsid w:val="00DC4033"/>
    <w:rPr>
      <w:rFonts w:eastAsia="MS Gothic"/>
      <w:sz w:val="20"/>
      <w:szCs w:val="20"/>
    </w:rPr>
  </w:style>
  <w:style w:type="character" w:styleId="UyteHipercze">
    <w:name w:val="FollowedHyperlink"/>
    <w:basedOn w:val="Domylnaczcionkaakapitu"/>
    <w:uiPriority w:val="99"/>
    <w:semiHidden/>
    <w:rsid w:val="00DC4033"/>
    <w:rPr>
      <w:color w:val="auto"/>
      <w:u w:val="single"/>
    </w:rPr>
  </w:style>
  <w:style w:type="character" w:styleId="HTML-akronim">
    <w:name w:val="HTML Acronym"/>
    <w:basedOn w:val="Domylnaczcionkaakapitu"/>
    <w:uiPriority w:val="99"/>
    <w:semiHidden/>
    <w:rsid w:val="00DC4033"/>
  </w:style>
  <w:style w:type="paragraph" w:styleId="HTML-adres">
    <w:name w:val="HTML Address"/>
    <w:basedOn w:val="Normalny"/>
    <w:link w:val="HTML-adresZnak"/>
    <w:uiPriority w:val="99"/>
    <w:semiHidden/>
    <w:rsid w:val="00DC4033"/>
    <w:rPr>
      <w:i/>
      <w:iCs/>
      <w:lang w:eastAsia="pl-PL"/>
    </w:rPr>
  </w:style>
  <w:style w:type="character" w:styleId="HTML-cytat">
    <w:name w:val="HTML Cite"/>
    <w:basedOn w:val="Domylnaczcionkaakapitu"/>
    <w:uiPriority w:val="99"/>
    <w:semiHidden/>
    <w:rsid w:val="00DC4033"/>
    <w:rPr>
      <w:i/>
      <w:iCs/>
    </w:rPr>
  </w:style>
  <w:style w:type="character" w:customStyle="1" w:styleId="HTML-adresZnak">
    <w:name w:val="HTML - adres Znak"/>
    <w:link w:val="HTML-adres"/>
    <w:uiPriority w:val="99"/>
    <w:semiHidden/>
    <w:locked/>
    <w:rsid w:val="00DC4033"/>
    <w:rPr>
      <w:rFonts w:eastAsia="MS Mincho"/>
      <w:i/>
      <w:iCs/>
      <w:sz w:val="24"/>
      <w:szCs w:val="24"/>
    </w:rPr>
  </w:style>
  <w:style w:type="character" w:styleId="HTML-kod">
    <w:name w:val="HTML Code"/>
    <w:basedOn w:val="Domylnaczcionkaakapitu"/>
    <w:uiPriority w:val="99"/>
    <w:semiHidden/>
    <w:rsid w:val="00DC4033"/>
    <w:rPr>
      <w:rFonts w:ascii="Consolas" w:hAnsi="Consolas" w:cs="Consolas"/>
      <w:sz w:val="20"/>
      <w:szCs w:val="20"/>
    </w:rPr>
  </w:style>
  <w:style w:type="character" w:styleId="HTML-definicja">
    <w:name w:val="HTML Definition"/>
    <w:basedOn w:val="Domylnaczcionkaakapitu"/>
    <w:uiPriority w:val="99"/>
    <w:semiHidden/>
    <w:rsid w:val="00DC4033"/>
    <w:rPr>
      <w:i/>
      <w:iCs/>
    </w:rPr>
  </w:style>
  <w:style w:type="character" w:styleId="HTML-klawiatura">
    <w:name w:val="HTML Keyboard"/>
    <w:basedOn w:val="Domylnaczcionkaakapitu"/>
    <w:uiPriority w:val="99"/>
    <w:semiHidden/>
    <w:rsid w:val="00DC4033"/>
    <w:rPr>
      <w:rFonts w:ascii="Consolas" w:hAnsi="Consolas" w:cs="Consolas"/>
      <w:sz w:val="20"/>
      <w:szCs w:val="20"/>
    </w:rPr>
  </w:style>
  <w:style w:type="paragraph" w:styleId="HTML-wstpniesformatowany">
    <w:name w:val="HTML Preformatted"/>
    <w:basedOn w:val="Normalny"/>
    <w:link w:val="HTML-wstpniesformatowanyZnak"/>
    <w:uiPriority w:val="99"/>
    <w:semiHidden/>
    <w:rsid w:val="00DC4033"/>
    <w:rPr>
      <w:rFonts w:ascii="Consolas" w:hAnsi="Consolas" w:cs="Consolas"/>
      <w:sz w:val="20"/>
      <w:szCs w:val="20"/>
      <w:lang w:eastAsia="pl-PL"/>
    </w:rPr>
  </w:style>
  <w:style w:type="character" w:styleId="HTML-przykad">
    <w:name w:val="HTML Sample"/>
    <w:basedOn w:val="Domylnaczcionkaakapitu"/>
    <w:uiPriority w:val="99"/>
    <w:semiHidden/>
    <w:rsid w:val="00DC4033"/>
    <w:rPr>
      <w:rFonts w:ascii="Consolas" w:hAnsi="Consolas" w:cs="Consolas"/>
      <w:sz w:val="24"/>
      <w:szCs w:val="24"/>
    </w:rPr>
  </w:style>
  <w:style w:type="character" w:customStyle="1" w:styleId="HTML-wstpniesformatowanyZnak">
    <w:name w:val="HTML - wstępnie sformatowany Znak"/>
    <w:link w:val="HTML-wstpniesformatowany"/>
    <w:uiPriority w:val="99"/>
    <w:semiHidden/>
    <w:locked/>
    <w:rsid w:val="00DC4033"/>
    <w:rPr>
      <w:rFonts w:ascii="Consolas" w:eastAsia="MS Mincho" w:hAnsi="Consolas" w:cs="Consolas"/>
      <w:sz w:val="20"/>
      <w:szCs w:val="20"/>
    </w:rPr>
  </w:style>
  <w:style w:type="character" w:styleId="HTML-staaszeroko">
    <w:name w:val="HTML Typewriter"/>
    <w:basedOn w:val="Domylnaczcionkaakapitu"/>
    <w:uiPriority w:val="99"/>
    <w:semiHidden/>
    <w:rsid w:val="00DC4033"/>
    <w:rPr>
      <w:rFonts w:ascii="Consolas" w:hAnsi="Consolas" w:cs="Consolas"/>
      <w:sz w:val="20"/>
      <w:szCs w:val="20"/>
    </w:rPr>
  </w:style>
  <w:style w:type="character" w:styleId="HTML-zmienna">
    <w:name w:val="HTML Variable"/>
    <w:basedOn w:val="Domylnaczcionkaakapitu"/>
    <w:uiPriority w:val="99"/>
    <w:semiHidden/>
    <w:rsid w:val="00DC4033"/>
    <w:rPr>
      <w:i/>
      <w:iCs/>
    </w:rPr>
  </w:style>
  <w:style w:type="paragraph" w:styleId="Indeks1">
    <w:name w:val="index 1"/>
    <w:basedOn w:val="Normalny"/>
    <w:next w:val="Normalny"/>
    <w:autoRedefine/>
    <w:uiPriority w:val="99"/>
    <w:semiHidden/>
    <w:rsid w:val="00DC4033"/>
    <w:pPr>
      <w:ind w:left="240" w:hanging="240"/>
    </w:pPr>
  </w:style>
  <w:style w:type="paragraph" w:styleId="Indeks2">
    <w:name w:val="index 2"/>
    <w:basedOn w:val="Normalny"/>
    <w:next w:val="Normalny"/>
    <w:autoRedefine/>
    <w:uiPriority w:val="99"/>
    <w:semiHidden/>
    <w:rsid w:val="00DC4033"/>
    <w:pPr>
      <w:ind w:left="480" w:hanging="240"/>
    </w:pPr>
  </w:style>
  <w:style w:type="paragraph" w:styleId="Indeks3">
    <w:name w:val="index 3"/>
    <w:basedOn w:val="Normalny"/>
    <w:next w:val="Normalny"/>
    <w:autoRedefine/>
    <w:uiPriority w:val="99"/>
    <w:semiHidden/>
    <w:rsid w:val="00DC4033"/>
    <w:pPr>
      <w:ind w:left="720" w:hanging="240"/>
    </w:pPr>
  </w:style>
  <w:style w:type="paragraph" w:styleId="Indeks4">
    <w:name w:val="index 4"/>
    <w:basedOn w:val="Normalny"/>
    <w:next w:val="Normalny"/>
    <w:autoRedefine/>
    <w:uiPriority w:val="99"/>
    <w:semiHidden/>
    <w:rsid w:val="00DC4033"/>
    <w:pPr>
      <w:ind w:left="960" w:hanging="240"/>
    </w:pPr>
  </w:style>
  <w:style w:type="paragraph" w:styleId="Indeks5">
    <w:name w:val="index 5"/>
    <w:basedOn w:val="Normalny"/>
    <w:next w:val="Normalny"/>
    <w:autoRedefine/>
    <w:uiPriority w:val="99"/>
    <w:semiHidden/>
    <w:rsid w:val="00DC4033"/>
    <w:pPr>
      <w:ind w:left="1200" w:hanging="240"/>
    </w:pPr>
  </w:style>
  <w:style w:type="paragraph" w:styleId="Indeks6">
    <w:name w:val="index 6"/>
    <w:basedOn w:val="Normalny"/>
    <w:next w:val="Normalny"/>
    <w:autoRedefine/>
    <w:uiPriority w:val="99"/>
    <w:semiHidden/>
    <w:rsid w:val="00DC4033"/>
    <w:pPr>
      <w:ind w:left="1440" w:hanging="240"/>
    </w:pPr>
  </w:style>
  <w:style w:type="paragraph" w:styleId="Indeks7">
    <w:name w:val="index 7"/>
    <w:basedOn w:val="Normalny"/>
    <w:next w:val="Normalny"/>
    <w:autoRedefine/>
    <w:uiPriority w:val="99"/>
    <w:semiHidden/>
    <w:rsid w:val="00DC4033"/>
    <w:pPr>
      <w:ind w:left="1680" w:hanging="240"/>
    </w:pPr>
  </w:style>
  <w:style w:type="paragraph" w:styleId="Indeks8">
    <w:name w:val="index 8"/>
    <w:basedOn w:val="Normalny"/>
    <w:next w:val="Normalny"/>
    <w:autoRedefine/>
    <w:uiPriority w:val="99"/>
    <w:semiHidden/>
    <w:rsid w:val="00DC4033"/>
    <w:pPr>
      <w:ind w:left="1920" w:hanging="240"/>
    </w:pPr>
  </w:style>
  <w:style w:type="paragraph" w:styleId="Indeks9">
    <w:name w:val="index 9"/>
    <w:basedOn w:val="Normalny"/>
    <w:next w:val="Normalny"/>
    <w:autoRedefine/>
    <w:uiPriority w:val="99"/>
    <w:semiHidden/>
    <w:rsid w:val="00DC4033"/>
    <w:pPr>
      <w:ind w:left="2160" w:hanging="240"/>
    </w:pPr>
  </w:style>
  <w:style w:type="paragraph" w:styleId="Nagwekindeksu">
    <w:name w:val="index heading"/>
    <w:basedOn w:val="Normalny"/>
    <w:next w:val="Indeks1"/>
    <w:uiPriority w:val="99"/>
    <w:semiHidden/>
    <w:rsid w:val="00DC4033"/>
    <w:rPr>
      <w:rFonts w:eastAsia="MS Gothic"/>
      <w:b/>
      <w:bCs/>
    </w:rPr>
  </w:style>
  <w:style w:type="table" w:styleId="Jasnasiatka">
    <w:name w:val="Light Grid"/>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Jasnasiatkaakcent1">
    <w:name w:val="Light Grid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Jasnasiatkaakcent2">
    <w:name w:val="Light Grid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Jasnasiatkaakcent3">
    <w:name w:val="Light Grid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4">
    <w:name w:val="Light Grid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Jasnasiatkaakcent5">
    <w:name w:val="Light Grid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Jasnasiatkaakcent6">
    <w:name w:val="Light Grid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Jasnalista">
    <w:name w:val="Light List"/>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0072BC"/>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alistaakcent1">
    <w:name w:val="Light List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pPr>
        <w:spacing w:before="0" w:after="0"/>
      </w:pPr>
      <w:rPr>
        <w:b/>
        <w:bCs/>
        <w:color w:val="0072BC"/>
      </w:rPr>
      <w:tblPr/>
      <w:tcPr>
        <w:shd w:val="clear" w:color="auto" w:fill="0072BC"/>
      </w:tcPr>
    </w:tblStylePr>
    <w:tblStylePr w:type="lastRow">
      <w:pPr>
        <w:spacing w:before="0" w:after="0"/>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Jasnalistaakcent2">
    <w:name w:val="Light List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pPr>
        <w:spacing w:before="0" w:after="0"/>
      </w:pPr>
      <w:rPr>
        <w:b/>
        <w:bCs/>
        <w:color w:val="0072BC"/>
      </w:rPr>
      <w:tblPr/>
      <w:tcPr>
        <w:shd w:val="clear" w:color="auto" w:fill="C00000"/>
      </w:tcPr>
    </w:tblStylePr>
    <w:tblStylePr w:type="lastRow">
      <w:pPr>
        <w:spacing w:before="0" w:after="0"/>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Jasnalistaakcent3">
    <w:name w:val="Light List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4">
    <w:name w:val="Light List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pPr>
        <w:spacing w:before="0" w:after="0"/>
      </w:pPr>
      <w:rPr>
        <w:b/>
        <w:bCs/>
        <w:color w:val="0072BC"/>
      </w:rPr>
      <w:tblPr/>
      <w:tcPr>
        <w:shd w:val="clear" w:color="auto" w:fill="969696"/>
      </w:tcPr>
    </w:tblStylePr>
    <w:tblStylePr w:type="lastRow">
      <w:pPr>
        <w:spacing w:before="0" w:after="0"/>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Jasnalistaakcent5">
    <w:name w:val="Light List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pPr>
        <w:spacing w:before="0" w:after="0"/>
      </w:pPr>
      <w:rPr>
        <w:b/>
        <w:bCs/>
        <w:color w:val="0072BC"/>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Jasnalistaakcent6">
    <w:name w:val="Light List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pPr>
        <w:spacing w:before="0" w:after="0"/>
      </w:pPr>
      <w:rPr>
        <w:b/>
        <w:bCs/>
        <w:color w:val="0072BC"/>
      </w:rPr>
      <w:tblPr/>
      <w:tcPr>
        <w:shd w:val="clear" w:color="auto" w:fill="4D4D4D"/>
      </w:tcPr>
    </w:tblStylePr>
    <w:tblStylePr w:type="lastRow">
      <w:pPr>
        <w:spacing w:before="0" w:after="0"/>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Jasnecieniowanie">
    <w:name w:val="Light Shading"/>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99"/>
    <w:semiHidden/>
    <w:rsid w:val="00DC4033"/>
    <w:pPr>
      <w:spacing w:after="0" w:line="240" w:lineRule="auto"/>
    </w:pPr>
    <w:rPr>
      <w:color w:val="00548C"/>
      <w:sz w:val="20"/>
      <w:szCs w:val="20"/>
    </w:rPr>
    <w:tblPr>
      <w:tblStyleRowBandSize w:val="1"/>
      <w:tblStyleColBandSize w:val="1"/>
      <w:tblInd w:w="0" w:type="nil"/>
      <w:tblBorders>
        <w:top w:val="single" w:sz="8" w:space="0" w:color="0072BC"/>
        <w:bottom w:val="single" w:sz="8" w:space="0" w:color="0072BC"/>
      </w:tblBorders>
    </w:tblPr>
    <w:tblStylePr w:type="fir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Jasnecieniowanieakcent2">
    <w:name w:val="Light Shading Accent 2"/>
    <w:basedOn w:val="Standardowy"/>
    <w:uiPriority w:val="99"/>
    <w:semiHidden/>
    <w:rsid w:val="00DC4033"/>
    <w:pPr>
      <w:spacing w:after="0" w:line="240" w:lineRule="auto"/>
    </w:pPr>
    <w:rPr>
      <w:color w:val="8F0000"/>
      <w:sz w:val="20"/>
      <w:szCs w:val="20"/>
    </w:rPr>
    <w:tblPr>
      <w:tblStyleRowBandSize w:val="1"/>
      <w:tblStyleColBandSize w:val="1"/>
      <w:tblInd w:w="0" w:type="nil"/>
      <w:tblBorders>
        <w:top w:val="single" w:sz="8" w:space="0" w:color="C00000"/>
        <w:bottom w:val="single" w:sz="8" w:space="0" w:color="C00000"/>
      </w:tblBorders>
    </w:tblPr>
    <w:tblStylePr w:type="fir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Jasnecieniowanieakcent3">
    <w:name w:val="Light Shading Accent 3"/>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4">
    <w:name w:val="Light Shading Accent 4"/>
    <w:basedOn w:val="Standardowy"/>
    <w:uiPriority w:val="99"/>
    <w:semiHidden/>
    <w:rsid w:val="00DC4033"/>
    <w:pPr>
      <w:spacing w:after="0" w:line="240" w:lineRule="auto"/>
    </w:pPr>
    <w:rPr>
      <w:color w:val="707070"/>
      <w:sz w:val="20"/>
      <w:szCs w:val="20"/>
    </w:rPr>
    <w:tblPr>
      <w:tblStyleRowBandSize w:val="1"/>
      <w:tblStyleColBandSize w:val="1"/>
      <w:tblInd w:w="0" w:type="nil"/>
      <w:tblBorders>
        <w:top w:val="single" w:sz="8" w:space="0" w:color="969696"/>
        <w:bottom w:val="single" w:sz="8" w:space="0" w:color="969696"/>
      </w:tblBorders>
    </w:tblPr>
    <w:tblStylePr w:type="fir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Jasnecieniowanieakcent5">
    <w:name w:val="Light Shading Accent 5"/>
    <w:basedOn w:val="Standardowy"/>
    <w:uiPriority w:val="99"/>
    <w:semiHidden/>
    <w:rsid w:val="00DC4033"/>
    <w:pPr>
      <w:spacing w:after="0" w:line="240" w:lineRule="auto"/>
    </w:pPr>
    <w:rPr>
      <w:color w:val="474747"/>
      <w:sz w:val="20"/>
      <w:szCs w:val="20"/>
    </w:rPr>
    <w:tblPr>
      <w:tblStyleRowBandSize w:val="1"/>
      <w:tblStyleColBandSize w:val="1"/>
      <w:tblInd w:w="0" w:type="nil"/>
      <w:tblBorders>
        <w:top w:val="single" w:sz="8" w:space="0" w:color="5F5F5F"/>
        <w:bottom w:val="single" w:sz="8" w:space="0" w:color="5F5F5F"/>
      </w:tblBorders>
    </w:tblPr>
    <w:tblStylePr w:type="fir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Jasnecieniowanieakcent6">
    <w:name w:val="Light Shading Accent 6"/>
    <w:basedOn w:val="Standardowy"/>
    <w:uiPriority w:val="99"/>
    <w:semiHidden/>
    <w:rsid w:val="00DC4033"/>
    <w:pPr>
      <w:spacing w:after="0" w:line="240" w:lineRule="auto"/>
    </w:pPr>
    <w:rPr>
      <w:color w:val="393939"/>
      <w:sz w:val="20"/>
      <w:szCs w:val="20"/>
    </w:rPr>
    <w:tblPr>
      <w:tblStyleRowBandSize w:val="1"/>
      <w:tblStyleColBandSize w:val="1"/>
      <w:tblInd w:w="0" w:type="nil"/>
      <w:tblBorders>
        <w:top w:val="single" w:sz="8" w:space="0" w:color="4D4D4D"/>
        <w:bottom w:val="single" w:sz="8" w:space="0" w:color="4D4D4D"/>
      </w:tblBorders>
    </w:tblPr>
    <w:tblStylePr w:type="fir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Numerwiersza">
    <w:name w:val="line number"/>
    <w:basedOn w:val="Domylnaczcionkaakapitu"/>
    <w:uiPriority w:val="99"/>
    <w:semiHidden/>
    <w:rsid w:val="00DC4033"/>
  </w:style>
  <w:style w:type="paragraph" w:styleId="Lista">
    <w:name w:val="List"/>
    <w:basedOn w:val="Normalny"/>
    <w:uiPriority w:val="99"/>
    <w:semiHidden/>
    <w:rsid w:val="00DC4033"/>
    <w:pPr>
      <w:ind w:left="283" w:hanging="283"/>
    </w:pPr>
  </w:style>
  <w:style w:type="paragraph" w:styleId="Lista2">
    <w:name w:val="List 2"/>
    <w:basedOn w:val="Normalny"/>
    <w:uiPriority w:val="99"/>
    <w:semiHidden/>
    <w:rsid w:val="00DC4033"/>
    <w:pPr>
      <w:ind w:left="566" w:hanging="283"/>
    </w:pPr>
  </w:style>
  <w:style w:type="paragraph" w:styleId="Lista3">
    <w:name w:val="List 3"/>
    <w:basedOn w:val="Normalny"/>
    <w:uiPriority w:val="99"/>
    <w:semiHidden/>
    <w:rsid w:val="00DC4033"/>
    <w:pPr>
      <w:ind w:left="849" w:hanging="283"/>
    </w:pPr>
  </w:style>
  <w:style w:type="paragraph" w:styleId="Lista4">
    <w:name w:val="List 4"/>
    <w:basedOn w:val="Normalny"/>
    <w:uiPriority w:val="99"/>
    <w:semiHidden/>
    <w:rsid w:val="00DC4033"/>
    <w:pPr>
      <w:ind w:left="1132" w:hanging="283"/>
    </w:pPr>
  </w:style>
  <w:style w:type="paragraph" w:styleId="Lista5">
    <w:name w:val="List 5"/>
    <w:basedOn w:val="Normalny"/>
    <w:uiPriority w:val="99"/>
    <w:semiHidden/>
    <w:rsid w:val="00DC4033"/>
    <w:pPr>
      <w:ind w:left="1415" w:hanging="283"/>
    </w:pPr>
  </w:style>
  <w:style w:type="paragraph" w:styleId="Listapunktowana2">
    <w:name w:val="List Bullet 2"/>
    <w:basedOn w:val="Normalny"/>
    <w:uiPriority w:val="99"/>
    <w:semiHidden/>
    <w:rsid w:val="00DC4033"/>
    <w:pPr>
      <w:numPr>
        <w:numId w:val="12"/>
      </w:numPr>
    </w:pPr>
  </w:style>
  <w:style w:type="paragraph" w:styleId="Listapunktowana3">
    <w:name w:val="List Bullet 3"/>
    <w:basedOn w:val="Normalny"/>
    <w:uiPriority w:val="99"/>
    <w:semiHidden/>
    <w:rsid w:val="00DC4033"/>
    <w:pPr>
      <w:numPr>
        <w:numId w:val="13"/>
      </w:numPr>
    </w:pPr>
  </w:style>
  <w:style w:type="paragraph" w:styleId="Listapunktowana4">
    <w:name w:val="List Bullet 4"/>
    <w:basedOn w:val="Normalny"/>
    <w:uiPriority w:val="99"/>
    <w:semiHidden/>
    <w:rsid w:val="00DC4033"/>
    <w:pPr>
      <w:numPr>
        <w:numId w:val="14"/>
      </w:numPr>
    </w:pPr>
  </w:style>
  <w:style w:type="paragraph" w:styleId="Listapunktowana5">
    <w:name w:val="List Bullet 5"/>
    <w:basedOn w:val="Normalny"/>
    <w:uiPriority w:val="99"/>
    <w:semiHidden/>
    <w:rsid w:val="00DC4033"/>
    <w:pPr>
      <w:numPr>
        <w:numId w:val="15"/>
      </w:numPr>
    </w:pPr>
  </w:style>
  <w:style w:type="paragraph" w:styleId="Lista-kontynuacja">
    <w:name w:val="List Continue"/>
    <w:basedOn w:val="Normalny"/>
    <w:uiPriority w:val="99"/>
    <w:semiHidden/>
    <w:rsid w:val="00DC4033"/>
    <w:pPr>
      <w:spacing w:after="120"/>
      <w:ind w:left="283"/>
    </w:pPr>
  </w:style>
  <w:style w:type="paragraph" w:styleId="Lista-kontynuacja2">
    <w:name w:val="List Continue 2"/>
    <w:basedOn w:val="Normalny"/>
    <w:uiPriority w:val="99"/>
    <w:semiHidden/>
    <w:rsid w:val="00DC4033"/>
    <w:pPr>
      <w:spacing w:after="120"/>
      <w:ind w:left="566"/>
    </w:pPr>
  </w:style>
  <w:style w:type="paragraph" w:styleId="Lista-kontynuacja3">
    <w:name w:val="List Continue 3"/>
    <w:basedOn w:val="Normalny"/>
    <w:uiPriority w:val="99"/>
    <w:semiHidden/>
    <w:rsid w:val="00DC4033"/>
    <w:pPr>
      <w:spacing w:after="120"/>
      <w:ind w:left="849"/>
    </w:pPr>
  </w:style>
  <w:style w:type="paragraph" w:styleId="Lista-kontynuacja4">
    <w:name w:val="List Continue 4"/>
    <w:basedOn w:val="Normalny"/>
    <w:uiPriority w:val="99"/>
    <w:semiHidden/>
    <w:rsid w:val="00DC4033"/>
    <w:pPr>
      <w:spacing w:after="120"/>
      <w:ind w:left="1132"/>
    </w:pPr>
  </w:style>
  <w:style w:type="paragraph" w:styleId="Lista-kontynuacja5">
    <w:name w:val="List Continue 5"/>
    <w:basedOn w:val="Normalny"/>
    <w:uiPriority w:val="99"/>
    <w:semiHidden/>
    <w:rsid w:val="00DC4033"/>
    <w:pPr>
      <w:spacing w:after="120"/>
      <w:ind w:left="1415"/>
    </w:pPr>
  </w:style>
  <w:style w:type="paragraph" w:styleId="Listanumerowana">
    <w:name w:val="List Number"/>
    <w:basedOn w:val="Normalny"/>
    <w:uiPriority w:val="99"/>
    <w:semiHidden/>
    <w:rsid w:val="00DC4033"/>
    <w:pPr>
      <w:numPr>
        <w:numId w:val="16"/>
      </w:numPr>
    </w:pPr>
  </w:style>
  <w:style w:type="paragraph" w:styleId="Listanumerowana2">
    <w:name w:val="List Number 2"/>
    <w:basedOn w:val="Normalny"/>
    <w:uiPriority w:val="99"/>
    <w:semiHidden/>
    <w:rsid w:val="00DC4033"/>
    <w:pPr>
      <w:numPr>
        <w:numId w:val="17"/>
      </w:numPr>
    </w:pPr>
  </w:style>
  <w:style w:type="paragraph" w:styleId="Listanumerowana3">
    <w:name w:val="List Number 3"/>
    <w:basedOn w:val="Normalny"/>
    <w:uiPriority w:val="99"/>
    <w:semiHidden/>
    <w:rsid w:val="00DC4033"/>
    <w:pPr>
      <w:numPr>
        <w:numId w:val="18"/>
      </w:numPr>
    </w:pPr>
  </w:style>
  <w:style w:type="paragraph" w:styleId="Listanumerowana4">
    <w:name w:val="List Number 4"/>
    <w:basedOn w:val="Normalny"/>
    <w:uiPriority w:val="99"/>
    <w:semiHidden/>
    <w:rsid w:val="00DC4033"/>
    <w:pPr>
      <w:numPr>
        <w:numId w:val="19"/>
      </w:numPr>
    </w:pPr>
  </w:style>
  <w:style w:type="paragraph" w:styleId="Listanumerowana5">
    <w:name w:val="List Number 5"/>
    <w:basedOn w:val="Normalny"/>
    <w:uiPriority w:val="99"/>
    <w:semiHidden/>
    <w:rsid w:val="00DC4033"/>
    <w:pPr>
      <w:numPr>
        <w:numId w:val="20"/>
      </w:numPr>
    </w:pPr>
  </w:style>
  <w:style w:type="paragraph" w:styleId="Tekstmakra">
    <w:name w:val="macro"/>
    <w:link w:val="TekstmakraZnak"/>
    <w:uiPriority w:val="99"/>
    <w:semiHidden/>
    <w:rsid w:val="00DC403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sz w:val="20"/>
      <w:szCs w:val="20"/>
      <w:lang w:eastAsia="en-US"/>
    </w:rPr>
  </w:style>
  <w:style w:type="table" w:styleId="redniasiatka1">
    <w:name w:val="Medium Grid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TekstmakraZnak">
    <w:name w:val="Tekst makra Znak"/>
    <w:link w:val="Tekstmakra"/>
    <w:uiPriority w:val="99"/>
    <w:semiHidden/>
    <w:locked/>
    <w:rsid w:val="00DC4033"/>
    <w:rPr>
      <w:rFonts w:ascii="Consolas" w:eastAsia="MS Mincho" w:hAnsi="Consolas" w:cs="Consolas"/>
      <w:lang w:val="pl-PL" w:eastAsia="en-US"/>
    </w:rPr>
  </w:style>
  <w:style w:type="table" w:styleId="redniasiatka1akcent1">
    <w:name w:val="Medium Grid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redniasiatka1akcent2">
    <w:name w:val="Medium Grid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redniasiatka1akcent3">
    <w:name w:val="Medium Grid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4">
    <w:name w:val="Medium Grid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redniasiatka1akcent5">
    <w:name w:val="Medium Grid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redniasiatka1akcent6">
    <w:name w:val="Medium Grid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redniasiatka2">
    <w:name w:val="Medium Grid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redniasiatka2akcent1">
    <w:name w:val="Medium Grid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redniasiatka2akcent2">
    <w:name w:val="Medium Grid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redniasiatka2akcent3">
    <w:name w:val="Medium Grid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4">
    <w:name w:val="Medium Grid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redniasiatka2akcent5">
    <w:name w:val="Medium Grid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redniasiatka2akcent6">
    <w:name w:val="Medium Grid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redniasiatka3">
    <w:name w:val="Medium Grid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redniasiatka3akcent1">
    <w:name w:val="Medium Grid 3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redniasiatka3akcent2">
    <w:name w:val="Medium Grid 3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redniasiatka3akcent3">
    <w:name w:val="Medium Grid 3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4">
    <w:name w:val="Medium Grid 3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redniasiatka3akcent5">
    <w:name w:val="Medium Grid 3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redniasiatka3akcent6">
    <w:name w:val="Medium Grid 3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rednialista1">
    <w:name w:val="Medium Lis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rednialista1akcent1">
    <w:name w:val="Medium List 1 Accent 1"/>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rednialista1akcent2">
    <w:name w:val="Medium List 1 Accent 2"/>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rednialista1akcent3">
    <w:name w:val="Medium List 1 Accent 3"/>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4">
    <w:name w:val="Medium List 1 Accent 4"/>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rednialista1akcent5">
    <w:name w:val="Medium List 1 Accent 5"/>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rednialista1akcent6">
    <w:name w:val="Medium List 1 Accent 6"/>
    <w:basedOn w:val="Standardowy"/>
    <w:uiPriority w:val="99"/>
    <w:semiHidden/>
    <w:rsid w:val="00DC4033"/>
    <w:pPr>
      <w:spacing w:after="0" w:line="240" w:lineRule="auto"/>
    </w:pPr>
    <w:rPr>
      <w:color w:val="000000"/>
      <w:sz w:val="20"/>
      <w:szCs w:val="20"/>
    </w:rPr>
    <w:tblPr>
      <w:tblStyleRowBandSize w:val="1"/>
      <w:tblStyleColBandSize w:val="1"/>
      <w:tblInd w:w="0" w:type="nil"/>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rednialista2">
    <w:name w:val="Medium Lis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rednialista2akcent1">
    <w:name w:val="Medium List 2 Accent 1"/>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rednialista2akcent2">
    <w:name w:val="Medium List 2 Accent 2"/>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rednialista2akcent3">
    <w:name w:val="Medium List 2 Accent 3"/>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4">
    <w:name w:val="Medium List 2 Accent 4"/>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rednialista2akcent5">
    <w:name w:val="Medium List 2 Accent 5"/>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rednialista2akcent6">
    <w:name w:val="Medium List 2 Accent 6"/>
    <w:basedOn w:val="Standardowy"/>
    <w:uiPriority w:val="99"/>
    <w:semiHidden/>
    <w:rsid w:val="00DC4033"/>
    <w:pPr>
      <w:spacing w:after="0" w:line="240" w:lineRule="auto"/>
    </w:pPr>
    <w:rPr>
      <w:rFonts w:eastAsia="MS Gothic"/>
      <w:color w:val="000000"/>
      <w:sz w:val="20"/>
      <w:szCs w:val="20"/>
    </w:rPr>
    <w:tblPr>
      <w:tblStyleRowBandSize w:val="1"/>
      <w:tblStyleColBandSize w:val="1"/>
      <w:tblInd w:w="0" w:type="nil"/>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redniecieniowanie1">
    <w:name w:val="Medium Shading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redniecieniowanie1akcent1">
    <w:name w:val="Medium Shading 1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redniecieniowanie1akcent2">
    <w:name w:val="Medium Shading 1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redniecieniowanie1akcent3">
    <w:name w:val="Medium Shading 1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4">
    <w:name w:val="Medium Shading 1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redniecieniowanie1akcent5">
    <w:name w:val="Medium Shading 1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redniecieniowanie1akcent6">
    <w:name w:val="Medium Shading 1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redniecieniowanie2">
    <w:name w:val="Medium Shading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99"/>
    <w:semiHidden/>
    <w:rsid w:val="00DC4033"/>
    <w:pPr>
      <w:spacing w:after="0" w:line="240" w:lineRule="auto"/>
    </w:pPr>
    <w:rPr>
      <w:sz w:val="20"/>
      <w:szCs w:val="20"/>
    </w:rPr>
    <w:tblPr>
      <w:tblStyleRowBandSize w:val="1"/>
      <w:tblStyleColBandSize w:val="1"/>
      <w:tblInd w:w="0" w:type="nil"/>
      <w:tblBorders>
        <w:top w:val="single" w:sz="18" w:space="0" w:color="auto"/>
        <w:bottom w:val="single" w:sz="18" w:space="0" w:color="auto"/>
      </w:tblBorders>
    </w:tblPr>
    <w:tblStylePr w:type="firstRow">
      <w:pPr>
        <w:spacing w:before="0" w:after="0"/>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lang w:eastAsia="pl-PL"/>
    </w:rPr>
  </w:style>
  <w:style w:type="paragraph" w:styleId="NormalnyWeb">
    <w:name w:val="Normal (Web)"/>
    <w:basedOn w:val="Normalny"/>
    <w:uiPriority w:val="99"/>
    <w:semiHidden/>
    <w:rsid w:val="00DC4033"/>
  </w:style>
  <w:style w:type="character" w:customStyle="1" w:styleId="NagwekwiadomociZnak">
    <w:name w:val="Nagłówek wiadomości Znak"/>
    <w:link w:val="Nagwekwiadomoci"/>
    <w:uiPriority w:val="99"/>
    <w:semiHidden/>
    <w:locked/>
    <w:rsid w:val="00DC4033"/>
    <w:rPr>
      <w:rFonts w:ascii="Times New Roman" w:eastAsia="MS Gothic" w:hAnsi="Times New Roman" w:cs="Times New Roman"/>
      <w:sz w:val="24"/>
      <w:szCs w:val="24"/>
      <w:shd w:val="pct20" w:color="auto" w:fill="auto"/>
    </w:rPr>
  </w:style>
  <w:style w:type="paragraph" w:styleId="Wcicienormalne">
    <w:name w:val="Normal Indent"/>
    <w:basedOn w:val="Normalny"/>
    <w:uiPriority w:val="99"/>
    <w:semiHidden/>
    <w:rsid w:val="00DC4033"/>
    <w:pPr>
      <w:ind w:left="720"/>
    </w:pPr>
  </w:style>
  <w:style w:type="paragraph" w:styleId="Nagweknotatki">
    <w:name w:val="Note Heading"/>
    <w:basedOn w:val="Normalny"/>
    <w:next w:val="Normalny"/>
    <w:link w:val="NagweknotatkiZnak"/>
    <w:uiPriority w:val="99"/>
    <w:semiHidden/>
    <w:rsid w:val="00DC4033"/>
    <w:rPr>
      <w:lang w:eastAsia="pl-PL"/>
    </w:rPr>
  </w:style>
  <w:style w:type="character" w:styleId="Tekstzastpczy">
    <w:name w:val="Placeholder Text"/>
    <w:basedOn w:val="Domylnaczcionkaakapitu"/>
    <w:uiPriority w:val="99"/>
    <w:semiHidden/>
    <w:rsid w:val="00841658"/>
    <w:rPr>
      <w:color w:val="auto"/>
      <w:shd w:val="clear" w:color="auto" w:fill="DFDFDF"/>
    </w:rPr>
  </w:style>
  <w:style w:type="character" w:customStyle="1" w:styleId="NagweknotatkiZnak">
    <w:name w:val="Nagłówek notatki Znak"/>
    <w:link w:val="Nagweknotatki"/>
    <w:uiPriority w:val="99"/>
    <w:semiHidden/>
    <w:locked/>
    <w:rsid w:val="00DC4033"/>
    <w:rPr>
      <w:rFonts w:eastAsia="MS Mincho"/>
      <w:sz w:val="24"/>
      <w:szCs w:val="24"/>
    </w:rPr>
  </w:style>
  <w:style w:type="paragraph" w:styleId="Zwykytekst">
    <w:name w:val="Plain Text"/>
    <w:basedOn w:val="Normalny"/>
    <w:link w:val="ZwykytekstZnak"/>
    <w:uiPriority w:val="99"/>
    <w:semiHidden/>
    <w:rsid w:val="00DC4033"/>
    <w:rPr>
      <w:rFonts w:ascii="Consolas" w:hAnsi="Consolas" w:cs="Consolas"/>
      <w:sz w:val="21"/>
      <w:szCs w:val="21"/>
      <w:lang w:eastAsia="pl-PL"/>
    </w:rPr>
  </w:style>
  <w:style w:type="paragraph" w:styleId="Zwrotgrzecznociowy">
    <w:name w:val="Salutation"/>
    <w:basedOn w:val="Normalny"/>
    <w:next w:val="Normalny"/>
    <w:link w:val="ZwrotgrzecznociowyZnak"/>
    <w:uiPriority w:val="99"/>
    <w:semiHidden/>
    <w:rsid w:val="00DC4033"/>
    <w:rPr>
      <w:lang w:eastAsia="pl-PL"/>
    </w:rPr>
  </w:style>
  <w:style w:type="character" w:customStyle="1" w:styleId="ZwykytekstZnak">
    <w:name w:val="Zwykły tekst Znak"/>
    <w:link w:val="Zwykytekst"/>
    <w:uiPriority w:val="99"/>
    <w:semiHidden/>
    <w:locked/>
    <w:rsid w:val="00DC4033"/>
    <w:rPr>
      <w:rFonts w:ascii="Consolas" w:eastAsia="MS Mincho" w:hAnsi="Consolas" w:cs="Consolas"/>
      <w:sz w:val="21"/>
      <w:szCs w:val="21"/>
    </w:rPr>
  </w:style>
  <w:style w:type="paragraph" w:styleId="Podpis">
    <w:name w:val="Signature"/>
    <w:basedOn w:val="Normalny"/>
    <w:link w:val="PodpisZnak"/>
    <w:uiPriority w:val="99"/>
    <w:semiHidden/>
    <w:rsid w:val="00DC4033"/>
    <w:pPr>
      <w:ind w:left="4252"/>
    </w:pPr>
    <w:rPr>
      <w:lang w:eastAsia="pl-PL"/>
    </w:rPr>
  </w:style>
  <w:style w:type="character" w:customStyle="1" w:styleId="ZwrotgrzecznociowyZnak">
    <w:name w:val="Zwrot grzecznościowy Znak"/>
    <w:link w:val="Zwrotgrzecznociowy"/>
    <w:uiPriority w:val="99"/>
    <w:semiHidden/>
    <w:locked/>
    <w:rsid w:val="00DC4033"/>
    <w:rPr>
      <w:rFonts w:eastAsia="MS Mincho"/>
      <w:sz w:val="24"/>
      <w:szCs w:val="24"/>
    </w:rPr>
  </w:style>
  <w:style w:type="table" w:styleId="Tabela-Efekty3W1">
    <w:name w:val="Table 3D effects 1"/>
    <w:basedOn w:val="Standardowy"/>
    <w:uiPriority w:val="99"/>
    <w:semiHidden/>
    <w:rsid w:val="00DC4033"/>
    <w:pPr>
      <w:spacing w:after="0" w:line="240" w:lineRule="auto"/>
      <w:jc w:val="both"/>
    </w:pPr>
    <w:rPr>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odpisZnak">
    <w:name w:val="Podpis Znak"/>
    <w:link w:val="Podpis"/>
    <w:uiPriority w:val="99"/>
    <w:semiHidden/>
    <w:locked/>
    <w:rsid w:val="00DC4033"/>
    <w:rPr>
      <w:rFonts w:eastAsia="MS Mincho"/>
      <w:sz w:val="24"/>
      <w:szCs w:val="24"/>
    </w:rPr>
  </w:style>
  <w:style w:type="table" w:styleId="Tabela-Efekty3W2">
    <w:name w:val="Table 3D effects 2"/>
    <w:basedOn w:val="Standardowy"/>
    <w:uiPriority w:val="99"/>
    <w:semiHidden/>
    <w:rsid w:val="00DC4033"/>
    <w:pPr>
      <w:spacing w:after="0" w:line="240" w:lineRule="auto"/>
      <w:jc w:val="both"/>
    </w:pPr>
    <w:rPr>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rsid w:val="00DC4033"/>
    <w:pPr>
      <w:spacing w:after="0" w:line="240" w:lineRule="auto"/>
      <w:jc w:val="both"/>
    </w:pPr>
    <w:rPr>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rsid w:val="00DC4033"/>
    <w:pPr>
      <w:spacing w:after="0" w:line="240" w:lineRule="auto"/>
      <w:jc w:val="both"/>
    </w:pPr>
    <w:rPr>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rsid w:val="00DC4033"/>
    <w:pPr>
      <w:spacing w:after="0" w:line="240" w:lineRule="auto"/>
      <w:jc w:val="both"/>
    </w:pPr>
    <w:rPr>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rsid w:val="00DC4033"/>
    <w:pPr>
      <w:spacing w:after="0" w:line="240" w:lineRule="auto"/>
      <w:jc w:val="both"/>
    </w:pPr>
    <w:rPr>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rsid w:val="00DC4033"/>
    <w:pPr>
      <w:spacing w:after="0" w:line="240" w:lineRule="auto"/>
      <w:jc w:val="both"/>
    </w:pPr>
    <w:rPr>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rsid w:val="00DC4033"/>
    <w:pPr>
      <w:spacing w:after="0" w:line="240" w:lineRule="auto"/>
      <w:jc w:val="both"/>
    </w:pPr>
    <w:rPr>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rsid w:val="00DC4033"/>
    <w:pPr>
      <w:spacing w:after="0" w:line="240" w:lineRule="auto"/>
      <w:jc w:val="both"/>
    </w:pPr>
    <w:rPr>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rsid w:val="00DC4033"/>
    <w:pPr>
      <w:spacing w:after="0" w:line="240" w:lineRule="auto"/>
      <w:jc w:val="both"/>
    </w:pPr>
    <w:rPr>
      <w:b/>
      <w:bCs/>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rsid w:val="00DC4033"/>
    <w:pPr>
      <w:spacing w:after="0" w:line="240" w:lineRule="auto"/>
      <w:jc w:val="both"/>
    </w:pPr>
    <w:rPr>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rsid w:val="00DC4033"/>
    <w:pPr>
      <w:spacing w:after="0" w:line="240" w:lineRule="auto"/>
      <w:jc w:val="both"/>
    </w:pPr>
    <w:rPr>
      <w:sz w:val="20"/>
      <w:szCs w:val="20"/>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rsid w:val="00DC4033"/>
    <w:pPr>
      <w:spacing w:after="0" w:line="240" w:lineRule="auto"/>
      <w:jc w:val="both"/>
    </w:pPr>
    <w:rPr>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rsid w:val="00DC4033"/>
    <w:pPr>
      <w:spacing w:after="0" w:line="240" w:lineRule="auto"/>
      <w:jc w:val="both"/>
    </w:pPr>
    <w:rPr>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rsid w:val="00DC4033"/>
    <w:pPr>
      <w:spacing w:after="0" w:line="240" w:lineRule="auto"/>
      <w:jc w:val="both"/>
    </w:pPr>
    <w:rPr>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rsid w:val="00DC4033"/>
    <w:pPr>
      <w:spacing w:after="0" w:line="240" w:lineRule="auto"/>
      <w:jc w:val="both"/>
    </w:pPr>
    <w:rPr>
      <w:sz w:val="20"/>
      <w:szCs w:val="20"/>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rsid w:val="00DC4033"/>
    <w:pPr>
      <w:spacing w:after="0" w:line="240" w:lineRule="auto"/>
      <w:jc w:val="both"/>
    </w:pPr>
    <w:rPr>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rsid w:val="00DC4033"/>
    <w:pPr>
      <w:spacing w:after="0" w:line="240" w:lineRule="auto"/>
      <w:jc w:val="both"/>
    </w:pPr>
    <w:rPr>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rsid w:val="00DC4033"/>
    <w:pPr>
      <w:spacing w:after="0" w:line="240" w:lineRule="auto"/>
      <w:jc w:val="both"/>
    </w:pPr>
    <w:rPr>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rsid w:val="00DC4033"/>
    <w:pPr>
      <w:spacing w:after="0" w:line="240" w:lineRule="auto"/>
      <w:jc w:val="both"/>
    </w:pPr>
    <w:rPr>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rsid w:val="00DC4033"/>
    <w:pPr>
      <w:spacing w:after="0" w:line="240" w:lineRule="auto"/>
      <w:jc w:val="both"/>
    </w:pPr>
    <w:rPr>
      <w:sz w:val="20"/>
      <w:szCs w:val="20"/>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rsid w:val="00DC4033"/>
    <w:pPr>
      <w:spacing w:after="0" w:line="240" w:lineRule="auto"/>
      <w:jc w:val="both"/>
    </w:pPr>
    <w:rPr>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rsid w:val="00DC4033"/>
    <w:pPr>
      <w:spacing w:after="0" w:line="240" w:lineRule="auto"/>
      <w:jc w:val="both"/>
    </w:pPr>
    <w:rPr>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rsid w:val="00DC4033"/>
    <w:pPr>
      <w:spacing w:after="0" w:line="240" w:lineRule="auto"/>
      <w:jc w:val="both"/>
    </w:pPr>
    <w:rPr>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DC4033"/>
    <w:pPr>
      <w:ind w:left="240" w:hanging="240"/>
    </w:pPr>
  </w:style>
  <w:style w:type="paragraph" w:styleId="Spisilustracji">
    <w:name w:val="table of figures"/>
    <w:basedOn w:val="Normalny"/>
    <w:next w:val="Normalny"/>
    <w:uiPriority w:val="99"/>
    <w:semiHidden/>
    <w:rsid w:val="00DC4033"/>
  </w:style>
  <w:style w:type="table" w:styleId="Tabela-Profesjonalny">
    <w:name w:val="Table Professional"/>
    <w:basedOn w:val="Standardowy"/>
    <w:uiPriority w:val="99"/>
    <w:semiHidden/>
    <w:rsid w:val="00DC4033"/>
    <w:pPr>
      <w:spacing w:after="0" w:line="240" w:lineRule="auto"/>
      <w:jc w:val="both"/>
    </w:pPr>
    <w:rPr>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rsid w:val="00DC4033"/>
    <w:pPr>
      <w:spacing w:after="0" w:line="240" w:lineRule="auto"/>
      <w:jc w:val="both"/>
    </w:pPr>
    <w:rPr>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rsid w:val="00DC4033"/>
    <w:pPr>
      <w:spacing w:after="0" w:line="240" w:lineRule="auto"/>
      <w:jc w:val="both"/>
    </w:pPr>
    <w:rPr>
      <w:sz w:val="20"/>
      <w:szCs w:val="20"/>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rsid w:val="00DC4033"/>
    <w:pPr>
      <w:spacing w:after="0" w:line="240" w:lineRule="auto"/>
      <w:jc w:val="both"/>
    </w:pPr>
    <w:rPr>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rsid w:val="00DC4033"/>
    <w:pPr>
      <w:spacing w:after="0" w:line="240" w:lineRule="auto"/>
      <w:jc w:val="both"/>
    </w:pPr>
    <w:rPr>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rsid w:val="00DC4033"/>
    <w:pPr>
      <w:spacing w:after="0" w:line="240" w:lineRule="auto"/>
      <w:jc w:val="both"/>
    </w:pPr>
    <w:rPr>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rsid w:val="00DC4033"/>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rsid w:val="00DC4033"/>
    <w:pPr>
      <w:spacing w:after="0" w:line="240" w:lineRule="auto"/>
      <w:jc w:val="both"/>
    </w:pPr>
    <w:rPr>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rsid w:val="00DC4033"/>
    <w:pPr>
      <w:spacing w:after="0" w:line="240" w:lineRule="auto"/>
      <w:jc w:val="both"/>
    </w:pPr>
    <w:rPr>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rsid w:val="00DC4033"/>
    <w:pPr>
      <w:spacing w:after="0" w:line="240" w:lineRule="auto"/>
      <w:jc w:val="both"/>
    </w:pPr>
    <w:rPr>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Spistreci6">
    <w:name w:val="toc 6"/>
    <w:basedOn w:val="Normalny"/>
    <w:next w:val="Normalny"/>
    <w:autoRedefine/>
    <w:uiPriority w:val="99"/>
    <w:semiHidden/>
    <w:rsid w:val="00841658"/>
    <w:pPr>
      <w:tabs>
        <w:tab w:val="right" w:leader="dot" w:pos="7371"/>
      </w:tabs>
      <w:spacing w:after="60" w:line="240" w:lineRule="exact"/>
      <w:ind w:left="2041" w:right="567" w:hanging="340"/>
    </w:pPr>
    <w:rPr>
      <w:sz w:val="20"/>
      <w:szCs w:val="20"/>
    </w:rPr>
  </w:style>
  <w:style w:type="paragraph" w:styleId="Spistreci7">
    <w:name w:val="toc 7"/>
    <w:basedOn w:val="Normalny"/>
    <w:next w:val="Normalny"/>
    <w:autoRedefine/>
    <w:uiPriority w:val="99"/>
    <w:semiHidden/>
    <w:rsid w:val="00841658"/>
    <w:pPr>
      <w:tabs>
        <w:tab w:val="right" w:leader="dot" w:pos="7371"/>
      </w:tabs>
      <w:spacing w:after="60" w:line="240" w:lineRule="exact"/>
      <w:ind w:left="2381" w:right="567" w:hanging="340"/>
    </w:pPr>
    <w:rPr>
      <w:sz w:val="20"/>
      <w:szCs w:val="20"/>
    </w:rPr>
  </w:style>
  <w:style w:type="paragraph" w:styleId="Spistreci8">
    <w:name w:val="toc 8"/>
    <w:basedOn w:val="Normalny"/>
    <w:next w:val="Normalny"/>
    <w:autoRedefine/>
    <w:uiPriority w:val="99"/>
    <w:semiHidden/>
    <w:rsid w:val="00DC4033"/>
    <w:pPr>
      <w:spacing w:after="100"/>
      <w:ind w:left="1680"/>
    </w:pPr>
  </w:style>
  <w:style w:type="paragraph" w:styleId="Spistreci9">
    <w:name w:val="toc 9"/>
    <w:basedOn w:val="Normalny"/>
    <w:next w:val="Normalny"/>
    <w:autoRedefine/>
    <w:uiPriority w:val="99"/>
    <w:semiHidden/>
    <w:rsid w:val="00DC4033"/>
    <w:pPr>
      <w:spacing w:after="100"/>
      <w:ind w:left="1920"/>
    </w:pPr>
  </w:style>
  <w:style w:type="paragraph" w:customStyle="1" w:styleId="OpiHi">
    <w:name w:val="Opi_H_i"/>
    <w:basedOn w:val="ECHRHeading4"/>
    <w:uiPriority w:val="99"/>
    <w:rsid w:val="00841658"/>
    <w:pPr>
      <w:ind w:left="1037" w:hanging="357"/>
      <w:outlineLvl w:val="4"/>
    </w:pPr>
    <w:rPr>
      <w:b w:val="0"/>
      <w:bCs w:val="0"/>
      <w:i/>
      <w:iCs/>
    </w:rPr>
  </w:style>
  <w:style w:type="paragraph" w:customStyle="1" w:styleId="OpiParaSub">
    <w:name w:val="Opi_Para_Sub"/>
    <w:basedOn w:val="JuParaSub"/>
    <w:uiPriority w:val="99"/>
    <w:rsid w:val="00841658"/>
  </w:style>
  <w:style w:type="paragraph" w:customStyle="1" w:styleId="ECHRFooter">
    <w:name w:val="ECHR_Footer"/>
    <w:aliases w:val="Footer_ECHR"/>
    <w:basedOn w:val="Stopka"/>
    <w:uiPriority w:val="99"/>
    <w:semiHidden/>
    <w:rsid w:val="00841658"/>
    <w:pPr>
      <w:jc w:val="left"/>
    </w:pPr>
    <w:rPr>
      <w:sz w:val="8"/>
      <w:szCs w:val="8"/>
    </w:rPr>
  </w:style>
  <w:style w:type="paragraph" w:customStyle="1" w:styleId="ECHRFooterLine">
    <w:name w:val="ECHR_Footer_Line"/>
    <w:aliases w:val="Footer_Line"/>
    <w:basedOn w:val="Normalny"/>
    <w:next w:val="ECHRFooter"/>
    <w:uiPriority w:val="99"/>
    <w:semiHidden/>
    <w:rsid w:val="00841658"/>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ny"/>
    <w:next w:val="ECHRPara"/>
    <w:uiPriority w:val="99"/>
    <w:rsid w:val="00841658"/>
    <w:pPr>
      <w:spacing w:after="240"/>
      <w:jc w:val="center"/>
      <w:outlineLvl w:val="0"/>
    </w:pPr>
  </w:style>
  <w:style w:type="paragraph" w:customStyle="1" w:styleId="OpiQuot">
    <w:name w:val="Opi_Quot"/>
    <w:basedOn w:val="ECHRParaQuote"/>
    <w:uiPriority w:val="99"/>
    <w:rsid w:val="00841658"/>
  </w:style>
  <w:style w:type="paragraph" w:customStyle="1" w:styleId="OpiQuotSub">
    <w:name w:val="Opi_Quot_Sub"/>
    <w:basedOn w:val="JuQuotSub"/>
    <w:uiPriority w:val="99"/>
    <w:rsid w:val="00841658"/>
  </w:style>
  <w:style w:type="paragraph" w:customStyle="1" w:styleId="OpiTranslation">
    <w:name w:val="Opi_Translation"/>
    <w:basedOn w:val="Normalny"/>
    <w:next w:val="OpiPara"/>
    <w:uiPriority w:val="99"/>
    <w:rsid w:val="00841658"/>
    <w:pPr>
      <w:jc w:val="center"/>
      <w:outlineLvl w:val="0"/>
    </w:pPr>
    <w:rPr>
      <w:i/>
      <w:iCs/>
    </w:rPr>
  </w:style>
  <w:style w:type="paragraph" w:styleId="Poprawka">
    <w:name w:val="Revision"/>
    <w:hidden/>
    <w:uiPriority w:val="99"/>
    <w:semiHidden/>
    <w:rsid w:val="00DE2C4C"/>
    <w:pPr>
      <w:spacing w:after="0" w:line="240" w:lineRule="auto"/>
    </w:pPr>
    <w:rPr>
      <w:rFonts w:eastAsia="MS Mincho"/>
      <w:sz w:val="24"/>
      <w:szCs w:val="24"/>
      <w:lang w:eastAsia="en-US"/>
    </w:rPr>
  </w:style>
  <w:style w:type="character" w:customStyle="1" w:styleId="JuNames0">
    <w:name w:val="Ju_Names"/>
    <w:uiPriority w:val="99"/>
    <w:rsid w:val="00DE2C4C"/>
    <w:rPr>
      <w:smallCaps/>
    </w:rPr>
  </w:style>
  <w:style w:type="table" w:customStyle="1" w:styleId="Table3Deffects11">
    <w:name w:val="Table 3D effects 11"/>
    <w:uiPriority w:val="99"/>
    <w:semiHidden/>
    <w:rsid w:val="00DE2C4C"/>
    <w:pPr>
      <w:suppressAutoHyphens/>
      <w:spacing w:after="0" w:line="240" w:lineRule="auto"/>
    </w:pPr>
    <w:rPr>
      <w:sz w:val="20"/>
      <w:szCs w:val="20"/>
      <w:lang w:eastAsia="fr-FR"/>
    </w:rPr>
    <w:tblPr>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DE2C4C"/>
    <w:pPr>
      <w:suppressAutoHyphens/>
      <w:spacing w:after="0" w:line="240" w:lineRule="auto"/>
    </w:pPr>
    <w:rPr>
      <w:sz w:val="20"/>
      <w:szCs w:val="20"/>
      <w:lang w:eastAsia="fr-FR"/>
    </w:rPr>
    <w:tblPr>
      <w:tblStyleRowBandSize w:val="1"/>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DE2C4C"/>
    <w:pPr>
      <w:suppressAutoHyphens/>
      <w:spacing w:after="0" w:line="240" w:lineRule="auto"/>
    </w:pPr>
    <w:rPr>
      <w:sz w:val="20"/>
      <w:szCs w:val="20"/>
      <w:lang w:eastAsia="fr-FR"/>
    </w:rPr>
    <w:tblPr>
      <w:tblStyleRowBandSize w:val="1"/>
      <w:tblStyleColBandSize w:val="1"/>
      <w:tblCellMar>
        <w:top w:w="0" w:type="dxa"/>
        <w:left w:w="108" w:type="dxa"/>
        <w:bottom w:w="0" w:type="dxa"/>
        <w:right w:w="108" w:type="dxa"/>
      </w:tblCellMar>
    </w:tblPr>
  </w:style>
  <w:style w:type="table" w:customStyle="1" w:styleId="TableClassic11">
    <w:name w:val="Table Classic 11"/>
    <w:uiPriority w:val="99"/>
    <w:semiHidden/>
    <w:rsid w:val="00DE2C4C"/>
    <w:pPr>
      <w:suppressAutoHyphens/>
      <w:spacing w:after="0" w:line="240" w:lineRule="auto"/>
    </w:pPr>
    <w:rPr>
      <w:sz w:val="20"/>
      <w:szCs w:val="20"/>
      <w:lang w:eastAsia="fr-FR"/>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DE2C4C"/>
    <w:pPr>
      <w:suppressAutoHyphens/>
      <w:spacing w:after="0" w:line="240" w:lineRule="auto"/>
    </w:pPr>
    <w:rPr>
      <w:sz w:val="20"/>
      <w:szCs w:val="20"/>
      <w:lang w:eastAsia="fr-FR"/>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DE2C4C"/>
    <w:pPr>
      <w:suppressAutoHyphens/>
      <w:spacing w:after="0" w:line="240" w:lineRule="auto"/>
    </w:pPr>
    <w:rPr>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DE2C4C"/>
    <w:pPr>
      <w:suppressAutoHyphens/>
      <w:spacing w:after="0" w:line="240" w:lineRule="auto"/>
    </w:pPr>
    <w:rPr>
      <w:sz w:val="20"/>
      <w:szCs w:val="20"/>
      <w:lang w:eastAsia="fr-FR"/>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DE2C4C"/>
    <w:pPr>
      <w:suppressAutoHyphens/>
      <w:spacing w:after="0" w:line="240" w:lineRule="auto"/>
    </w:pPr>
    <w:rPr>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DE2C4C"/>
    <w:pPr>
      <w:suppressAutoHyphens/>
      <w:spacing w:after="0" w:line="240" w:lineRule="auto"/>
    </w:pPr>
    <w:rPr>
      <w:sz w:val="20"/>
      <w:szCs w:val="20"/>
      <w:lang w:eastAsia="fr-FR"/>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DE2C4C"/>
    <w:pPr>
      <w:suppressAutoHyphens/>
      <w:spacing w:after="0" w:line="240" w:lineRule="auto"/>
    </w:pPr>
    <w:rPr>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DE2C4C"/>
    <w:pPr>
      <w:suppressAutoHyphens/>
      <w:spacing w:after="0" w:line="240" w:lineRule="auto"/>
    </w:pPr>
    <w:rPr>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DE2C4C"/>
    <w:pPr>
      <w:suppressAutoHyphens/>
      <w:spacing w:after="0" w:line="240" w:lineRule="auto"/>
    </w:pPr>
    <w:rPr>
      <w:b/>
      <w:bCs/>
      <w:sz w:val="20"/>
      <w:szCs w:val="20"/>
      <w:lang w:eastAsia="fr-FR"/>
    </w:rPr>
    <w:tblPr>
      <w:tblStyleColBandSize w:val="1"/>
      <w:tblCellMar>
        <w:top w:w="0" w:type="dxa"/>
        <w:left w:w="108" w:type="dxa"/>
        <w:bottom w:w="0" w:type="dxa"/>
        <w:right w:w="108" w:type="dxa"/>
      </w:tblCellMar>
    </w:tblPr>
  </w:style>
  <w:style w:type="table" w:customStyle="1" w:styleId="TableColumns31">
    <w:name w:val="Table Columns 31"/>
    <w:uiPriority w:val="99"/>
    <w:semiHidden/>
    <w:rsid w:val="00DE2C4C"/>
    <w:pPr>
      <w:suppressAutoHyphens/>
      <w:spacing w:after="0" w:line="240" w:lineRule="auto"/>
    </w:pPr>
    <w:rPr>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DE2C4C"/>
    <w:pPr>
      <w:suppressAutoHyphens/>
      <w:spacing w:after="0" w:line="240" w:lineRule="auto"/>
    </w:pPr>
    <w:rPr>
      <w:sz w:val="20"/>
      <w:szCs w:val="20"/>
      <w:lang w:eastAsia="fr-FR"/>
    </w:rPr>
    <w:tblPr>
      <w:tblStyleColBandSize w:val="1"/>
      <w:tblCellMar>
        <w:top w:w="0" w:type="dxa"/>
        <w:left w:w="108" w:type="dxa"/>
        <w:bottom w:w="0" w:type="dxa"/>
        <w:right w:w="108" w:type="dxa"/>
      </w:tblCellMar>
    </w:tblPr>
  </w:style>
  <w:style w:type="table" w:customStyle="1" w:styleId="TableColumns51">
    <w:name w:val="Table Columns 51"/>
    <w:uiPriority w:val="99"/>
    <w:semiHidden/>
    <w:rsid w:val="00DE2C4C"/>
    <w:pPr>
      <w:suppressAutoHyphens/>
      <w:spacing w:after="0" w:line="240" w:lineRule="auto"/>
    </w:pPr>
    <w:rPr>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DE2C4C"/>
    <w:pPr>
      <w:suppressAutoHyphens/>
      <w:spacing w:after="0" w:line="240" w:lineRule="auto"/>
    </w:pPr>
    <w:rPr>
      <w:sz w:val="20"/>
      <w:szCs w:val="20"/>
      <w:lang w:eastAsia="fr-FR"/>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DE2C4C"/>
    <w:pPr>
      <w:suppressAutoHyphens/>
      <w:spacing w:after="0" w:line="240" w:lineRule="auto"/>
    </w:pPr>
    <w:rPr>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semiHidden/>
    <w:rsid w:val="00DE2C4C"/>
    <w:pPr>
      <w:suppressAutoHyphens/>
      <w:spacing w:after="0" w:line="240" w:lineRule="auto"/>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DE2C4C"/>
    <w:pPr>
      <w:suppressAutoHyphens/>
      <w:spacing w:after="0" w:line="240" w:lineRule="auto"/>
    </w:pPr>
    <w:rPr>
      <w:sz w:val="20"/>
      <w:szCs w:val="20"/>
      <w:lang w:eastAsia="fr-FR"/>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DE2C4C"/>
    <w:pPr>
      <w:suppressAutoHyphens/>
      <w:spacing w:after="0" w:line="240" w:lineRule="auto"/>
    </w:pPr>
    <w:rPr>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DE2C4C"/>
    <w:pPr>
      <w:suppressAutoHyphens/>
      <w:spacing w:after="0" w:line="240" w:lineRule="auto"/>
    </w:pPr>
    <w:rPr>
      <w:sz w:val="20"/>
      <w:szCs w:val="20"/>
      <w:lang w:eastAsia="fr-FR"/>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DE2C4C"/>
    <w:pPr>
      <w:suppressAutoHyphens/>
      <w:spacing w:after="0" w:line="240" w:lineRule="auto"/>
    </w:pPr>
    <w:rPr>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DE2C4C"/>
    <w:pPr>
      <w:suppressAutoHyphens/>
      <w:spacing w:after="0" w:line="240" w:lineRule="auto"/>
    </w:pPr>
    <w:rPr>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DE2C4C"/>
    <w:pPr>
      <w:suppressAutoHyphens/>
      <w:spacing w:after="0" w:line="240" w:lineRule="auto"/>
    </w:pPr>
    <w:rPr>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DE2C4C"/>
    <w:pPr>
      <w:suppressAutoHyphens/>
      <w:spacing w:after="0" w:line="240" w:lineRule="auto"/>
    </w:pPr>
    <w:rPr>
      <w:sz w:val="20"/>
      <w:szCs w:val="20"/>
      <w:lang w:eastAsia="fr-FR"/>
    </w:rPr>
    <w:tblPr>
      <w:tblStyleRowBandSize w:val="2"/>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DE2C4C"/>
    <w:pPr>
      <w:suppressAutoHyphens/>
      <w:spacing w:after="0" w:line="240" w:lineRule="auto"/>
    </w:pPr>
    <w:rPr>
      <w:sz w:val="20"/>
      <w:szCs w:val="20"/>
      <w:lang w:eastAsia="fr-FR"/>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DE2C4C"/>
    <w:pPr>
      <w:suppressAutoHyphens/>
      <w:spacing w:after="0" w:line="240" w:lineRule="auto"/>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DE2C4C"/>
    <w:pPr>
      <w:suppressAutoHyphens/>
      <w:spacing w:after="0" w:line="240" w:lineRule="auto"/>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DE2C4C"/>
    <w:pPr>
      <w:suppressAutoHyphens/>
      <w:spacing w:after="0" w:line="240" w:lineRule="auto"/>
    </w:pPr>
    <w:rPr>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DE2C4C"/>
    <w:pPr>
      <w:suppressAutoHyphens/>
      <w:spacing w:after="0" w:line="240" w:lineRule="auto"/>
    </w:pPr>
    <w:rPr>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DE2C4C"/>
    <w:pPr>
      <w:suppressAutoHyphens/>
      <w:spacing w:after="0" w:line="240" w:lineRule="auto"/>
    </w:pPr>
    <w:rPr>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DE2C4C"/>
    <w:pPr>
      <w:suppressAutoHyphens/>
      <w:spacing w:after="0" w:line="240" w:lineRule="auto"/>
    </w:pPr>
    <w:rPr>
      <w:sz w:val="20"/>
      <w:szCs w:val="20"/>
      <w:lang w:eastAsia="fr-FR"/>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DE2C4C"/>
    <w:pPr>
      <w:suppressAutoHyphens/>
      <w:spacing w:after="0" w:line="240" w:lineRule="auto"/>
    </w:pPr>
    <w:rPr>
      <w:sz w:val="20"/>
      <w:szCs w:val="20"/>
      <w:lang w:eastAsia="fr-FR"/>
    </w:rPr>
    <w:tblPr>
      <w:tblCellMar>
        <w:top w:w="0" w:type="dxa"/>
        <w:left w:w="108" w:type="dxa"/>
        <w:bottom w:w="0" w:type="dxa"/>
        <w:right w:w="108" w:type="dxa"/>
      </w:tblCellMar>
    </w:tblPr>
  </w:style>
  <w:style w:type="table" w:customStyle="1" w:styleId="TableSimple31">
    <w:name w:val="Table Simple 31"/>
    <w:uiPriority w:val="99"/>
    <w:semiHidden/>
    <w:rsid w:val="00DE2C4C"/>
    <w:pPr>
      <w:suppressAutoHyphens/>
      <w:spacing w:after="0" w:line="240" w:lineRule="auto"/>
    </w:pPr>
    <w:rPr>
      <w:sz w:val="20"/>
      <w:szCs w:val="20"/>
      <w:lang w:eastAsia="fr-FR"/>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DE2C4C"/>
    <w:pPr>
      <w:suppressAutoHyphens/>
      <w:spacing w:after="0" w:line="240" w:lineRule="auto"/>
    </w:pPr>
    <w:rPr>
      <w:sz w:val="20"/>
      <w:szCs w:val="20"/>
      <w:lang w:eastAsia="fr-FR"/>
    </w:rPr>
    <w:tblPr>
      <w:tblStyleRowBandSize w:val="1"/>
      <w:tblCellMar>
        <w:top w:w="0" w:type="dxa"/>
        <w:left w:w="108" w:type="dxa"/>
        <w:bottom w:w="0" w:type="dxa"/>
        <w:right w:w="108" w:type="dxa"/>
      </w:tblCellMar>
    </w:tblPr>
  </w:style>
  <w:style w:type="table" w:customStyle="1" w:styleId="TableSubtle21">
    <w:name w:val="Table Subtle 21"/>
    <w:uiPriority w:val="99"/>
    <w:semiHidden/>
    <w:rsid w:val="00DE2C4C"/>
    <w:pPr>
      <w:suppressAutoHyphens/>
      <w:spacing w:after="0" w:line="240" w:lineRule="auto"/>
    </w:pPr>
    <w:rPr>
      <w:sz w:val="20"/>
      <w:szCs w:val="20"/>
      <w:lang w:eastAsia="fr-FR"/>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DE2C4C"/>
    <w:pPr>
      <w:suppressAutoHyphens/>
      <w:spacing w:after="0" w:line="240" w:lineRule="auto"/>
    </w:pPr>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DE2C4C"/>
    <w:pPr>
      <w:suppressAutoHyphens/>
      <w:spacing w:after="0" w:line="240" w:lineRule="auto"/>
    </w:pPr>
    <w:rPr>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DE2C4C"/>
    <w:pPr>
      <w:suppressAutoHyphens/>
      <w:spacing w:after="0" w:line="240" w:lineRule="auto"/>
    </w:pPr>
    <w:rPr>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DE2C4C"/>
    <w:pPr>
      <w:suppressAutoHyphens/>
      <w:spacing w:after="0" w:line="240" w:lineRule="auto"/>
    </w:pPr>
    <w:rPr>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customStyle="1" w:styleId="ECHRParaChar">
    <w:name w:val="ECHR_Para Char"/>
    <w:aliases w:val="Ju_Para Char"/>
    <w:link w:val="ECHRPara"/>
    <w:uiPriority w:val="99"/>
    <w:locked/>
    <w:rsid w:val="00DE2C4C"/>
    <w:rPr>
      <w:rFonts w:eastAsia="MS Mincho"/>
      <w:sz w:val="24"/>
      <w:szCs w:val="24"/>
    </w:rPr>
  </w:style>
  <w:style w:type="character" w:customStyle="1" w:styleId="JuHAChar">
    <w:name w:val="Ju_H_A Char"/>
    <w:link w:val="ECHRHeading2"/>
    <w:uiPriority w:val="99"/>
    <w:locked/>
    <w:rsid w:val="00DE2C4C"/>
    <w:rPr>
      <w:rFonts w:ascii="Times New Roman" w:eastAsia="MS Gothic" w:hAnsi="Times New Roman" w:cs="Times New Roman"/>
      <w:b/>
      <w:bCs/>
      <w:sz w:val="26"/>
      <w:szCs w:val="26"/>
    </w:rPr>
  </w:style>
  <w:style w:type="character" w:customStyle="1" w:styleId="JuH1Char">
    <w:name w:val="Ju_H_1. Char"/>
    <w:link w:val="ECHRHeading3"/>
    <w:uiPriority w:val="99"/>
    <w:locked/>
    <w:rsid w:val="00DE2C4C"/>
    <w:rPr>
      <w:rFonts w:ascii="Times New Roman" w:eastAsia="MS Gothic" w:hAnsi="Times New Roman" w:cs="Times New Roman"/>
      <w:i/>
      <w:iCs/>
      <w:sz w:val="24"/>
      <w:szCs w:val="24"/>
    </w:rPr>
  </w:style>
  <w:style w:type="character" w:customStyle="1" w:styleId="JuQuotChar">
    <w:name w:val="Ju_Quot Char"/>
    <w:link w:val="ECHRParaQuote"/>
    <w:uiPriority w:val="99"/>
    <w:locked/>
    <w:rsid w:val="00DE2C4C"/>
    <w:rPr>
      <w:rFonts w:eastAsia="MS Mincho"/>
      <w:sz w:val="20"/>
      <w:szCs w:val="20"/>
    </w:rPr>
  </w:style>
  <w:style w:type="character" w:customStyle="1" w:styleId="JuHaChar0">
    <w:name w:val="Ju_H_a Char"/>
    <w:link w:val="ECHRHeading4"/>
    <w:uiPriority w:val="99"/>
    <w:locked/>
    <w:rsid w:val="00DE2C4C"/>
    <w:rPr>
      <w:rFonts w:ascii="Times New Roman" w:eastAsia="MS Gothic" w:hAnsi="Times New Roman" w:cs="Times New Roman"/>
      <w:b/>
      <w:bCs/>
      <w:sz w:val="20"/>
      <w:szCs w:val="20"/>
    </w:rPr>
  </w:style>
  <w:style w:type="character" w:customStyle="1" w:styleId="s4f807e54">
    <w:name w:val="s4f807e54"/>
    <w:uiPriority w:val="99"/>
    <w:rsid w:val="00C025DA"/>
  </w:style>
  <w:style w:type="paragraph" w:customStyle="1" w:styleId="s50c0b1c7">
    <w:name w:val="s50c0b1c7"/>
    <w:basedOn w:val="Normalny"/>
    <w:uiPriority w:val="99"/>
    <w:rsid w:val="00002A99"/>
    <w:pPr>
      <w:spacing w:before="100" w:beforeAutospacing="1" w:after="100" w:afterAutospacing="1"/>
      <w:jc w:val="left"/>
    </w:pPr>
    <w:rPr>
      <w:rFonts w:eastAsia="Times New Roman"/>
      <w:lang w:eastAsia="pl-PL"/>
    </w:rPr>
  </w:style>
  <w:style w:type="character" w:customStyle="1" w:styleId="s3aeeab2">
    <w:name w:val="s3aeeab2"/>
    <w:uiPriority w:val="99"/>
    <w:rsid w:val="00002A99"/>
    <w:rPr>
      <w:lang w:val="pl-PL" w:eastAsia="pl-PL"/>
    </w:rPr>
  </w:style>
  <w:style w:type="character" w:customStyle="1" w:styleId="sfbbfee58">
    <w:name w:val="sfbbfee58"/>
    <w:uiPriority w:val="99"/>
    <w:rsid w:val="00002A99"/>
    <w:rPr>
      <w:lang w:val="pl-PL" w:eastAsia="pl-PL"/>
    </w:rPr>
  </w:style>
  <w:style w:type="character" w:customStyle="1" w:styleId="A6">
    <w:name w:val="A6"/>
    <w:uiPriority w:val="99"/>
    <w:rsid w:val="00002A99"/>
    <w:rPr>
      <w:color w:val="000000"/>
      <w:sz w:val="11"/>
      <w:szCs w:val="11"/>
    </w:rPr>
  </w:style>
  <w:style w:type="paragraph" w:customStyle="1" w:styleId="Pa16">
    <w:name w:val="Pa16"/>
    <w:basedOn w:val="Normalny"/>
    <w:next w:val="Normalny"/>
    <w:uiPriority w:val="99"/>
    <w:rsid w:val="00002A99"/>
    <w:pPr>
      <w:autoSpaceDE w:val="0"/>
      <w:autoSpaceDN w:val="0"/>
      <w:adjustRightInd w:val="0"/>
      <w:spacing w:line="201" w:lineRule="atLeast"/>
      <w:jc w:val="left"/>
    </w:pPr>
    <w:rPr>
      <w:rFonts w:ascii="Myriad Pro" w:eastAsia="Times New Roman" w:hAnsi="Myriad Pro" w:cs="Myriad Pro"/>
      <w:lang w:eastAsia="pl-PL"/>
    </w:rPr>
  </w:style>
  <w:style w:type="numbering" w:customStyle="1" w:styleId="ArticleSection">
    <w:name w:val="Article / Section"/>
    <w:pPr>
      <w:numPr>
        <w:numId w:val="34"/>
      </w:numPr>
    </w:pPr>
  </w:style>
  <w:style w:type="numbering" w:styleId="1ai">
    <w:name w:val="Outline List 1"/>
    <w:basedOn w:val="Bezlisty"/>
    <w:uiPriority w:val="99"/>
    <w:semiHidden/>
    <w:unhideWhenUsed/>
    <w:locked/>
    <w:pPr>
      <w:numPr>
        <w:numId w:val="33"/>
      </w:numPr>
    </w:pPr>
  </w:style>
  <w:style w:type="numbering" w:styleId="111111">
    <w:name w:val="Outline List 2"/>
    <w:basedOn w:val="Bezlisty"/>
    <w:uiPriority w:val="99"/>
    <w:semiHidden/>
    <w:unhideWhenUsed/>
    <w:locke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36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EEA6-5903-4A63-852D-62740CA0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13589</Words>
  <Characters>81534</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2019-11-14T10:40:00Z</dcterms:created>
  <dcterms:modified xsi:type="dcterms:W3CDTF">2019-11-18T10:51:00Z</dcterms:modified>
</cp:coreProperties>
</file>