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EE" w:rsidRPr="0014054A" w:rsidRDefault="00110FEE" w:rsidP="00DC4033">
      <w:pPr>
        <w:jc w:val="center"/>
        <w:rPr>
          <w:lang w:val="pl-PL"/>
        </w:rPr>
      </w:pPr>
      <w:bookmarkStart w:id="0" w:name="_GoBack"/>
      <w:bookmarkEnd w:id="0"/>
      <w:r w:rsidRPr="0014054A">
        <w:rPr>
          <w:rStyle w:val="s4f807e54"/>
          <w:rFonts w:ascii="Arial" w:hAnsi="Arial" w:cs="Arial"/>
          <w:sz w:val="18"/>
          <w:szCs w:val="18"/>
          <w:lang w:val="pl-PL"/>
        </w:rPr>
        <w:t>© Copyright for the Polish translation by Naczelny Sąd Administracyjny, Warszawa 202</w:t>
      </w:r>
      <w:r>
        <w:rPr>
          <w:rStyle w:val="s4f807e54"/>
          <w:rFonts w:ascii="Arial" w:hAnsi="Arial" w:cs="Arial"/>
          <w:sz w:val="18"/>
          <w:szCs w:val="18"/>
          <w:lang w:val="pl-PL"/>
        </w:rPr>
        <w:t>1</w:t>
      </w:r>
    </w:p>
    <w:p w:rsidR="00110FEE" w:rsidRPr="002C5541" w:rsidRDefault="00110FEE" w:rsidP="00DC4033">
      <w:pPr>
        <w:jc w:val="center"/>
        <w:rPr>
          <w:lang w:val="pl-PL"/>
        </w:rPr>
      </w:pPr>
    </w:p>
    <w:p w:rsidR="00110FEE" w:rsidRPr="002C5541" w:rsidRDefault="00110FEE" w:rsidP="00DC4033">
      <w:pPr>
        <w:jc w:val="center"/>
        <w:rPr>
          <w:lang w:val="pl-PL"/>
        </w:rPr>
      </w:pPr>
    </w:p>
    <w:p w:rsidR="00110FEE" w:rsidRPr="002C5541" w:rsidRDefault="00110FEE" w:rsidP="00DC4033">
      <w:pPr>
        <w:tabs>
          <w:tab w:val="left" w:pos="5529"/>
        </w:tabs>
        <w:jc w:val="center"/>
        <w:rPr>
          <w:lang w:val="pl-PL"/>
        </w:rPr>
      </w:pPr>
      <w:r w:rsidRPr="002C5541">
        <w:rPr>
          <w:lang w:val="pl-PL"/>
        </w:rPr>
        <w:t>WIELKA IZBA</w:t>
      </w:r>
    </w:p>
    <w:p w:rsidR="00110FEE" w:rsidRPr="002C5541" w:rsidRDefault="00110FEE" w:rsidP="00DC4033">
      <w:pPr>
        <w:jc w:val="center"/>
        <w:rPr>
          <w:lang w:val="pl-PL"/>
        </w:rPr>
      </w:pPr>
    </w:p>
    <w:p w:rsidR="00110FEE" w:rsidRPr="002C5541" w:rsidRDefault="00110FEE" w:rsidP="00DC4033">
      <w:pPr>
        <w:jc w:val="center"/>
        <w:rPr>
          <w:lang w:val="pl-PL"/>
        </w:rPr>
      </w:pPr>
    </w:p>
    <w:p w:rsidR="00110FEE" w:rsidRPr="002C5541" w:rsidRDefault="00110FEE" w:rsidP="00DC4033">
      <w:pPr>
        <w:jc w:val="center"/>
        <w:rPr>
          <w:lang w:val="pl-PL"/>
        </w:rPr>
      </w:pPr>
    </w:p>
    <w:p w:rsidR="00110FEE" w:rsidRPr="002C5541" w:rsidRDefault="00110FEE" w:rsidP="00DC4033">
      <w:pPr>
        <w:jc w:val="center"/>
        <w:rPr>
          <w:lang w:val="pl-PL"/>
        </w:rPr>
      </w:pPr>
    </w:p>
    <w:p w:rsidR="00110FEE" w:rsidRPr="002C5541" w:rsidRDefault="00110FEE" w:rsidP="00DC4033">
      <w:pPr>
        <w:jc w:val="center"/>
        <w:rPr>
          <w:lang w:val="pl-PL"/>
        </w:rPr>
      </w:pPr>
    </w:p>
    <w:p w:rsidR="00110FEE" w:rsidRPr="002C5541" w:rsidRDefault="00110FEE" w:rsidP="00DC4033">
      <w:pPr>
        <w:jc w:val="center"/>
        <w:rPr>
          <w:lang w:val="pl-PL"/>
        </w:rPr>
      </w:pPr>
    </w:p>
    <w:p w:rsidR="00110FEE" w:rsidRPr="002C5541" w:rsidRDefault="00110FEE" w:rsidP="00DC4033">
      <w:pPr>
        <w:jc w:val="center"/>
        <w:rPr>
          <w:b/>
          <w:bCs/>
          <w:lang w:val="pl-PL"/>
        </w:rPr>
      </w:pPr>
      <w:r w:rsidRPr="002C5541">
        <w:rPr>
          <w:b/>
          <w:bCs/>
          <w:lang w:val="pl-PL"/>
        </w:rPr>
        <w:t>GÜZELYURTLU I INNI P. CYPROWI I TURCJI</w:t>
      </w:r>
    </w:p>
    <w:p w:rsidR="00110FEE" w:rsidRPr="002C5541" w:rsidRDefault="00110FEE" w:rsidP="00DC4033">
      <w:pPr>
        <w:jc w:val="center"/>
        <w:rPr>
          <w:lang w:val="pl-PL"/>
        </w:rPr>
      </w:pPr>
    </w:p>
    <w:p w:rsidR="00110FEE" w:rsidRPr="002C5541" w:rsidRDefault="00110FEE" w:rsidP="00DC4033">
      <w:pPr>
        <w:jc w:val="center"/>
        <w:rPr>
          <w:i/>
          <w:iCs/>
          <w:lang w:val="pl-PL"/>
        </w:rPr>
      </w:pPr>
      <w:r w:rsidRPr="002C5541">
        <w:rPr>
          <w:i/>
          <w:iCs/>
          <w:lang w:val="pl-PL"/>
        </w:rPr>
        <w:t>(Skarga nr 36925/07)</w:t>
      </w:r>
    </w:p>
    <w:p w:rsidR="00110FEE" w:rsidRPr="002C5541" w:rsidRDefault="00110FEE" w:rsidP="00DC4033">
      <w:pPr>
        <w:jc w:val="center"/>
        <w:rPr>
          <w:lang w:val="pl-PL"/>
        </w:rPr>
      </w:pPr>
    </w:p>
    <w:p w:rsidR="00110FEE" w:rsidRPr="002C5541" w:rsidRDefault="00110FEE" w:rsidP="00DC4033">
      <w:pPr>
        <w:jc w:val="center"/>
        <w:rPr>
          <w:lang w:val="pl-PL"/>
        </w:rPr>
      </w:pPr>
    </w:p>
    <w:p w:rsidR="00110FEE" w:rsidRPr="002C5541" w:rsidRDefault="00110FEE" w:rsidP="00DC4033">
      <w:pPr>
        <w:jc w:val="center"/>
        <w:rPr>
          <w:lang w:val="pl-PL"/>
        </w:rPr>
      </w:pPr>
    </w:p>
    <w:p w:rsidR="00110FEE" w:rsidRPr="002C5541" w:rsidRDefault="00110FEE" w:rsidP="00DC4033">
      <w:pPr>
        <w:jc w:val="center"/>
        <w:rPr>
          <w:lang w:val="pl-PL"/>
        </w:rPr>
      </w:pPr>
    </w:p>
    <w:p w:rsidR="00110FEE" w:rsidRPr="002C5541" w:rsidRDefault="00110FEE" w:rsidP="00DC4033">
      <w:pPr>
        <w:jc w:val="center"/>
        <w:rPr>
          <w:lang w:val="pl-PL"/>
        </w:rPr>
      </w:pPr>
    </w:p>
    <w:p w:rsidR="00110FEE" w:rsidRPr="002C5541" w:rsidRDefault="00110FEE" w:rsidP="00DC4033">
      <w:pPr>
        <w:jc w:val="center"/>
        <w:rPr>
          <w:lang w:val="pl-PL"/>
        </w:rPr>
      </w:pPr>
    </w:p>
    <w:p w:rsidR="00110FEE" w:rsidRPr="002C5541" w:rsidRDefault="00110FEE" w:rsidP="00DC4033">
      <w:pPr>
        <w:jc w:val="center"/>
        <w:rPr>
          <w:lang w:val="pl-PL"/>
        </w:rPr>
      </w:pPr>
    </w:p>
    <w:p w:rsidR="00110FEE" w:rsidRPr="002C5541" w:rsidRDefault="00110FEE" w:rsidP="00DC4033">
      <w:pPr>
        <w:jc w:val="center"/>
        <w:rPr>
          <w:lang w:val="pl-PL"/>
        </w:rPr>
      </w:pPr>
    </w:p>
    <w:p w:rsidR="00110FEE" w:rsidRPr="002C5541" w:rsidRDefault="00110FEE" w:rsidP="00DC4033">
      <w:pPr>
        <w:jc w:val="center"/>
        <w:rPr>
          <w:lang w:val="pl-PL"/>
        </w:rPr>
      </w:pPr>
    </w:p>
    <w:p w:rsidR="00110FEE" w:rsidRPr="002C5541" w:rsidRDefault="00110FEE" w:rsidP="00DC4033">
      <w:pPr>
        <w:jc w:val="center"/>
        <w:rPr>
          <w:lang w:val="pl-PL"/>
        </w:rPr>
      </w:pPr>
    </w:p>
    <w:p w:rsidR="00110FEE" w:rsidRPr="002C5541" w:rsidRDefault="00110FEE" w:rsidP="00DC4033">
      <w:pPr>
        <w:jc w:val="center"/>
        <w:rPr>
          <w:lang w:val="pl-PL"/>
        </w:rPr>
      </w:pPr>
      <w:r w:rsidRPr="002C5541">
        <w:rPr>
          <w:lang w:val="pl-PL"/>
        </w:rPr>
        <w:t>WYROK</w:t>
      </w:r>
    </w:p>
    <w:p w:rsidR="00110FEE" w:rsidRPr="002C5541" w:rsidRDefault="00110FEE" w:rsidP="00DC4033">
      <w:pPr>
        <w:jc w:val="center"/>
        <w:rPr>
          <w:i/>
          <w:iCs/>
          <w:lang w:val="pl-PL"/>
        </w:rPr>
      </w:pPr>
    </w:p>
    <w:p w:rsidR="00110FEE" w:rsidRPr="002C5541" w:rsidRDefault="00110FEE" w:rsidP="00DC4033">
      <w:pPr>
        <w:jc w:val="center"/>
        <w:rPr>
          <w:i/>
          <w:iCs/>
          <w:lang w:val="pl-PL"/>
        </w:rPr>
      </w:pPr>
    </w:p>
    <w:p w:rsidR="00110FEE" w:rsidRPr="002C5541" w:rsidRDefault="00110FEE" w:rsidP="00DC4033">
      <w:pPr>
        <w:jc w:val="center"/>
        <w:rPr>
          <w:lang w:val="pl-PL"/>
        </w:rPr>
      </w:pPr>
    </w:p>
    <w:p w:rsidR="00110FEE" w:rsidRPr="002C5541" w:rsidRDefault="00110FEE" w:rsidP="00DC4033">
      <w:pPr>
        <w:jc w:val="center"/>
        <w:rPr>
          <w:lang w:val="pl-PL"/>
        </w:rPr>
      </w:pPr>
    </w:p>
    <w:p w:rsidR="00110FEE" w:rsidRPr="002C5541" w:rsidRDefault="00110FEE" w:rsidP="00DC4033">
      <w:pPr>
        <w:jc w:val="center"/>
        <w:rPr>
          <w:lang w:val="pl-PL"/>
        </w:rPr>
      </w:pPr>
      <w:r w:rsidRPr="002C5541">
        <w:rPr>
          <w:lang w:val="pl-PL"/>
        </w:rPr>
        <w:t>STRASBURG</w:t>
      </w:r>
    </w:p>
    <w:p w:rsidR="00110FEE" w:rsidRPr="002C5541" w:rsidRDefault="00110FEE" w:rsidP="00DC4033">
      <w:pPr>
        <w:jc w:val="center"/>
        <w:rPr>
          <w:lang w:val="pl-PL"/>
        </w:rPr>
      </w:pPr>
    </w:p>
    <w:p w:rsidR="00110FEE" w:rsidRPr="002C5541" w:rsidRDefault="00110FEE" w:rsidP="00DC4033">
      <w:pPr>
        <w:jc w:val="center"/>
        <w:rPr>
          <w:lang w:val="pl-PL"/>
        </w:rPr>
      </w:pPr>
    </w:p>
    <w:p w:rsidR="00110FEE" w:rsidRPr="002C5541" w:rsidRDefault="00110FEE" w:rsidP="00DC4033">
      <w:pPr>
        <w:jc w:val="center"/>
        <w:rPr>
          <w:lang w:val="pl-PL"/>
        </w:rPr>
      </w:pPr>
    </w:p>
    <w:p w:rsidR="00110FEE" w:rsidRPr="002C5541" w:rsidRDefault="00110FEE" w:rsidP="00DC4033">
      <w:pPr>
        <w:jc w:val="center"/>
        <w:rPr>
          <w:lang w:val="pl-PL"/>
        </w:rPr>
      </w:pPr>
      <w:r w:rsidRPr="002C5541">
        <w:rPr>
          <w:lang w:val="pl-PL"/>
        </w:rPr>
        <w:t>29 stycznia 2019 r.</w:t>
      </w:r>
    </w:p>
    <w:p w:rsidR="00110FEE" w:rsidRPr="002C5541" w:rsidRDefault="00110FEE" w:rsidP="00DC4033">
      <w:pPr>
        <w:jc w:val="center"/>
        <w:rPr>
          <w:lang w:val="pl-PL"/>
        </w:rPr>
      </w:pPr>
    </w:p>
    <w:p w:rsidR="00110FEE" w:rsidRPr="002C5541" w:rsidRDefault="00110FEE" w:rsidP="00DC4033">
      <w:pPr>
        <w:jc w:val="center"/>
        <w:rPr>
          <w:lang w:val="pl-PL"/>
        </w:rPr>
      </w:pPr>
    </w:p>
    <w:p w:rsidR="00110FEE" w:rsidRPr="002C5541" w:rsidRDefault="00110FEE" w:rsidP="00DC4033">
      <w:pPr>
        <w:jc w:val="center"/>
        <w:rPr>
          <w:lang w:val="pl-PL"/>
        </w:rPr>
      </w:pPr>
    </w:p>
    <w:p w:rsidR="00110FEE" w:rsidRPr="002C5541" w:rsidRDefault="00110FEE" w:rsidP="00DC4033">
      <w:pPr>
        <w:rPr>
          <w:i/>
          <w:iCs/>
          <w:sz w:val="22"/>
          <w:szCs w:val="22"/>
          <w:lang w:val="pl-PL"/>
        </w:rPr>
      </w:pPr>
      <w:r w:rsidRPr="002C5541">
        <w:rPr>
          <w:i/>
          <w:iCs/>
          <w:sz w:val="22"/>
          <w:szCs w:val="22"/>
          <w:lang w:val="pl-PL"/>
        </w:rPr>
        <w:t xml:space="preserve">Wyrok jest prawomocny, ale może </w:t>
      </w:r>
      <w:r>
        <w:rPr>
          <w:i/>
          <w:iCs/>
          <w:sz w:val="22"/>
          <w:szCs w:val="22"/>
          <w:lang w:val="pl-PL"/>
        </w:rPr>
        <w:t>zostać poddany</w:t>
      </w:r>
      <w:r w:rsidRPr="002C5541">
        <w:rPr>
          <w:i/>
          <w:iCs/>
          <w:sz w:val="22"/>
          <w:szCs w:val="22"/>
          <w:lang w:val="pl-PL"/>
        </w:rPr>
        <w:t xml:space="preserve"> poprawkom edytorskim.</w:t>
      </w:r>
    </w:p>
    <w:p w:rsidR="00110FEE" w:rsidRPr="002C5541" w:rsidRDefault="00110FEE" w:rsidP="00DC4033">
      <w:pPr>
        <w:rPr>
          <w:sz w:val="22"/>
          <w:szCs w:val="22"/>
          <w:lang w:val="pl-PL"/>
        </w:rPr>
        <w:sectPr w:rsidR="00110FEE" w:rsidRPr="002C5541" w:rsidSect="001F1CD9">
          <w:headerReference w:type="default" r:id="rId7"/>
          <w:footerReference w:type="default" r:id="rId8"/>
          <w:footnotePr>
            <w:numRestart w:val="eachSect"/>
          </w:footnotePr>
          <w:pgSz w:w="11906" w:h="16838" w:code="9"/>
          <w:pgMar w:top="2274" w:right="2274" w:bottom="2274" w:left="2274" w:header="1701" w:footer="708" w:gutter="0"/>
          <w:pgNumType w:start="1"/>
          <w:cols w:space="708"/>
          <w:noEndnote/>
        </w:sectPr>
      </w:pPr>
    </w:p>
    <w:p w:rsidR="00110FEE" w:rsidRPr="002C5541" w:rsidRDefault="00110FEE" w:rsidP="00DC4033">
      <w:pPr>
        <w:pStyle w:val="JuCase"/>
        <w:rPr>
          <w:lang w:val="pl-PL"/>
        </w:rPr>
      </w:pPr>
      <w:r w:rsidRPr="002C5541">
        <w:rPr>
          <w:lang w:val="pl-PL"/>
        </w:rPr>
        <w:t>W sprawie Güzelyurtlu i inni p. Cyprowi i Turcji,</w:t>
      </w:r>
    </w:p>
    <w:p w:rsidR="00110FEE" w:rsidRPr="002C5541" w:rsidRDefault="00110FEE" w:rsidP="00F25813">
      <w:pPr>
        <w:pStyle w:val="ECHRPara"/>
        <w:rPr>
          <w:lang w:val="pl-PL"/>
        </w:rPr>
      </w:pPr>
      <w:r w:rsidRPr="002C5541">
        <w:rPr>
          <w:lang w:val="pl-PL"/>
        </w:rPr>
        <w:t>Europejski Trybunał Praw Człowieka, w składzie Wielkiej Izby, w której zasiadali:</w:t>
      </w:r>
    </w:p>
    <w:p w:rsidR="00110FEE" w:rsidRPr="002C5541" w:rsidRDefault="00110FEE" w:rsidP="00F25813">
      <w:pPr>
        <w:pStyle w:val="ECHRDecisionBody"/>
        <w:rPr>
          <w:lang w:val="pl-PL"/>
        </w:rPr>
      </w:pPr>
      <w:r w:rsidRPr="002C5541">
        <w:rPr>
          <w:lang w:val="pl-PL"/>
        </w:rPr>
        <w:tab/>
        <w:t>Guido Raimondi,</w:t>
      </w:r>
      <w:r w:rsidRPr="002C5541">
        <w:rPr>
          <w:i/>
          <w:iCs/>
          <w:lang w:val="pl-PL"/>
        </w:rPr>
        <w:t xml:space="preserve"> Przewodniczący,</w:t>
      </w:r>
      <w:r w:rsidRPr="002C5541">
        <w:rPr>
          <w:i/>
          <w:iCs/>
          <w:lang w:val="pl-PL"/>
        </w:rPr>
        <w:br/>
      </w:r>
      <w:r w:rsidRPr="002C5541">
        <w:rPr>
          <w:lang w:val="pl-PL"/>
        </w:rPr>
        <w:tab/>
        <w:t>Angelika Nußberger,</w:t>
      </w:r>
      <w:r w:rsidRPr="002C5541">
        <w:rPr>
          <w:i/>
          <w:iCs/>
          <w:lang w:val="pl-PL"/>
        </w:rPr>
        <w:br/>
      </w:r>
      <w:r w:rsidRPr="002C5541">
        <w:rPr>
          <w:lang w:val="pl-PL"/>
        </w:rPr>
        <w:tab/>
        <w:t>Linos-Alexandre Sicilianos,</w:t>
      </w:r>
      <w:r w:rsidRPr="002C5541">
        <w:rPr>
          <w:i/>
          <w:iCs/>
          <w:lang w:val="pl-PL"/>
        </w:rPr>
        <w:br/>
      </w:r>
      <w:r w:rsidRPr="002C5541">
        <w:rPr>
          <w:lang w:val="pl-PL"/>
        </w:rPr>
        <w:tab/>
        <w:t>Ganna Yudkivska,</w:t>
      </w:r>
      <w:r w:rsidRPr="002C5541">
        <w:rPr>
          <w:i/>
          <w:iCs/>
          <w:lang w:val="pl-PL"/>
        </w:rPr>
        <w:br/>
      </w:r>
      <w:r w:rsidRPr="002C5541">
        <w:rPr>
          <w:lang w:val="pl-PL"/>
        </w:rPr>
        <w:tab/>
        <w:t>Robert Spano,</w:t>
      </w:r>
    </w:p>
    <w:p w:rsidR="00110FEE" w:rsidRPr="002C5541" w:rsidRDefault="00110FEE" w:rsidP="00F25813">
      <w:pPr>
        <w:pStyle w:val="ECHRDecisionBody"/>
        <w:rPr>
          <w:lang w:val="pl-PL"/>
        </w:rPr>
      </w:pPr>
      <w:r w:rsidRPr="002C5541">
        <w:rPr>
          <w:lang w:val="pl-PL"/>
        </w:rPr>
        <w:tab/>
        <w:t>Vincent A. De Gaetano,</w:t>
      </w:r>
      <w:r w:rsidRPr="002C5541">
        <w:rPr>
          <w:i/>
          <w:iCs/>
          <w:lang w:val="pl-PL"/>
        </w:rPr>
        <w:br/>
      </w:r>
      <w:r w:rsidRPr="002C5541">
        <w:rPr>
          <w:lang w:val="pl-PL"/>
        </w:rPr>
        <w:tab/>
        <w:t>Işıl Karakaş,</w:t>
      </w:r>
      <w:r w:rsidRPr="002C5541">
        <w:rPr>
          <w:i/>
          <w:iCs/>
          <w:lang w:val="pl-PL"/>
        </w:rPr>
        <w:br/>
      </w:r>
      <w:r w:rsidRPr="002C5541">
        <w:rPr>
          <w:lang w:val="pl-PL"/>
        </w:rPr>
        <w:tab/>
        <w:t>Kristina Pardalos,</w:t>
      </w:r>
      <w:r w:rsidRPr="002C5541">
        <w:rPr>
          <w:i/>
          <w:iCs/>
          <w:lang w:val="pl-PL"/>
        </w:rPr>
        <w:br/>
      </w:r>
      <w:r w:rsidRPr="002C5541">
        <w:rPr>
          <w:lang w:val="pl-PL"/>
        </w:rPr>
        <w:tab/>
        <w:t>André Potocki,</w:t>
      </w:r>
      <w:r w:rsidRPr="002C5541">
        <w:rPr>
          <w:i/>
          <w:iCs/>
          <w:lang w:val="pl-PL"/>
        </w:rPr>
        <w:br/>
      </w:r>
      <w:r w:rsidRPr="002C5541">
        <w:rPr>
          <w:lang w:val="pl-PL"/>
        </w:rPr>
        <w:tab/>
        <w:t>Aleš Pejchal,</w:t>
      </w:r>
      <w:r w:rsidRPr="002C5541">
        <w:rPr>
          <w:i/>
          <w:iCs/>
          <w:lang w:val="pl-PL"/>
        </w:rPr>
        <w:br/>
      </w:r>
      <w:r w:rsidRPr="002C5541">
        <w:rPr>
          <w:lang w:val="pl-PL"/>
        </w:rPr>
        <w:tab/>
        <w:t>Yonko Grozev,</w:t>
      </w:r>
      <w:r w:rsidRPr="002C5541">
        <w:rPr>
          <w:i/>
          <w:iCs/>
          <w:lang w:val="pl-PL"/>
        </w:rPr>
        <w:br/>
      </w:r>
      <w:r w:rsidRPr="002C5541">
        <w:rPr>
          <w:lang w:val="pl-PL"/>
        </w:rPr>
        <w:tab/>
        <w:t>Gabriele Kucsko-Stadlmayer,</w:t>
      </w:r>
      <w:r w:rsidRPr="002C5541">
        <w:rPr>
          <w:i/>
          <w:iCs/>
          <w:lang w:val="pl-PL"/>
        </w:rPr>
        <w:br/>
      </w:r>
      <w:r w:rsidRPr="002C5541">
        <w:rPr>
          <w:lang w:val="pl-PL"/>
        </w:rPr>
        <w:tab/>
        <w:t>Pauliine Koskelo,</w:t>
      </w:r>
      <w:r w:rsidRPr="002C5541">
        <w:rPr>
          <w:i/>
          <w:iCs/>
          <w:lang w:val="pl-PL"/>
        </w:rPr>
        <w:br/>
      </w:r>
      <w:r w:rsidRPr="002C5541">
        <w:rPr>
          <w:lang w:val="pl-PL"/>
        </w:rPr>
        <w:tab/>
        <w:t>Georgios A. Serghides,</w:t>
      </w:r>
      <w:r w:rsidRPr="002C5541">
        <w:rPr>
          <w:i/>
          <w:iCs/>
          <w:lang w:val="pl-PL"/>
        </w:rPr>
        <w:br/>
      </w:r>
      <w:r w:rsidRPr="002C5541">
        <w:rPr>
          <w:lang w:val="pl-PL"/>
        </w:rPr>
        <w:tab/>
        <w:t>Marko Bošnjak,</w:t>
      </w:r>
      <w:r w:rsidRPr="002C5541">
        <w:rPr>
          <w:i/>
          <w:iCs/>
          <w:lang w:val="pl-PL"/>
        </w:rPr>
        <w:br/>
      </w:r>
      <w:r w:rsidRPr="002C5541">
        <w:rPr>
          <w:lang w:val="pl-PL"/>
        </w:rPr>
        <w:tab/>
        <w:t>Jolien Schukking,</w:t>
      </w:r>
      <w:r w:rsidRPr="002C5541">
        <w:rPr>
          <w:i/>
          <w:iCs/>
          <w:lang w:val="pl-PL"/>
        </w:rPr>
        <w:br/>
      </w:r>
      <w:r w:rsidRPr="002C5541">
        <w:rPr>
          <w:lang w:val="pl-PL"/>
        </w:rPr>
        <w:tab/>
        <w:t>Lado Chanturia,</w:t>
      </w:r>
      <w:r w:rsidRPr="002C5541">
        <w:rPr>
          <w:i/>
          <w:iCs/>
          <w:lang w:val="pl-PL"/>
        </w:rPr>
        <w:t xml:space="preserve"> sędziowie,</w:t>
      </w:r>
      <w:r w:rsidRPr="002C5541">
        <w:rPr>
          <w:lang w:val="pl-PL"/>
        </w:rPr>
        <w:br/>
        <w:t xml:space="preserve">i Roderick Liddell, </w:t>
      </w:r>
      <w:r w:rsidRPr="002C5541">
        <w:rPr>
          <w:i/>
          <w:iCs/>
          <w:lang w:val="pl-PL"/>
        </w:rPr>
        <w:t>Sekretarz,</w:t>
      </w:r>
    </w:p>
    <w:p w:rsidR="00110FEE" w:rsidRPr="002C5541" w:rsidRDefault="00110FEE" w:rsidP="00F25813">
      <w:pPr>
        <w:pStyle w:val="ECHRPara"/>
        <w:rPr>
          <w:lang w:val="pl-PL"/>
        </w:rPr>
      </w:pPr>
      <w:r w:rsidRPr="002C5541">
        <w:rPr>
          <w:lang w:val="pl-PL"/>
        </w:rPr>
        <w:t>Obradując na posiedzeniu niejawnym dnia 28 marca 2018 r. i 7 listopada 2018 r.,</w:t>
      </w:r>
    </w:p>
    <w:p w:rsidR="00110FEE" w:rsidRPr="002C5541" w:rsidRDefault="00110FEE" w:rsidP="00F25813">
      <w:pPr>
        <w:pStyle w:val="ECHRPara"/>
        <w:rPr>
          <w:lang w:val="pl-PL"/>
        </w:rPr>
      </w:pPr>
      <w:r w:rsidRPr="002C5541">
        <w:rPr>
          <w:lang w:val="pl-PL"/>
        </w:rPr>
        <w:t>Wydaje następujący wyrok, który został przyjęty w drugiej z wyżej wymienionych dat:</w:t>
      </w:r>
    </w:p>
    <w:p w:rsidR="00110FEE" w:rsidRPr="002C5541" w:rsidRDefault="00110FEE" w:rsidP="00F25813">
      <w:pPr>
        <w:pStyle w:val="ECHRTitle1"/>
        <w:rPr>
          <w:lang w:val="pl-PL"/>
        </w:rPr>
      </w:pPr>
      <w:r w:rsidRPr="002C5541">
        <w:rPr>
          <w:lang w:val="pl-PL"/>
        </w:rPr>
        <w:t>POSTĘPOWANIE</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w:t>
      </w:r>
      <w:r w:rsidRPr="002C5541">
        <w:rPr>
          <w:lang w:val="pl-PL"/>
        </w:rPr>
        <w:fldChar w:fldCharType="end"/>
      </w:r>
      <w:r w:rsidRPr="002C5541">
        <w:rPr>
          <w:lang w:val="pl-PL"/>
        </w:rPr>
        <w:t>.</w:t>
      </w:r>
      <w:r>
        <w:rPr>
          <w:lang w:val="pl-PL"/>
        </w:rPr>
        <w:t xml:space="preserve"> </w:t>
      </w:r>
      <w:r w:rsidRPr="002C5541">
        <w:rPr>
          <w:lang w:val="pl-PL"/>
        </w:rPr>
        <w:t xml:space="preserve">Sprawa wywodzi się ze skargi (nr 36925/07) przeciwko Republice </w:t>
      </w:r>
      <w:r>
        <w:rPr>
          <w:lang w:val="pl-PL"/>
        </w:rPr>
        <w:t>Cypryjskiej</w:t>
      </w:r>
      <w:r w:rsidRPr="002C5541">
        <w:rPr>
          <w:lang w:val="pl-PL"/>
        </w:rPr>
        <w:t xml:space="preserve"> i Republice Turcji wniesionej do Trybunału na podstawie art. 34 Konwencji o ochronie praw człowieka i podstawowych wolności („Konwencja”) przez siedmiu obywateli cypryjskich będących członkami wspólnoty Turków cypryjskich, Pana Mehmet</w:t>
      </w:r>
      <w:r>
        <w:rPr>
          <w:lang w:val="pl-PL"/>
        </w:rPr>
        <w:t>a</w:t>
      </w:r>
      <w:r w:rsidRPr="002C5541">
        <w:rPr>
          <w:lang w:val="pl-PL"/>
        </w:rPr>
        <w:t xml:space="preserve"> Güzelyurtlu („pierwszego skarżącego”), Panią Ayça Güzelyurtlu („drugą skarżącą”), Panią Deniz Erdinch („trzecią skarżącą”), Panią Emine Akerson („czwartą skarżącą”), Panią Fezile Kirralar („piątą skarżącą”), Panią Meryem Özfirat („szóstą skarżącą”) i Pana Muzaffer</w:t>
      </w:r>
      <w:r>
        <w:rPr>
          <w:lang w:val="pl-PL"/>
        </w:rPr>
        <w:t>a</w:t>
      </w:r>
      <w:r w:rsidRPr="002C5541">
        <w:rPr>
          <w:lang w:val="pl-PL"/>
        </w:rPr>
        <w:t xml:space="preserve"> Özfirat</w:t>
      </w:r>
      <w:r>
        <w:rPr>
          <w:lang w:val="pl-PL"/>
        </w:rPr>
        <w:t>a</w:t>
      </w:r>
      <w:r w:rsidRPr="002C5541">
        <w:rPr>
          <w:lang w:val="pl-PL"/>
        </w:rPr>
        <w:t xml:space="preserve"> („siódmego skarżącego”) dnia 16 sierpnia 2007 r.</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w:t>
      </w:r>
      <w:r w:rsidRPr="002C5541">
        <w:rPr>
          <w:lang w:val="pl-PL"/>
        </w:rPr>
        <w:fldChar w:fldCharType="end"/>
      </w:r>
      <w:r w:rsidRPr="002C5541">
        <w:rPr>
          <w:lang w:val="pl-PL"/>
        </w:rPr>
        <w:t>.</w:t>
      </w:r>
      <w:r>
        <w:rPr>
          <w:lang w:val="pl-PL"/>
        </w:rPr>
        <w:t xml:space="preserve"> </w:t>
      </w:r>
      <w:r w:rsidRPr="002C5541">
        <w:rPr>
          <w:lang w:val="pl-PL"/>
        </w:rPr>
        <w:t>Skarżący reprezentowani byli przez Pana A. Riza QC, adwokata, oraz Panią E. Meleagrou, radcę prawną, prowadzących praktykę w Londynie. Rząd Cypryjski był reprezentowany kolejno przez dwóch pełnomocników: najpierw przez Pana P. Clerides</w:t>
      </w:r>
      <w:r>
        <w:rPr>
          <w:lang w:val="pl-PL"/>
        </w:rPr>
        <w:t>a</w:t>
      </w:r>
      <w:r w:rsidRPr="002C5541">
        <w:rPr>
          <w:lang w:val="pl-PL"/>
        </w:rPr>
        <w:t>, zaś następnie przez Pana C. Clerides</w:t>
      </w:r>
      <w:r>
        <w:rPr>
          <w:lang w:val="pl-PL"/>
        </w:rPr>
        <w:t>a</w:t>
      </w:r>
      <w:r w:rsidRPr="002C5541">
        <w:rPr>
          <w:lang w:val="pl-PL"/>
        </w:rPr>
        <w:t>, Prokurator</w:t>
      </w:r>
      <w:r>
        <w:rPr>
          <w:lang w:val="pl-PL"/>
        </w:rPr>
        <w:t>ów</w:t>
      </w:r>
      <w:r w:rsidRPr="002C5541">
        <w:rPr>
          <w:lang w:val="pl-PL"/>
        </w:rPr>
        <w:t xml:space="preserve"> Generaln</w:t>
      </w:r>
      <w:r>
        <w:rPr>
          <w:lang w:val="pl-PL"/>
        </w:rPr>
        <w:t>ych</w:t>
      </w:r>
      <w:r w:rsidRPr="002C5541">
        <w:rPr>
          <w:lang w:val="pl-PL"/>
        </w:rPr>
        <w:t xml:space="preserve"> Republiki </w:t>
      </w:r>
      <w:r w:rsidRPr="008840B1">
        <w:rPr>
          <w:lang w:val="pl-PL"/>
        </w:rPr>
        <w:t>Cypryjskiej</w:t>
      </w:r>
      <w:r w:rsidRPr="002C5541">
        <w:rPr>
          <w:lang w:val="pl-PL"/>
        </w:rPr>
        <w:t>. Rząd turecki był reprezentowany przez pełnomocnika.</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3</w:t>
      </w:r>
      <w:r w:rsidRPr="002C5541">
        <w:rPr>
          <w:lang w:val="pl-PL"/>
        </w:rPr>
        <w:fldChar w:fldCharType="end"/>
      </w:r>
      <w:r w:rsidRPr="002C5541">
        <w:rPr>
          <w:lang w:val="pl-PL"/>
        </w:rPr>
        <w:t>.</w:t>
      </w:r>
      <w:r>
        <w:rPr>
          <w:lang w:val="pl-PL"/>
        </w:rPr>
        <w:t xml:space="preserve"> </w:t>
      </w:r>
      <w:r w:rsidRPr="002C5541">
        <w:rPr>
          <w:lang w:val="pl-PL"/>
        </w:rPr>
        <w:t xml:space="preserve">Skarżący podnieśli zarzut naruszenia art. 2 Konwencji </w:t>
      </w:r>
      <w:r>
        <w:rPr>
          <w:lang w:val="pl-PL"/>
        </w:rPr>
        <w:t xml:space="preserve">w jego aspekcie materialnym i proceduralnym </w:t>
      </w:r>
      <w:r w:rsidRPr="002C5541">
        <w:rPr>
          <w:lang w:val="pl-PL"/>
        </w:rPr>
        <w:t xml:space="preserve">w tym zakresie, że władze cypryjskie i tureckie, w tym władze „Tureckiej Republiki </w:t>
      </w:r>
      <w:r w:rsidRPr="009E6F77">
        <w:rPr>
          <w:lang w:val="pl-PL"/>
        </w:rPr>
        <w:t xml:space="preserve">Północnego </w:t>
      </w:r>
      <w:r w:rsidRPr="002C5541">
        <w:rPr>
          <w:lang w:val="pl-PL"/>
        </w:rPr>
        <w:t>Cypru” („TRP</w:t>
      </w:r>
      <w:r>
        <w:rPr>
          <w:lang w:val="pl-PL"/>
        </w:rPr>
        <w:t>C</w:t>
      </w:r>
      <w:r w:rsidRPr="002C5541">
        <w:rPr>
          <w:lang w:val="pl-PL"/>
        </w:rPr>
        <w:t xml:space="preserve">”), nie przeprowadziły skutecznego dochodzenia w spawie zabójstwa ich krewnych, Elmas, Zerrin i Eylül Güzelyurtlu. W oparciu o art. 13 Konwencji złożyli skargę, podnosząc brak skutecznego środka odwoławczego w zakresie </w:t>
      </w:r>
      <w:r>
        <w:rPr>
          <w:lang w:val="pl-PL"/>
        </w:rPr>
        <w:t>skargi proceduralnej</w:t>
      </w:r>
      <w:r w:rsidRPr="002C5541">
        <w:rPr>
          <w:lang w:val="pl-PL"/>
        </w:rPr>
        <w:t xml:space="preserve"> na podstawie art. 2.</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4</w:t>
      </w:r>
      <w:r w:rsidRPr="002C5541">
        <w:rPr>
          <w:lang w:val="pl-PL"/>
        </w:rPr>
        <w:fldChar w:fldCharType="end"/>
      </w:r>
      <w:r w:rsidRPr="002C5541">
        <w:rPr>
          <w:lang w:val="pl-PL"/>
        </w:rPr>
        <w:t>.</w:t>
      </w:r>
      <w:r>
        <w:rPr>
          <w:lang w:val="pl-PL"/>
        </w:rPr>
        <w:t xml:space="preserve"> </w:t>
      </w:r>
      <w:r w:rsidRPr="002C5541">
        <w:rPr>
          <w:lang w:val="pl-PL"/>
        </w:rPr>
        <w:t>Skarga została przydzielona do Sekcji Trzeciej Trybunału (art. 52 ust. 1 Regulaminu Trybunału). W dniu 13 maja 2009 r. skarga została zakomunikowana pozwanym Rządom w zakresie aspektów procesowych art. 2 – samodzielnie i w związku z art. 13. Dnia 3 września 2009 r. Centre for Advice on Individual Rights in Europe (Centrum „AIRE”) otrzymało zezwolenie do składania pisemnych uwag jako strona trzecia (art. 36 § 2 Konwencji i art. 44 § 3 Regulaminu Trybunału).</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5</w:t>
      </w:r>
      <w:r w:rsidRPr="002C5541">
        <w:rPr>
          <w:lang w:val="pl-PL"/>
        </w:rPr>
        <w:fldChar w:fldCharType="end"/>
      </w:r>
      <w:r w:rsidRPr="002C5541">
        <w:rPr>
          <w:lang w:val="pl-PL"/>
        </w:rPr>
        <w:t>.</w:t>
      </w:r>
      <w:r>
        <w:rPr>
          <w:lang w:val="pl-PL"/>
        </w:rPr>
        <w:t xml:space="preserve"> </w:t>
      </w:r>
      <w:r w:rsidRPr="002C5541">
        <w:rPr>
          <w:lang w:val="pl-PL"/>
        </w:rPr>
        <w:t>Dnia 4 kwietnia 2017 r. Izba tej Sekcji, w składzie: Przewodnicząca Helena Jäderblom,</w:t>
      </w:r>
      <w:r w:rsidRPr="002C5541">
        <w:rPr>
          <w:i/>
          <w:iCs/>
          <w:lang w:val="pl-PL"/>
        </w:rPr>
        <w:t xml:space="preserve"> </w:t>
      </w:r>
      <w:r w:rsidRPr="002C5541">
        <w:rPr>
          <w:lang w:val="pl-PL"/>
        </w:rPr>
        <w:t>sędziowie:</w:t>
      </w:r>
      <w:r w:rsidRPr="002C5541">
        <w:rPr>
          <w:i/>
          <w:iCs/>
          <w:lang w:val="pl-PL"/>
        </w:rPr>
        <w:t xml:space="preserve"> </w:t>
      </w:r>
      <w:r w:rsidRPr="002C5541">
        <w:rPr>
          <w:lang w:val="pl-PL"/>
        </w:rPr>
        <w:t>Branko Lubarda,</w:t>
      </w:r>
      <w:r w:rsidRPr="002C5541">
        <w:rPr>
          <w:i/>
          <w:iCs/>
          <w:lang w:val="pl-PL"/>
        </w:rPr>
        <w:t xml:space="preserve"> </w:t>
      </w:r>
      <w:r w:rsidRPr="002C5541">
        <w:rPr>
          <w:lang w:val="pl-PL"/>
        </w:rPr>
        <w:t>Işıl Karakaş,</w:t>
      </w:r>
      <w:r w:rsidRPr="002C5541">
        <w:rPr>
          <w:i/>
          <w:iCs/>
          <w:lang w:val="pl-PL"/>
        </w:rPr>
        <w:t xml:space="preserve"> </w:t>
      </w:r>
      <w:r w:rsidRPr="002C5541">
        <w:rPr>
          <w:lang w:val="pl-PL"/>
        </w:rPr>
        <w:t>Helen Keller,</w:t>
      </w:r>
      <w:r w:rsidRPr="002C5541">
        <w:rPr>
          <w:i/>
          <w:iCs/>
          <w:lang w:val="pl-PL"/>
        </w:rPr>
        <w:t xml:space="preserve"> </w:t>
      </w:r>
      <w:r w:rsidRPr="002C5541">
        <w:rPr>
          <w:lang w:val="pl-PL"/>
        </w:rPr>
        <w:t>Pere Pastor Vilanova, Alena Poláčková,</w:t>
      </w:r>
      <w:r w:rsidRPr="002C5541">
        <w:rPr>
          <w:i/>
          <w:iCs/>
          <w:lang w:val="pl-PL"/>
        </w:rPr>
        <w:t xml:space="preserve"> </w:t>
      </w:r>
      <w:r w:rsidRPr="002C5541">
        <w:rPr>
          <w:lang w:val="pl-PL"/>
        </w:rPr>
        <w:t>Georgios A. Serghides,</w:t>
      </w:r>
      <w:r w:rsidRPr="002C5541">
        <w:rPr>
          <w:i/>
          <w:iCs/>
          <w:lang w:val="pl-PL"/>
        </w:rPr>
        <w:t xml:space="preserve"> </w:t>
      </w:r>
      <w:r w:rsidRPr="002C5541">
        <w:rPr>
          <w:lang w:val="pl-PL"/>
        </w:rPr>
        <w:t xml:space="preserve">oraz sekretarz Sekcji: Stephen Phillips, wydała </w:t>
      </w:r>
      <w:r>
        <w:rPr>
          <w:lang w:val="pl-PL"/>
        </w:rPr>
        <w:t>jednogłośnie</w:t>
      </w:r>
      <w:r w:rsidRPr="002C5541">
        <w:rPr>
          <w:lang w:val="pl-PL"/>
        </w:rPr>
        <w:t xml:space="preserve"> wyrok stwierdzający, że skarga jest dopuszczalna; </w:t>
      </w:r>
      <w:r>
        <w:rPr>
          <w:lang w:val="pl-PL"/>
        </w:rPr>
        <w:t>pięcioma</w:t>
      </w:r>
      <w:r w:rsidRPr="002C5541">
        <w:rPr>
          <w:lang w:val="pl-PL"/>
        </w:rPr>
        <w:t xml:space="preserve"> </w:t>
      </w:r>
      <w:r>
        <w:rPr>
          <w:lang w:val="pl-PL"/>
        </w:rPr>
        <w:t xml:space="preserve">głosami </w:t>
      </w:r>
      <w:r w:rsidRPr="002C5541">
        <w:rPr>
          <w:lang w:val="pl-PL"/>
        </w:rPr>
        <w:t xml:space="preserve">do dwóch, że Cypr dopuścił się naruszenia aspektów </w:t>
      </w:r>
      <w:r>
        <w:rPr>
          <w:lang w:val="pl-PL"/>
        </w:rPr>
        <w:t>proceduralnych</w:t>
      </w:r>
      <w:r w:rsidRPr="002C5541">
        <w:rPr>
          <w:lang w:val="pl-PL"/>
        </w:rPr>
        <w:t xml:space="preserve"> art. 2 Konwencji; jednomyślnie, że Turcja dopuściła się naruszenia aspektów </w:t>
      </w:r>
      <w:r w:rsidRPr="000F0D99">
        <w:rPr>
          <w:lang w:val="pl-PL"/>
        </w:rPr>
        <w:t xml:space="preserve">proceduralnych </w:t>
      </w:r>
      <w:r w:rsidRPr="002C5541">
        <w:rPr>
          <w:lang w:val="pl-PL"/>
        </w:rPr>
        <w:t>art. 2 Konwencji; oraz jednomyślnie, że nie ma potrzeby przeprowadzania osobnej analizy skargi na podstawie art. 13 Konwencji</w:t>
      </w:r>
      <w:r>
        <w:rPr>
          <w:lang w:val="pl-PL"/>
        </w:rPr>
        <w:t xml:space="preserve"> </w:t>
      </w:r>
      <w:r w:rsidRPr="002C5541">
        <w:rPr>
          <w:lang w:val="pl-PL"/>
        </w:rPr>
        <w:t>w związku z art.</w:t>
      </w:r>
      <w:r>
        <w:rPr>
          <w:lang w:val="pl-PL"/>
        </w:rPr>
        <w:t xml:space="preserve"> 2</w:t>
      </w:r>
      <w:r w:rsidRPr="002C5541">
        <w:rPr>
          <w:lang w:val="pl-PL"/>
        </w:rPr>
        <w:t xml:space="preserve"> Konwencji. Izba orzekła, że nie doszło do naruszenia aspektów materialnych art. 2 i że cała skarga dotyczy zasadniczo aspektów proceduralnych. Zdanie częściowo odrębne wyrazili sędzia Serghides i sędzia Pastor Vilanova.</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6</w:t>
      </w:r>
      <w:r w:rsidRPr="002C5541">
        <w:rPr>
          <w:lang w:val="pl-PL"/>
        </w:rPr>
        <w:fldChar w:fldCharType="end"/>
      </w:r>
      <w:r w:rsidRPr="002C5541">
        <w:rPr>
          <w:lang w:val="pl-PL"/>
        </w:rPr>
        <w:t>.</w:t>
      </w:r>
      <w:r>
        <w:rPr>
          <w:lang w:val="pl-PL"/>
        </w:rPr>
        <w:t xml:space="preserve"> </w:t>
      </w:r>
      <w:r w:rsidRPr="002C5541">
        <w:rPr>
          <w:lang w:val="pl-PL"/>
        </w:rPr>
        <w:t xml:space="preserve">Dnia 22 czerwca 2017 r. oba pozwane Rządy </w:t>
      </w:r>
      <w:r w:rsidRPr="000F0D99">
        <w:rPr>
          <w:lang w:val="pl-PL"/>
        </w:rPr>
        <w:t>złożył</w:t>
      </w:r>
      <w:r>
        <w:rPr>
          <w:lang w:val="pl-PL"/>
        </w:rPr>
        <w:t>y</w:t>
      </w:r>
      <w:r w:rsidRPr="000F0D99">
        <w:rPr>
          <w:lang w:val="pl-PL"/>
        </w:rPr>
        <w:t xml:space="preserve"> wniosek </w:t>
      </w:r>
      <w:r w:rsidRPr="002C5541">
        <w:rPr>
          <w:lang w:val="pl-PL"/>
        </w:rPr>
        <w:t xml:space="preserve">o przekazanie sprawy do Wielkiej Izby zgodnie z art. 43 Konwencji. Dnia 18 września 2017 r. </w:t>
      </w:r>
      <w:r>
        <w:rPr>
          <w:lang w:val="pl-PL"/>
        </w:rPr>
        <w:t>panel</w:t>
      </w:r>
      <w:r w:rsidRPr="002C5541">
        <w:rPr>
          <w:lang w:val="pl-PL"/>
        </w:rPr>
        <w:t xml:space="preserve"> Wielkiej Izby przyjął ten wniosek.</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7</w:t>
      </w:r>
      <w:r w:rsidRPr="002C5541">
        <w:rPr>
          <w:lang w:val="pl-PL"/>
        </w:rPr>
        <w:fldChar w:fldCharType="end"/>
      </w:r>
      <w:r w:rsidRPr="002C5541">
        <w:rPr>
          <w:lang w:val="pl-PL"/>
        </w:rPr>
        <w:t>. Skład Wielkiej Izby ustalono zgodnie z art. 26 § 4 i § 5 Konwencji oraz art. 24 Regulaminu Trybunału. Dnia 18 grudnia 2017 r. Wielka Izba</w:t>
      </w:r>
      <w:r>
        <w:rPr>
          <w:lang w:val="pl-PL"/>
        </w:rPr>
        <w:t xml:space="preserve"> </w:t>
      </w:r>
      <w:r w:rsidRPr="002C5541">
        <w:rPr>
          <w:lang w:val="pl-PL"/>
        </w:rPr>
        <w:t>oddaliła wniosek skarżących o wykluczenie sędziego Serghides</w:t>
      </w:r>
      <w:r>
        <w:rPr>
          <w:lang w:val="pl-PL"/>
        </w:rPr>
        <w:t>a</w:t>
      </w:r>
      <w:r w:rsidRPr="002C5541">
        <w:rPr>
          <w:lang w:val="pl-PL"/>
        </w:rPr>
        <w:t xml:space="preserve"> z postępowania w sprawie.</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8</w:t>
      </w:r>
      <w:r w:rsidRPr="002C5541">
        <w:rPr>
          <w:lang w:val="pl-PL"/>
        </w:rPr>
        <w:fldChar w:fldCharType="end"/>
      </w:r>
      <w:r w:rsidRPr="002C5541">
        <w:rPr>
          <w:lang w:val="pl-PL"/>
        </w:rPr>
        <w:t>.</w:t>
      </w:r>
      <w:r>
        <w:rPr>
          <w:lang w:val="pl-PL"/>
        </w:rPr>
        <w:t xml:space="preserve"> </w:t>
      </w:r>
      <w:r w:rsidRPr="002C5541">
        <w:rPr>
          <w:lang w:val="pl-PL"/>
        </w:rPr>
        <w:t>Skarżący i oba Rządy przedstawili dalsze pisemne uwagi (art. 59 ust. 1 Regulaminu Trybunału) dotyczące przedmiotu sprawy. Ponadto pisemne uwagi strony trzeciej zostały przedłożone przez Centrum AIRE.</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9</w:t>
      </w:r>
      <w:r w:rsidRPr="002C5541">
        <w:rPr>
          <w:lang w:val="pl-PL"/>
        </w:rPr>
        <w:fldChar w:fldCharType="end"/>
      </w:r>
      <w:r w:rsidRPr="002C5541">
        <w:rPr>
          <w:lang w:val="pl-PL"/>
        </w:rPr>
        <w:t>.</w:t>
      </w:r>
      <w:r>
        <w:rPr>
          <w:lang w:val="pl-PL"/>
        </w:rPr>
        <w:t xml:space="preserve"> </w:t>
      </w:r>
      <w:r w:rsidRPr="002C5541">
        <w:rPr>
          <w:lang w:val="pl-PL"/>
        </w:rPr>
        <w:t>Publiczna rozprawa odbyła się w Gmachu Europejskiego Trybunału Praw Człowieka w Strasburgu, w dniu 28 marca 2018 r. (art. 59 ust. 3 Regulaminu Trybunału).</w:t>
      </w:r>
    </w:p>
    <w:p w:rsidR="00110FEE" w:rsidRPr="002C5541" w:rsidRDefault="00110FEE" w:rsidP="00F25813">
      <w:pPr>
        <w:pStyle w:val="ECHRPara"/>
        <w:rPr>
          <w:lang w:val="pl-PL"/>
        </w:rPr>
      </w:pPr>
      <w:r w:rsidRPr="002C5541">
        <w:rPr>
          <w:lang w:val="pl-PL"/>
        </w:rPr>
        <w:t>Przed Trybunałem stawili się:</w:t>
      </w:r>
    </w:p>
    <w:p w:rsidR="00110FEE" w:rsidRPr="002C5541" w:rsidRDefault="00110FEE" w:rsidP="003A47E0">
      <w:pPr>
        <w:pStyle w:val="JuCourt"/>
        <w:keepLines/>
        <w:rPr>
          <w:lang w:val="pl-PL"/>
        </w:rPr>
      </w:pPr>
      <w:r w:rsidRPr="002C5541">
        <w:rPr>
          <w:lang w:val="pl-PL"/>
        </w:rPr>
        <w:t>(a)</w:t>
      </w:r>
      <w:r>
        <w:rPr>
          <w:lang w:val="pl-PL"/>
        </w:rPr>
        <w:t xml:space="preserve"> </w:t>
      </w:r>
      <w:r w:rsidRPr="002C5541">
        <w:rPr>
          <w:i/>
          <w:iCs/>
          <w:lang w:val="pl-PL"/>
        </w:rPr>
        <w:t>w imieniu Rządu Cypr</w:t>
      </w:r>
      <w:r>
        <w:rPr>
          <w:i/>
          <w:iCs/>
          <w:lang w:val="pl-PL"/>
        </w:rPr>
        <w:t>yjskiego</w:t>
      </w:r>
      <w:r w:rsidRPr="002C5541">
        <w:rPr>
          <w:lang w:val="pl-PL"/>
        </w:rPr>
        <w:br/>
        <w:t>Pan</w:t>
      </w:r>
      <w:r w:rsidRPr="002C5541">
        <w:rPr>
          <w:lang w:val="pl-PL"/>
        </w:rPr>
        <w:tab/>
      </w:r>
      <w:r w:rsidRPr="002C5541">
        <w:rPr>
          <w:rStyle w:val="JuNames0"/>
          <w:lang w:val="pl-PL"/>
        </w:rPr>
        <w:t>C. Clerides</w:t>
      </w:r>
      <w:r w:rsidRPr="002C5541">
        <w:rPr>
          <w:lang w:val="pl-PL"/>
        </w:rPr>
        <w:t xml:space="preserve">, Prokurator Generalny Republiki </w:t>
      </w:r>
      <w:r>
        <w:rPr>
          <w:lang w:val="pl-PL"/>
        </w:rPr>
        <w:t>Cypryjskiej</w:t>
      </w:r>
      <w:r w:rsidRPr="002C5541">
        <w:rPr>
          <w:lang w:val="pl-PL"/>
        </w:rPr>
        <w:t>,</w:t>
      </w:r>
      <w:r>
        <w:rPr>
          <w:lang w:val="pl-PL"/>
        </w:rPr>
        <w:t xml:space="preserve"> </w:t>
      </w:r>
      <w:r w:rsidRPr="002C5541">
        <w:rPr>
          <w:lang w:val="pl-PL"/>
        </w:rPr>
        <w:tab/>
      </w:r>
      <w:r w:rsidRPr="002C5541">
        <w:rPr>
          <w:i/>
          <w:iCs/>
          <w:lang w:val="pl-PL"/>
        </w:rPr>
        <w:t>Pełnomocnik</w:t>
      </w:r>
      <w:r w:rsidRPr="002C5541">
        <w:rPr>
          <w:lang w:val="pl-PL"/>
        </w:rPr>
        <w:t>,</w:t>
      </w:r>
      <w:r w:rsidRPr="002C5541">
        <w:rPr>
          <w:lang w:val="pl-PL"/>
        </w:rPr>
        <w:br/>
        <w:t>Pani</w:t>
      </w:r>
      <w:r w:rsidRPr="002C5541">
        <w:rPr>
          <w:lang w:val="pl-PL"/>
        </w:rPr>
        <w:tab/>
      </w:r>
      <w:r w:rsidRPr="002C5541">
        <w:rPr>
          <w:rStyle w:val="JuNames0"/>
          <w:lang w:val="pl-PL"/>
        </w:rPr>
        <w:t>C. Montgomery</w:t>
      </w:r>
      <w:r w:rsidRPr="002C5541">
        <w:rPr>
          <w:lang w:val="pl-PL"/>
        </w:rPr>
        <w:t xml:space="preserve"> QC, adwokat</w:t>
      </w:r>
      <w:r w:rsidRPr="002C5541">
        <w:rPr>
          <w:lang w:val="pl-PL"/>
        </w:rPr>
        <w:tab/>
      </w:r>
      <w:r w:rsidRPr="002C5541">
        <w:rPr>
          <w:i/>
          <w:iCs/>
          <w:lang w:val="pl-PL"/>
        </w:rPr>
        <w:t>Adwokat</w:t>
      </w:r>
      <w:r w:rsidRPr="002C5541">
        <w:rPr>
          <w:lang w:val="pl-PL"/>
        </w:rPr>
        <w:t>,</w:t>
      </w:r>
      <w:r w:rsidRPr="002C5541">
        <w:rPr>
          <w:lang w:val="pl-PL"/>
        </w:rPr>
        <w:br/>
        <w:t>Pani</w:t>
      </w:r>
      <w:r w:rsidRPr="002C5541">
        <w:rPr>
          <w:lang w:val="pl-PL"/>
        </w:rPr>
        <w:tab/>
      </w:r>
      <w:r w:rsidRPr="002C5541">
        <w:rPr>
          <w:rStyle w:val="JuNames0"/>
          <w:lang w:val="pl-PL"/>
        </w:rPr>
        <w:t>J. Jones</w:t>
      </w:r>
      <w:r w:rsidRPr="002C5541">
        <w:rPr>
          <w:lang w:val="pl-PL"/>
        </w:rPr>
        <w:t>, adwokat,</w:t>
      </w:r>
      <w:r w:rsidRPr="002C5541">
        <w:rPr>
          <w:lang w:val="pl-PL"/>
        </w:rPr>
        <w:br/>
        <w:t>Pani</w:t>
      </w:r>
      <w:r w:rsidRPr="002C5541">
        <w:rPr>
          <w:lang w:val="pl-PL"/>
        </w:rPr>
        <w:tab/>
      </w:r>
      <w:r w:rsidRPr="002C5541">
        <w:rPr>
          <w:rStyle w:val="JuNames0"/>
          <w:lang w:val="pl-PL"/>
        </w:rPr>
        <w:t>T. Christodoulidou</w:t>
      </w:r>
      <w:r w:rsidRPr="002C5541">
        <w:rPr>
          <w:lang w:val="pl-PL"/>
        </w:rPr>
        <w:t>, Radca Prawny A Republiki Cypr</w:t>
      </w:r>
      <w:r>
        <w:rPr>
          <w:lang w:val="pl-PL"/>
        </w:rPr>
        <w:t>yjskiej</w:t>
      </w:r>
      <w:r w:rsidRPr="002C5541">
        <w:rPr>
          <w:lang w:val="pl-PL"/>
        </w:rPr>
        <w:t xml:space="preserve">, </w:t>
      </w:r>
      <w:r w:rsidRPr="002C5541">
        <w:rPr>
          <w:lang w:val="pl-PL"/>
        </w:rPr>
        <w:tab/>
      </w:r>
      <w:r w:rsidRPr="002C5541">
        <w:rPr>
          <w:i/>
          <w:iCs/>
          <w:lang w:val="pl-PL"/>
        </w:rPr>
        <w:t>Doradcy</w:t>
      </w:r>
      <w:r w:rsidRPr="002C5541">
        <w:rPr>
          <w:lang w:val="pl-PL"/>
        </w:rPr>
        <w:t>;</w:t>
      </w:r>
    </w:p>
    <w:p w:rsidR="00110FEE" w:rsidRPr="002C5541" w:rsidRDefault="00110FEE" w:rsidP="00F25813">
      <w:pPr>
        <w:rPr>
          <w:lang w:val="pl-PL"/>
        </w:rPr>
      </w:pPr>
    </w:p>
    <w:p w:rsidR="00110FEE" w:rsidRPr="002C5541" w:rsidRDefault="00110FEE" w:rsidP="00F25813">
      <w:pPr>
        <w:pStyle w:val="JuCourt"/>
        <w:keepLines/>
        <w:rPr>
          <w:lang w:val="pl-PL"/>
        </w:rPr>
      </w:pPr>
      <w:r w:rsidRPr="002C5541">
        <w:rPr>
          <w:lang w:val="pl-PL"/>
        </w:rPr>
        <w:t>(b)</w:t>
      </w:r>
      <w:r>
        <w:rPr>
          <w:lang w:val="pl-PL"/>
        </w:rPr>
        <w:t xml:space="preserve"> </w:t>
      </w:r>
      <w:r w:rsidRPr="002C5541">
        <w:rPr>
          <w:i/>
          <w:iCs/>
          <w:lang w:val="pl-PL"/>
        </w:rPr>
        <w:t>w imieniu Rządu Tureckiego</w:t>
      </w:r>
      <w:r w:rsidRPr="002C5541">
        <w:rPr>
          <w:lang w:val="pl-PL"/>
        </w:rPr>
        <w:br/>
        <w:t xml:space="preserve">Pan </w:t>
      </w:r>
      <w:r w:rsidRPr="002C5541">
        <w:rPr>
          <w:smallCaps/>
          <w:lang w:val="pl-PL"/>
        </w:rPr>
        <w:t>S. Talmon</w:t>
      </w:r>
      <w:r w:rsidRPr="002C5541">
        <w:rPr>
          <w:lang w:val="pl-PL"/>
        </w:rPr>
        <w:t>, profesor prawa Uniwersytetu w Bonn,</w:t>
      </w:r>
      <w:r w:rsidRPr="002C5541">
        <w:rPr>
          <w:lang w:val="pl-PL"/>
        </w:rPr>
        <w:tab/>
      </w:r>
      <w:r w:rsidRPr="002C5541">
        <w:rPr>
          <w:i/>
          <w:iCs/>
          <w:lang w:val="pl-PL"/>
        </w:rPr>
        <w:t>Pełnomocnik</w:t>
      </w:r>
      <w:r w:rsidRPr="002C5541">
        <w:rPr>
          <w:lang w:val="pl-PL"/>
        </w:rPr>
        <w:t>,</w:t>
      </w:r>
      <w:r w:rsidRPr="002C5541">
        <w:rPr>
          <w:lang w:val="pl-PL"/>
        </w:rPr>
        <w:br/>
        <w:t xml:space="preserve">Pan </w:t>
      </w:r>
      <w:r w:rsidRPr="002C5541">
        <w:rPr>
          <w:smallCaps/>
          <w:lang w:val="pl-PL"/>
        </w:rPr>
        <w:t>E. İşcan</w:t>
      </w:r>
      <w:r w:rsidRPr="002C5541">
        <w:rPr>
          <w:lang w:val="pl-PL"/>
        </w:rPr>
        <w:t xml:space="preserve">, ambasador, Stały Przedstawiciel Turcji </w:t>
      </w:r>
    </w:p>
    <w:p w:rsidR="00110FEE" w:rsidRPr="002C5541" w:rsidRDefault="00110FEE" w:rsidP="00441BF0">
      <w:pPr>
        <w:pStyle w:val="JuCourt"/>
        <w:keepLines/>
        <w:spacing w:before="0"/>
        <w:rPr>
          <w:lang w:val="pl-PL"/>
        </w:rPr>
      </w:pPr>
      <w:r w:rsidRPr="002C5541">
        <w:rPr>
          <w:lang w:val="pl-PL"/>
        </w:rPr>
        <w:tab/>
      </w:r>
      <w:r>
        <w:rPr>
          <w:lang w:val="pl-PL"/>
        </w:rPr>
        <w:t xml:space="preserve"> </w:t>
      </w:r>
      <w:r w:rsidRPr="002C5541">
        <w:rPr>
          <w:lang w:val="pl-PL"/>
        </w:rPr>
        <w:t>w Radzie Europy,</w:t>
      </w:r>
      <w:r w:rsidRPr="002C5541">
        <w:rPr>
          <w:lang w:val="pl-PL"/>
        </w:rPr>
        <w:br/>
        <w:t xml:space="preserve">Pan </w:t>
      </w:r>
      <w:r w:rsidRPr="002C5541">
        <w:rPr>
          <w:smallCaps/>
          <w:lang w:val="pl-PL"/>
        </w:rPr>
        <w:t>Z. M. Necatigil</w:t>
      </w:r>
      <w:r w:rsidRPr="002C5541">
        <w:rPr>
          <w:lang w:val="pl-PL"/>
        </w:rPr>
        <w:t>,</w:t>
      </w:r>
      <w:r>
        <w:rPr>
          <w:lang w:val="pl-PL"/>
        </w:rPr>
        <w:t xml:space="preserve"> Ra</w:t>
      </w:r>
      <w:r w:rsidRPr="002C5541">
        <w:rPr>
          <w:lang w:val="pl-PL"/>
        </w:rPr>
        <w:t>dca Prawny, Ministerstwo Spraw Zagranicznych „</w:t>
      </w:r>
      <w:r>
        <w:rPr>
          <w:lang w:val="pl-PL"/>
        </w:rPr>
        <w:t>TRPC</w:t>
      </w:r>
      <w:r w:rsidRPr="002C5541">
        <w:rPr>
          <w:lang w:val="pl-PL"/>
        </w:rPr>
        <w:t>”</w:t>
      </w:r>
    </w:p>
    <w:p w:rsidR="00110FEE" w:rsidRPr="002C5541" w:rsidRDefault="00110FEE" w:rsidP="00FD4A13">
      <w:pPr>
        <w:ind w:left="397"/>
        <w:rPr>
          <w:lang w:val="pl-PL"/>
        </w:rPr>
      </w:pPr>
      <w:r w:rsidRPr="002C5541">
        <w:rPr>
          <w:lang w:val="pl-PL"/>
        </w:rPr>
        <w:t xml:space="preserve">Pani </w:t>
      </w:r>
      <w:r w:rsidRPr="002C5541">
        <w:rPr>
          <w:smallCaps/>
          <w:lang w:val="pl-PL"/>
        </w:rPr>
        <w:t>S. Karabacak,</w:t>
      </w:r>
      <w:r w:rsidRPr="002C5541">
        <w:rPr>
          <w:lang w:val="pl-PL"/>
        </w:rPr>
        <w:t xml:space="preserve"> </w:t>
      </w:r>
      <w:r w:rsidRPr="0038283A">
        <w:rPr>
          <w:lang w:val="pl-PL"/>
        </w:rPr>
        <w:t xml:space="preserve">Radca </w:t>
      </w:r>
      <w:r w:rsidRPr="002C5541">
        <w:rPr>
          <w:lang w:val="pl-PL"/>
        </w:rPr>
        <w:t>Prawny, Kancelaria Prezydenta „</w:t>
      </w:r>
      <w:r w:rsidRPr="009E6F77">
        <w:rPr>
          <w:lang w:val="pl-PL"/>
        </w:rPr>
        <w:t>TRPC</w:t>
      </w:r>
      <w:r w:rsidRPr="002C5541">
        <w:rPr>
          <w:lang w:val="pl-PL"/>
        </w:rPr>
        <w:t xml:space="preserve">”, </w:t>
      </w:r>
      <w:r w:rsidRPr="002C5541">
        <w:rPr>
          <w:lang w:val="pl-PL"/>
        </w:rPr>
        <w:br/>
        <w:t xml:space="preserve">Pan </w:t>
      </w:r>
      <w:r w:rsidRPr="002C5541">
        <w:rPr>
          <w:smallCaps/>
          <w:lang w:val="pl-PL"/>
        </w:rPr>
        <w:t>A.M. Başçeri</w:t>
      </w:r>
      <w:r w:rsidRPr="002C5541">
        <w:rPr>
          <w:lang w:val="pl-PL"/>
        </w:rPr>
        <w:t>, Zastępca Dyrektora Generalnego, Ministerstwo Spraw Zagranicznych Turcji,</w:t>
      </w:r>
    </w:p>
    <w:p w:rsidR="00110FEE" w:rsidRPr="002C5541" w:rsidRDefault="00110FEE" w:rsidP="00FD4A13">
      <w:pPr>
        <w:ind w:left="397"/>
        <w:rPr>
          <w:lang w:val="pl-PL"/>
        </w:rPr>
      </w:pPr>
      <w:r w:rsidRPr="002C5541">
        <w:rPr>
          <w:lang w:val="pl-PL"/>
        </w:rPr>
        <w:t>Pan</w:t>
      </w:r>
      <w:r>
        <w:rPr>
          <w:lang w:val="pl-PL"/>
        </w:rPr>
        <w:t xml:space="preserve"> </w:t>
      </w:r>
      <w:r w:rsidRPr="002C5541">
        <w:rPr>
          <w:smallCaps/>
          <w:lang w:val="pl-PL"/>
        </w:rPr>
        <w:t>C. Öztaş</w:t>
      </w:r>
      <w:r w:rsidRPr="002C5541">
        <w:rPr>
          <w:lang w:val="pl-PL"/>
        </w:rPr>
        <w:t>, Zastępca Stałego Przedstawiciela Turcji w Radzie Europy,</w:t>
      </w:r>
    </w:p>
    <w:p w:rsidR="00110FEE" w:rsidRPr="002C5541" w:rsidRDefault="00110FEE" w:rsidP="00FD4A13">
      <w:pPr>
        <w:ind w:left="397"/>
        <w:rPr>
          <w:lang w:val="pl-PL"/>
        </w:rPr>
      </w:pPr>
      <w:r w:rsidRPr="002C5541">
        <w:rPr>
          <w:lang w:val="pl-PL"/>
        </w:rPr>
        <w:t xml:space="preserve">Pani </w:t>
      </w:r>
      <w:r w:rsidRPr="002C5541">
        <w:rPr>
          <w:smallCaps/>
          <w:lang w:val="pl-PL"/>
        </w:rPr>
        <w:t>N. Ferit Vechi</w:t>
      </w:r>
      <w:r w:rsidRPr="002C5541">
        <w:rPr>
          <w:lang w:val="pl-PL"/>
        </w:rPr>
        <w:t>, Zastępca Stałego Przedstawiciela Turcji w Radzie Europy,</w:t>
      </w:r>
    </w:p>
    <w:p w:rsidR="00110FEE" w:rsidRPr="002C5541" w:rsidRDefault="00110FEE" w:rsidP="00FD4A13">
      <w:pPr>
        <w:ind w:left="397"/>
        <w:rPr>
          <w:lang w:val="pl-PL"/>
        </w:rPr>
      </w:pPr>
      <w:r w:rsidRPr="002C5541">
        <w:rPr>
          <w:lang w:val="pl-PL"/>
        </w:rPr>
        <w:t xml:space="preserve">Pani </w:t>
      </w:r>
      <w:r w:rsidRPr="002C5541">
        <w:rPr>
          <w:smallCaps/>
          <w:lang w:val="pl-PL"/>
        </w:rPr>
        <w:t>D. Kalyoncu</w:t>
      </w:r>
      <w:r w:rsidRPr="002C5541">
        <w:rPr>
          <w:lang w:val="pl-PL"/>
        </w:rPr>
        <w:t>, Zastępca Stałego Przedstawiciela Turcji w Radzie Europy,</w:t>
      </w:r>
      <w:r w:rsidRPr="002C5541">
        <w:rPr>
          <w:lang w:val="pl-PL"/>
        </w:rPr>
        <w:tab/>
      </w:r>
    </w:p>
    <w:p w:rsidR="00110FEE" w:rsidRPr="002C5541" w:rsidRDefault="00110FEE" w:rsidP="00FD4A13">
      <w:pPr>
        <w:ind w:left="397"/>
        <w:rPr>
          <w:lang w:val="pl-PL"/>
        </w:rPr>
      </w:pPr>
      <w:r w:rsidRPr="002C5541">
        <w:rPr>
          <w:lang w:val="pl-PL"/>
        </w:rPr>
        <w:t xml:space="preserve">Pani </w:t>
      </w:r>
      <w:r w:rsidRPr="002C5541">
        <w:rPr>
          <w:smallCaps/>
          <w:lang w:val="pl-PL"/>
        </w:rPr>
        <w:t>B. Bilen Soydan</w:t>
      </w:r>
      <w:r w:rsidRPr="002C5541">
        <w:rPr>
          <w:lang w:val="pl-PL"/>
        </w:rPr>
        <w:t>, Zastępca Stałego Przedstawiciela Turcji w Radzie Europy,</w:t>
      </w:r>
    </w:p>
    <w:p w:rsidR="00110FEE" w:rsidRPr="002C5541" w:rsidRDefault="00110FEE" w:rsidP="00FD4A13">
      <w:pPr>
        <w:ind w:left="397"/>
        <w:rPr>
          <w:lang w:val="pl-PL"/>
        </w:rPr>
      </w:pPr>
      <w:r w:rsidRPr="002C5541">
        <w:rPr>
          <w:lang w:val="pl-PL"/>
        </w:rPr>
        <w:t xml:space="preserve">Pani </w:t>
      </w:r>
      <w:r w:rsidRPr="002C5541">
        <w:rPr>
          <w:smallCaps/>
          <w:lang w:val="pl-PL"/>
        </w:rPr>
        <w:t>M. Aksen</w:t>
      </w:r>
      <w:r w:rsidRPr="002C5541">
        <w:rPr>
          <w:lang w:val="pl-PL"/>
        </w:rPr>
        <w:t xml:space="preserve">, Ekspert Prawny, Ministerstwo Spraw Zagranicznych Turcji, </w:t>
      </w:r>
      <w:r w:rsidRPr="002C5541">
        <w:rPr>
          <w:lang w:val="pl-PL"/>
        </w:rPr>
        <w:tab/>
      </w:r>
      <w:r w:rsidRPr="002C5541">
        <w:rPr>
          <w:lang w:val="pl-PL"/>
        </w:rPr>
        <w:tab/>
      </w:r>
      <w:r w:rsidRPr="002C5541">
        <w:rPr>
          <w:lang w:val="pl-PL"/>
        </w:rPr>
        <w:tab/>
      </w:r>
      <w:r w:rsidRPr="002C5541">
        <w:rPr>
          <w:lang w:val="pl-PL"/>
        </w:rPr>
        <w:tab/>
      </w:r>
      <w:r w:rsidRPr="002C5541">
        <w:rPr>
          <w:lang w:val="pl-PL"/>
        </w:rPr>
        <w:tab/>
      </w:r>
      <w:r w:rsidRPr="002C5541">
        <w:rPr>
          <w:lang w:val="pl-PL"/>
        </w:rPr>
        <w:tab/>
      </w:r>
      <w:r>
        <w:rPr>
          <w:lang w:val="pl-PL"/>
        </w:rPr>
        <w:t xml:space="preserve"> </w:t>
      </w:r>
      <w:r>
        <w:rPr>
          <w:lang w:val="pl-PL"/>
        </w:rPr>
        <w:tab/>
        <w:t xml:space="preserve"> </w:t>
      </w:r>
      <w:r w:rsidRPr="002C5541">
        <w:rPr>
          <w:i/>
          <w:iCs/>
          <w:lang w:val="pl-PL"/>
        </w:rPr>
        <w:t>Doradcy</w:t>
      </w:r>
      <w:r w:rsidRPr="002C5541">
        <w:rPr>
          <w:lang w:val="pl-PL"/>
        </w:rPr>
        <w:t>;</w:t>
      </w:r>
    </w:p>
    <w:p w:rsidR="00110FEE" w:rsidRPr="002C5541" w:rsidRDefault="00110FEE" w:rsidP="00FD4A13">
      <w:pPr>
        <w:pStyle w:val="JuCourt"/>
        <w:keepLines/>
        <w:rPr>
          <w:lang w:val="pl-PL"/>
        </w:rPr>
      </w:pPr>
      <w:r w:rsidRPr="002C5541">
        <w:rPr>
          <w:lang w:val="pl-PL"/>
        </w:rPr>
        <w:t>(c)</w:t>
      </w:r>
      <w:r>
        <w:rPr>
          <w:lang w:val="pl-PL"/>
        </w:rPr>
        <w:t xml:space="preserve"> </w:t>
      </w:r>
      <w:r w:rsidRPr="002C5541">
        <w:rPr>
          <w:i/>
          <w:iCs/>
          <w:lang w:val="pl-PL"/>
        </w:rPr>
        <w:t>w imieniu skarżących</w:t>
      </w:r>
      <w:r w:rsidRPr="002C5541">
        <w:rPr>
          <w:lang w:val="pl-PL"/>
        </w:rPr>
        <w:br/>
        <w:t xml:space="preserve">Pan </w:t>
      </w:r>
      <w:r w:rsidRPr="002C5541">
        <w:rPr>
          <w:smallCaps/>
          <w:lang w:val="pl-PL"/>
        </w:rPr>
        <w:t>A. Riza</w:t>
      </w:r>
      <w:r w:rsidRPr="002C5541">
        <w:rPr>
          <w:lang w:val="pl-PL"/>
        </w:rPr>
        <w:t xml:space="preserve"> QC, adwokat,</w:t>
      </w:r>
      <w:r w:rsidRPr="002C5541">
        <w:rPr>
          <w:lang w:val="pl-PL"/>
        </w:rPr>
        <w:tab/>
      </w:r>
      <w:r>
        <w:rPr>
          <w:i/>
          <w:iCs/>
          <w:lang w:val="pl-PL"/>
        </w:rPr>
        <w:t>Pełnomocnik</w:t>
      </w:r>
      <w:r w:rsidRPr="002C5541">
        <w:rPr>
          <w:lang w:val="pl-PL"/>
        </w:rPr>
        <w:t>,</w:t>
      </w:r>
      <w:r w:rsidRPr="002C5541">
        <w:rPr>
          <w:lang w:val="pl-PL"/>
        </w:rPr>
        <w:br/>
        <w:t xml:space="preserve">Pan </w:t>
      </w:r>
      <w:r w:rsidRPr="002C5541">
        <w:rPr>
          <w:smallCaps/>
          <w:lang w:val="pl-PL"/>
        </w:rPr>
        <w:t>C. Pascalides</w:t>
      </w:r>
      <w:r w:rsidRPr="002C5541">
        <w:rPr>
          <w:lang w:val="pl-PL"/>
        </w:rPr>
        <w:t>, Adwokat przy Sądzie Najwyższym Anglii i Walii</w:t>
      </w:r>
    </w:p>
    <w:p w:rsidR="00110FEE" w:rsidRPr="002C5541" w:rsidRDefault="00110FEE" w:rsidP="00441BF0">
      <w:pPr>
        <w:pStyle w:val="JuCourt"/>
        <w:keepLines/>
        <w:spacing w:before="0"/>
        <w:rPr>
          <w:lang w:val="pl-PL"/>
        </w:rPr>
      </w:pPr>
      <w:r w:rsidRPr="002C5541">
        <w:rPr>
          <w:lang w:val="pl-PL"/>
        </w:rPr>
        <w:t xml:space="preserve"> </w:t>
      </w:r>
      <w:r w:rsidRPr="002C5541">
        <w:rPr>
          <w:lang w:val="pl-PL"/>
        </w:rPr>
        <w:tab/>
        <w:t>oraz członek Cypryjskiej Izby Adwokackiej,</w:t>
      </w:r>
      <w:r w:rsidRPr="002C5541">
        <w:rPr>
          <w:lang w:val="pl-PL"/>
        </w:rPr>
        <w:tab/>
      </w:r>
      <w:r w:rsidRPr="002C5541">
        <w:rPr>
          <w:i/>
          <w:iCs/>
          <w:lang w:val="pl-PL"/>
        </w:rPr>
        <w:t>Doradca,</w:t>
      </w:r>
      <w:r w:rsidRPr="002C5541">
        <w:rPr>
          <w:lang w:val="pl-PL"/>
        </w:rPr>
        <w:br/>
        <w:t xml:space="preserve">Pan M. </w:t>
      </w:r>
      <w:r w:rsidRPr="002C5541">
        <w:rPr>
          <w:smallCaps/>
          <w:lang w:val="pl-PL"/>
        </w:rPr>
        <w:t>Güzelyurtlu</w:t>
      </w:r>
      <w:r w:rsidRPr="002C5541">
        <w:rPr>
          <w:lang w:val="pl-PL"/>
        </w:rPr>
        <w:t xml:space="preserve">, </w:t>
      </w:r>
      <w:r w:rsidRPr="002C5541">
        <w:rPr>
          <w:lang w:val="pl-PL"/>
        </w:rPr>
        <w:br/>
        <w:t xml:space="preserve">Pani </w:t>
      </w:r>
      <w:r w:rsidRPr="002C5541">
        <w:rPr>
          <w:rStyle w:val="JuNames0"/>
          <w:lang w:val="pl-PL"/>
        </w:rPr>
        <w:t xml:space="preserve">A. </w:t>
      </w:r>
      <w:r w:rsidRPr="002C5541">
        <w:rPr>
          <w:smallCaps/>
          <w:lang w:val="pl-PL"/>
        </w:rPr>
        <w:t>Güzelyurtlu</w:t>
      </w:r>
      <w:r w:rsidRPr="002C5541">
        <w:rPr>
          <w:lang w:val="pl-PL"/>
        </w:rPr>
        <w:t>,</w:t>
      </w:r>
      <w:r w:rsidRPr="002C5541">
        <w:rPr>
          <w:lang w:val="pl-PL"/>
        </w:rPr>
        <w:tab/>
      </w:r>
    </w:p>
    <w:p w:rsidR="00110FEE" w:rsidRPr="002C5541" w:rsidRDefault="00110FEE" w:rsidP="00F25813">
      <w:pPr>
        <w:pStyle w:val="ECHRPara"/>
        <w:ind w:firstLine="397"/>
        <w:rPr>
          <w:i/>
          <w:iCs/>
          <w:lang w:val="pl-PL"/>
        </w:rPr>
      </w:pPr>
      <w:r w:rsidRPr="002C5541">
        <w:rPr>
          <w:lang w:val="pl-PL"/>
        </w:rPr>
        <w:t xml:space="preserve">Pani </w:t>
      </w:r>
      <w:r w:rsidRPr="002C5541">
        <w:rPr>
          <w:rStyle w:val="JuNames0"/>
          <w:lang w:val="pl-PL"/>
        </w:rPr>
        <w:t xml:space="preserve">E. </w:t>
      </w:r>
      <w:r w:rsidRPr="002C5541">
        <w:rPr>
          <w:smallCaps/>
          <w:lang w:val="pl-PL"/>
        </w:rPr>
        <w:t>Akerson</w:t>
      </w:r>
      <w:r w:rsidRPr="002C5541">
        <w:rPr>
          <w:lang w:val="pl-PL"/>
        </w:rPr>
        <w:t xml:space="preserve">, </w:t>
      </w:r>
      <w:r w:rsidRPr="002C5541">
        <w:rPr>
          <w:lang w:val="pl-PL"/>
        </w:rPr>
        <w:tab/>
      </w:r>
      <w:r w:rsidRPr="002C5541">
        <w:rPr>
          <w:lang w:val="pl-PL"/>
        </w:rPr>
        <w:tab/>
      </w:r>
      <w:r w:rsidRPr="002C5541">
        <w:rPr>
          <w:lang w:val="pl-PL"/>
        </w:rPr>
        <w:tab/>
      </w:r>
      <w:r w:rsidRPr="002C5541">
        <w:rPr>
          <w:lang w:val="pl-PL"/>
        </w:rPr>
        <w:tab/>
      </w:r>
      <w:r>
        <w:rPr>
          <w:lang w:val="pl-PL"/>
        </w:rPr>
        <w:t xml:space="preserve">  </w:t>
      </w:r>
      <w:r>
        <w:rPr>
          <w:lang w:val="pl-PL"/>
        </w:rPr>
        <w:tab/>
        <w:t xml:space="preserve"> </w:t>
      </w:r>
      <w:r w:rsidRPr="002C5541">
        <w:rPr>
          <w:i/>
          <w:iCs/>
          <w:lang w:val="pl-PL"/>
        </w:rPr>
        <w:t>Skarżący.</w:t>
      </w:r>
    </w:p>
    <w:p w:rsidR="00110FEE" w:rsidRPr="002C5541" w:rsidRDefault="00110FEE" w:rsidP="00F25813">
      <w:pPr>
        <w:pStyle w:val="ECHRPara"/>
        <w:ind w:firstLine="397"/>
        <w:rPr>
          <w:lang w:val="pl-PL"/>
        </w:rPr>
      </w:pPr>
    </w:p>
    <w:p w:rsidR="00110FEE" w:rsidRPr="002C5541" w:rsidRDefault="00110FEE" w:rsidP="00F25813">
      <w:pPr>
        <w:pStyle w:val="ECHRPara"/>
        <w:rPr>
          <w:lang w:val="pl-PL"/>
        </w:rPr>
      </w:pPr>
      <w:r w:rsidRPr="002C5541">
        <w:rPr>
          <w:lang w:val="pl-PL"/>
        </w:rPr>
        <w:t>Trybunał wysłuchał wystąpień Pana Riza QC, Pani Montgomery QC oraz Pana Talmon</w:t>
      </w:r>
      <w:r>
        <w:rPr>
          <w:lang w:val="pl-PL"/>
        </w:rPr>
        <w:t>a</w:t>
      </w:r>
      <w:r w:rsidRPr="002C5541">
        <w:rPr>
          <w:lang w:val="pl-PL"/>
        </w:rPr>
        <w:t xml:space="preserve"> oraz ich odpowiedzi na pytania, które zadali sędziowie: Sicilianos, Spano i Bošnjak.</w:t>
      </w:r>
    </w:p>
    <w:p w:rsidR="00110FEE" w:rsidRPr="002C5541" w:rsidRDefault="00110FEE" w:rsidP="00F25813">
      <w:pPr>
        <w:pStyle w:val="ECHRPara"/>
        <w:rPr>
          <w:lang w:val="pl-PL"/>
        </w:rPr>
      </w:pPr>
    </w:p>
    <w:p w:rsidR="00110FEE" w:rsidRPr="002C5541" w:rsidRDefault="00110FEE" w:rsidP="00F25813">
      <w:pPr>
        <w:pStyle w:val="ECHRTitle1"/>
        <w:rPr>
          <w:lang w:val="pl-PL"/>
        </w:rPr>
      </w:pPr>
      <w:r w:rsidRPr="002C5541">
        <w:rPr>
          <w:lang w:val="pl-PL"/>
        </w:rPr>
        <w:t>FAKTY</w:t>
      </w:r>
    </w:p>
    <w:p w:rsidR="00110FEE" w:rsidRPr="002C5541" w:rsidRDefault="00110FEE" w:rsidP="007C61B3">
      <w:pPr>
        <w:pStyle w:val="ECHRPara"/>
        <w:ind w:firstLine="0"/>
        <w:rPr>
          <w:i/>
          <w:iCs/>
          <w:lang w:val="pl-PL"/>
        </w:rPr>
      </w:pPr>
      <w:r w:rsidRPr="002C5541">
        <w:rPr>
          <w:i/>
          <w:iCs/>
          <w:lang w:val="pl-PL"/>
        </w:rPr>
        <w:t>« [Paragrafy 10 - 168 wyroku pominięte i zastąpione tłumaczeniem poniższego streszczenia przygotowanego przez Kancelarię Europejskiego Trybunału Praw Człowieka</w:t>
      </w:r>
    </w:p>
    <w:p w:rsidR="00110FEE" w:rsidRPr="002C5541" w:rsidRDefault="00110FEE" w:rsidP="007C61B3">
      <w:pPr>
        <w:pStyle w:val="ECHRPara"/>
        <w:rPr>
          <w:i/>
          <w:iCs/>
          <w:u w:val="single"/>
          <w:lang w:val="pl-PL"/>
        </w:rPr>
      </w:pPr>
    </w:p>
    <w:p w:rsidR="00110FEE" w:rsidRPr="002C5541" w:rsidRDefault="00110FEE" w:rsidP="007C61B3">
      <w:pPr>
        <w:pStyle w:val="ECHRPara"/>
        <w:rPr>
          <w:u w:val="single"/>
          <w:lang w:val="pl-PL"/>
        </w:rPr>
      </w:pPr>
      <w:r w:rsidRPr="002C5541">
        <w:rPr>
          <w:i/>
          <w:iCs/>
          <w:u w:val="single"/>
          <w:lang w:val="pl-PL"/>
        </w:rPr>
        <w:t>Streszczenie stanu faktycznego</w:t>
      </w:r>
      <w:r w:rsidRPr="002C5541">
        <w:rPr>
          <w:rStyle w:val="FootnoteReference"/>
          <w:u w:val="single"/>
          <w:lang w:val="pl-PL"/>
        </w:rPr>
        <w:footnoteReference w:id="1"/>
      </w:r>
      <w:r w:rsidRPr="002C5541">
        <w:rPr>
          <w:u w:val="single"/>
          <w:lang w:val="pl-PL"/>
        </w:rPr>
        <w:t>:</w:t>
      </w:r>
    </w:p>
    <w:p w:rsidR="00110FEE" w:rsidRPr="002C5541" w:rsidRDefault="00110FEE" w:rsidP="007C61B3">
      <w:pPr>
        <w:pStyle w:val="ECHRPara"/>
        <w:rPr>
          <w:lang w:val="pl-PL"/>
        </w:rPr>
      </w:pPr>
    </w:p>
    <w:p w:rsidR="00110FEE" w:rsidRPr="002C5541" w:rsidRDefault="00110FEE" w:rsidP="007C61B3">
      <w:pPr>
        <w:pStyle w:val="ClinContent"/>
        <w:rPr>
          <w:rFonts w:ascii="Times New Roman" w:hAnsi="Times New Roman" w:cs="Times New Roman"/>
          <w:sz w:val="24"/>
          <w:szCs w:val="24"/>
          <w:lang w:val="pl-PL"/>
        </w:rPr>
      </w:pPr>
      <w:r w:rsidRPr="002C5541">
        <w:rPr>
          <w:rFonts w:ascii="Times New Roman" w:hAnsi="Times New Roman" w:cs="Times New Roman"/>
          <w:sz w:val="24"/>
          <w:szCs w:val="24"/>
          <w:lang w:val="pl-PL"/>
        </w:rPr>
        <w:t xml:space="preserve">Skargę wnieśli trzej bliscy krewni trojga obywateli cypryjskich pochodzenia turecko-cypryjskiego, których w 2005 r. znaleziono martwych z ranami postrzałowymi na obszarze wyspy kontrolowanym przez rząd cypryjski. Zarówno władze cypryjskie, jak i tureckie (w tym władze tzw. „Tureckiej Republiki Północnego Cypru” – „TRPC”) bezzwłocznie wszczęły śledztwa. Chociaż władze cypryjskie zidentyfikowały ośmiu podejrzanych i zostali oni zatrzymani oraz przesłuchani przez władze „TRPC”, oba śledztwa znalazły się w impasie, a sprawy pozostawały w zawieszeniu, oczekując na dalszy rozwój wydarzeń. Chociaż śledztwa się toczyły, po 2008 r. nie doszło do żadnych konkretnych działań. Rząd </w:t>
      </w:r>
      <w:r>
        <w:rPr>
          <w:rFonts w:ascii="Times New Roman" w:hAnsi="Times New Roman" w:cs="Times New Roman"/>
          <w:sz w:val="24"/>
          <w:szCs w:val="24"/>
          <w:lang w:val="pl-PL"/>
        </w:rPr>
        <w:t>Turecki</w:t>
      </w:r>
      <w:r w:rsidRPr="002C5541">
        <w:rPr>
          <w:rFonts w:ascii="Times New Roman" w:hAnsi="Times New Roman" w:cs="Times New Roman"/>
          <w:sz w:val="24"/>
          <w:szCs w:val="24"/>
          <w:lang w:val="pl-PL"/>
        </w:rPr>
        <w:t xml:space="preserve"> wciąż oczekiwał na przekazanie wszystkich dowodów w sprawie, by móc osądzić podejrzanych, podczas gdy śledztwo Cypru całkowicie się zatrzymało po zwróceniu przez Turcję wniosków o ekstradycję złożonych przez władze cypryjskie. Wysiłki podejmowane przy pomocy Sił Pokojowych Organizacji Narodów Zjednoczonych na Cyprze (UNFICYP) nie przyniosły powodzenia. </w:t>
      </w:r>
    </w:p>
    <w:p w:rsidR="00110FEE" w:rsidRPr="002C5541" w:rsidRDefault="00110FEE" w:rsidP="007C61B3">
      <w:pPr>
        <w:pStyle w:val="ClinContent"/>
        <w:rPr>
          <w:rFonts w:ascii="Times New Roman" w:hAnsi="Times New Roman" w:cs="Times New Roman"/>
          <w:sz w:val="24"/>
          <w:szCs w:val="24"/>
          <w:lang w:val="pl-PL"/>
        </w:rPr>
      </w:pPr>
      <w:r w:rsidRPr="002C5541">
        <w:rPr>
          <w:rFonts w:ascii="Times New Roman" w:hAnsi="Times New Roman" w:cs="Times New Roman"/>
          <w:sz w:val="24"/>
          <w:szCs w:val="24"/>
          <w:lang w:val="pl-PL"/>
        </w:rPr>
        <w:t xml:space="preserve">W wyroku z 4 kwietnia 2017 r. (zobacz </w:t>
      </w:r>
      <w:hyperlink r:id="rId9" w:history="1">
        <w:r w:rsidRPr="002C5541">
          <w:rPr>
            <w:rStyle w:val="Hyperlink"/>
            <w:rFonts w:ascii="Times New Roman" w:hAnsi="Times New Roman" w:cs="Times New Roman"/>
            <w:sz w:val="24"/>
            <w:szCs w:val="24"/>
            <w:lang w:val="pl-PL"/>
          </w:rPr>
          <w:t>Nota informacyjna nr 206</w:t>
        </w:r>
      </w:hyperlink>
      <w:r w:rsidRPr="002C5541">
        <w:rPr>
          <w:rFonts w:ascii="Times New Roman" w:hAnsi="Times New Roman" w:cs="Times New Roman"/>
          <w:sz w:val="24"/>
          <w:szCs w:val="24"/>
          <w:lang w:val="pl-PL"/>
        </w:rPr>
        <w:t xml:space="preserve">) Izba Trybunału orzekła, że doszło do naruszenia art. 2 w aspekcie proceduralnym przez Turcję (jednogłośnie) i przez Cypr (pięcioma głosami do dwóch) z uwagi na brak skutecznej współpracy obu państw i niepodjęcie koniecznych uzasadnionych działań mających na celu ułatwienie i przeprowadzenie skutecznego śledztwa. </w:t>
      </w:r>
    </w:p>
    <w:p w:rsidR="00110FEE" w:rsidRPr="002C5541" w:rsidRDefault="00110FEE" w:rsidP="000B6AAA">
      <w:pPr>
        <w:pStyle w:val="ClinContent"/>
        <w:rPr>
          <w:rFonts w:ascii="Times New Roman" w:hAnsi="Times New Roman" w:cs="Times New Roman"/>
          <w:sz w:val="24"/>
          <w:szCs w:val="24"/>
          <w:lang w:val="pl-PL"/>
        </w:rPr>
      </w:pPr>
      <w:r w:rsidRPr="002C5541">
        <w:rPr>
          <w:rFonts w:ascii="Times New Roman" w:hAnsi="Times New Roman" w:cs="Times New Roman"/>
          <w:sz w:val="24"/>
          <w:szCs w:val="24"/>
          <w:lang w:val="pl-PL"/>
        </w:rPr>
        <w:t>W dniu 18 września 2017 r. sprawa została przekazana do Wielkiej Izby na wniosek rządów obu pozwanych państw.]</w:t>
      </w:r>
    </w:p>
    <w:p w:rsidR="00110FEE" w:rsidRPr="002C5541" w:rsidRDefault="00110FEE" w:rsidP="00F25813">
      <w:pPr>
        <w:pStyle w:val="ECHRTitle1"/>
        <w:rPr>
          <w:lang w:val="pl-PL"/>
        </w:rPr>
      </w:pPr>
      <w:r w:rsidRPr="002C5541">
        <w:rPr>
          <w:lang w:val="pl-PL"/>
        </w:rPr>
        <w:t>PRAWO</w:t>
      </w:r>
    </w:p>
    <w:p w:rsidR="00110FEE" w:rsidRPr="002C5541" w:rsidRDefault="00110FEE" w:rsidP="00F25813">
      <w:pPr>
        <w:pStyle w:val="ECHRHeading1"/>
        <w:rPr>
          <w:lang w:val="pl-PL"/>
        </w:rPr>
      </w:pPr>
      <w:r w:rsidRPr="002C5541">
        <w:rPr>
          <w:lang w:val="pl-PL"/>
        </w:rPr>
        <w:t>I. ZARZUT NARUSZENIA ART. 2 KONWENCJI</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169</w:t>
      </w:r>
      <w:r w:rsidRPr="002C5541">
        <w:rPr>
          <w:lang w:val="pl-PL"/>
        </w:rPr>
        <w:fldChar w:fldCharType="end"/>
      </w:r>
      <w:r w:rsidRPr="002C5541">
        <w:rPr>
          <w:lang w:val="pl-PL"/>
        </w:rPr>
        <w:t>.</w:t>
      </w:r>
      <w:r>
        <w:rPr>
          <w:lang w:val="pl-PL"/>
        </w:rPr>
        <w:t xml:space="preserve"> </w:t>
      </w:r>
      <w:r w:rsidRPr="002C5541">
        <w:rPr>
          <w:lang w:val="pl-PL"/>
        </w:rPr>
        <w:t xml:space="preserve">Skarżący podnieśli zarzut, że doszło do naruszenia art. 2 Konwencji przez władze cypryjskie i tureckie (w tym „TRPC”), które nie przeprowadziły skutecznego </w:t>
      </w:r>
      <w:r>
        <w:rPr>
          <w:lang w:val="pl-PL"/>
        </w:rPr>
        <w:t>śledztwa</w:t>
      </w:r>
      <w:r w:rsidRPr="002C5541">
        <w:rPr>
          <w:lang w:val="pl-PL"/>
        </w:rPr>
        <w:t xml:space="preserve"> w spawie zabójstwa ich krewnych, Elmas, Zerrin i Eylül Güzelyurtlu. Zwrócili uwagę na brak współpracy ze strony pozwanych Państw w zakresie prowadzenia dochodzeń w sprawie morderstw i postawienia podejrzanych przed sądem. Odpowiedni fragment art. 2 ma następujące brzmienie:</w:t>
      </w:r>
    </w:p>
    <w:p w:rsidR="00110FEE" w:rsidRPr="002C5541" w:rsidRDefault="00110FEE" w:rsidP="00A936F2">
      <w:pPr>
        <w:pStyle w:val="JuQuotSub"/>
        <w:rPr>
          <w:rStyle w:val="JuParaCar"/>
          <w:sz w:val="20"/>
          <w:szCs w:val="20"/>
          <w:lang w:val="pl-PL"/>
        </w:rPr>
      </w:pPr>
      <w:r w:rsidRPr="002C5541">
        <w:rPr>
          <w:rStyle w:val="JuParaCar"/>
          <w:sz w:val="20"/>
          <w:szCs w:val="20"/>
          <w:lang w:val="pl-PL"/>
        </w:rPr>
        <w:t>„1. Prawo każdego człowieka do życia jest chronione przez ustawę. Nikt nie może być umyślnie pozbawiony życia, wyjąwszy przypadki wykonania wyroku sądowego, skazującego za przestępstwo, za które ustawa przewiduje taką karę..”</w:t>
      </w:r>
    </w:p>
    <w:p w:rsidR="00110FEE" w:rsidRPr="002C5541" w:rsidRDefault="00110FEE" w:rsidP="00F25813">
      <w:pPr>
        <w:pStyle w:val="ECHRHeading2"/>
        <w:rPr>
          <w:i/>
          <w:iCs/>
          <w:lang w:val="pl-PL"/>
        </w:rPr>
      </w:pPr>
      <w:r w:rsidRPr="002C5541">
        <w:rPr>
          <w:lang w:val="pl-PL"/>
        </w:rPr>
        <w:t>A.</w:t>
      </w:r>
      <w:r>
        <w:rPr>
          <w:lang w:val="pl-PL"/>
        </w:rPr>
        <w:t xml:space="preserve"> Zarzut</w:t>
      </w:r>
      <w:r w:rsidRPr="002C5541">
        <w:rPr>
          <w:lang w:val="pl-PL"/>
        </w:rPr>
        <w:t xml:space="preserve"> Rządu Tureckiego w zakresie </w:t>
      </w:r>
      <w:r>
        <w:rPr>
          <w:lang w:val="pl-PL"/>
        </w:rPr>
        <w:t xml:space="preserve">niezgodności </w:t>
      </w:r>
      <w:r w:rsidRPr="009E6F77">
        <w:rPr>
          <w:i/>
          <w:iCs/>
          <w:lang w:val="pl-PL"/>
        </w:rPr>
        <w:t>ratione loci</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170</w:t>
      </w:r>
      <w:r w:rsidRPr="002C5541">
        <w:rPr>
          <w:lang w:val="pl-PL"/>
        </w:rPr>
        <w:fldChar w:fldCharType="end"/>
      </w:r>
      <w:r w:rsidRPr="002C5541">
        <w:rPr>
          <w:lang w:val="pl-PL"/>
        </w:rPr>
        <w:t xml:space="preserve">. W świetle </w:t>
      </w:r>
      <w:r>
        <w:rPr>
          <w:lang w:val="pl-PL"/>
        </w:rPr>
        <w:t>zarzutu wstępnego</w:t>
      </w:r>
      <w:r w:rsidRPr="002C5541">
        <w:rPr>
          <w:lang w:val="pl-PL"/>
        </w:rPr>
        <w:t xml:space="preserve"> Rządu Tureckiego należy najpierw ustalić, czy skarga złożona przez skarżących przeciwko Turcji jest zgodna </w:t>
      </w:r>
      <w:r w:rsidRPr="002C5541">
        <w:rPr>
          <w:i/>
          <w:iCs/>
          <w:lang w:val="pl-PL"/>
        </w:rPr>
        <w:t xml:space="preserve">ratione loci </w:t>
      </w:r>
      <w:r>
        <w:rPr>
          <w:lang w:val="pl-PL"/>
        </w:rPr>
        <w:t>z przepisami</w:t>
      </w:r>
      <w:r w:rsidRPr="002C5541">
        <w:rPr>
          <w:lang w:val="pl-PL"/>
        </w:rPr>
        <w:t xml:space="preserve"> Konwencji.</w:t>
      </w:r>
    </w:p>
    <w:p w:rsidR="00110FEE" w:rsidRPr="002C5541" w:rsidRDefault="00110FEE" w:rsidP="00F25813">
      <w:pPr>
        <w:pStyle w:val="ECHRHeading3"/>
        <w:rPr>
          <w:lang w:val="pl-PL"/>
        </w:rPr>
      </w:pPr>
      <w:r w:rsidRPr="002C5541">
        <w:rPr>
          <w:lang w:val="pl-PL"/>
        </w:rPr>
        <w:t>1.</w:t>
      </w:r>
      <w:r>
        <w:rPr>
          <w:lang w:val="pl-PL"/>
        </w:rPr>
        <w:t xml:space="preserve"> </w:t>
      </w:r>
      <w:r w:rsidRPr="002C5541">
        <w:rPr>
          <w:lang w:val="pl-PL"/>
        </w:rPr>
        <w:t>Wyrok Izby</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171</w:t>
      </w:r>
      <w:r w:rsidRPr="002C5541">
        <w:rPr>
          <w:lang w:val="pl-PL"/>
        </w:rPr>
        <w:fldChar w:fldCharType="end"/>
      </w:r>
      <w:r w:rsidRPr="002C5541">
        <w:rPr>
          <w:lang w:val="pl-PL"/>
        </w:rPr>
        <w:t>.</w:t>
      </w:r>
      <w:r>
        <w:rPr>
          <w:lang w:val="pl-PL"/>
        </w:rPr>
        <w:t xml:space="preserve"> </w:t>
      </w:r>
      <w:r w:rsidRPr="002C5541">
        <w:rPr>
          <w:lang w:val="pl-PL"/>
        </w:rPr>
        <w:t xml:space="preserve">Biorąc pod uwagę, że śmierć krewnych skarżących miała miejsce na obszarze kontrolowanym przez Cypr i </w:t>
      </w:r>
      <w:r>
        <w:rPr>
          <w:lang w:val="pl-PL"/>
        </w:rPr>
        <w:t>pod jego jurysdykcją</w:t>
      </w:r>
      <w:r w:rsidRPr="002C5541">
        <w:rPr>
          <w:lang w:val="pl-PL"/>
        </w:rPr>
        <w:t xml:space="preserve">, Izba przeanalizowała z urzędu, czy skarga jest zgodna </w:t>
      </w:r>
      <w:r w:rsidRPr="002C5541">
        <w:rPr>
          <w:i/>
          <w:iCs/>
          <w:lang w:val="pl-PL"/>
        </w:rPr>
        <w:t xml:space="preserve">ratione loci </w:t>
      </w:r>
      <w:r w:rsidRPr="002C5541">
        <w:rPr>
          <w:lang w:val="pl-PL"/>
        </w:rPr>
        <w:t xml:space="preserve">w tym zakresie, w jakim skierowana była przeciwko Rządowi Tureckiemu (zob. pkt 183 wyroku Izby). Izba zauważyła, że domniemani sprawcy morderstwa znajdowali się </w:t>
      </w:r>
      <w:r>
        <w:rPr>
          <w:lang w:val="pl-PL"/>
        </w:rPr>
        <w:t xml:space="preserve">pod </w:t>
      </w:r>
      <w:r w:rsidRPr="002C5541">
        <w:rPr>
          <w:lang w:val="pl-PL"/>
        </w:rPr>
        <w:t>jurysdykcj</w:t>
      </w:r>
      <w:r>
        <w:rPr>
          <w:lang w:val="pl-PL"/>
        </w:rPr>
        <w:t>ą turecką</w:t>
      </w:r>
      <w:r w:rsidRPr="002C5541">
        <w:rPr>
          <w:lang w:val="pl-PL"/>
        </w:rPr>
        <w:t xml:space="preserve"> – w „TRPC” lub na terytorium Turcji. Władze Tureckie i władze „TRPC” otrzymały informację o przestępstwie i wydano czerwone noty przeciwko podejrzanym. Czynniki te pociągnęły za sobą obowiązki proceduralne Turcji na podstawie art. 2, a zatem uzasadniają odejście od ogólnego podejścia opartego na terytorium. Izba zauważyła ponadto, że władze „TRPC” wszczęły swoje własne śledztwo i że sądy „TRPC” wykonują jurysdykcję karną. Izba doszło zatem do wniosku, że skarga złożona przez skarżących przeciwko Turcji była zgodna z przesłanką </w:t>
      </w:r>
      <w:r w:rsidRPr="002C5541">
        <w:rPr>
          <w:i/>
          <w:iCs/>
          <w:lang w:val="pl-PL"/>
        </w:rPr>
        <w:t xml:space="preserve">ratione loci </w:t>
      </w:r>
      <w:r w:rsidRPr="002C5541">
        <w:rPr>
          <w:lang w:val="pl-PL"/>
        </w:rPr>
        <w:t>na podstawie przepisów Konwencji (zob. pkt 184-89 wyroku Izby).</w:t>
      </w:r>
    </w:p>
    <w:p w:rsidR="00110FEE" w:rsidRPr="002C5541" w:rsidRDefault="00110FEE" w:rsidP="00F25813">
      <w:pPr>
        <w:pStyle w:val="ECHRHeading3"/>
        <w:rPr>
          <w:lang w:val="pl-PL"/>
        </w:rPr>
      </w:pPr>
      <w:r w:rsidRPr="002C5541">
        <w:rPr>
          <w:lang w:val="pl-PL"/>
        </w:rPr>
        <w:t>2.</w:t>
      </w:r>
      <w:r>
        <w:rPr>
          <w:lang w:val="pl-PL"/>
        </w:rPr>
        <w:t xml:space="preserve"> </w:t>
      </w:r>
      <w:r w:rsidRPr="002C5541">
        <w:rPr>
          <w:lang w:val="pl-PL"/>
        </w:rPr>
        <w:t>Stanowiska stron</w:t>
      </w:r>
    </w:p>
    <w:p w:rsidR="00110FEE" w:rsidRPr="002C5541" w:rsidRDefault="00110FEE" w:rsidP="00F25813">
      <w:pPr>
        <w:pStyle w:val="ECHRHeading4"/>
        <w:rPr>
          <w:lang w:val="pl-PL"/>
        </w:rPr>
      </w:pPr>
      <w:r w:rsidRPr="002C5541">
        <w:rPr>
          <w:lang w:val="pl-PL"/>
        </w:rPr>
        <w:t>(a)</w:t>
      </w:r>
      <w:r>
        <w:rPr>
          <w:lang w:val="pl-PL"/>
        </w:rPr>
        <w:t xml:space="preserve"> </w:t>
      </w:r>
      <w:r w:rsidRPr="002C5541">
        <w:rPr>
          <w:lang w:val="pl-PL"/>
        </w:rPr>
        <w:t>Rząd Tur</w:t>
      </w:r>
      <w:r>
        <w:rPr>
          <w:lang w:val="pl-PL"/>
        </w:rPr>
        <w:t>ecki</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172</w:t>
      </w:r>
      <w:r w:rsidRPr="002C5541">
        <w:rPr>
          <w:lang w:val="pl-PL"/>
        </w:rPr>
        <w:fldChar w:fldCharType="end"/>
      </w:r>
      <w:r w:rsidRPr="002C5541">
        <w:rPr>
          <w:lang w:val="pl-PL"/>
        </w:rPr>
        <w:t>.</w:t>
      </w:r>
      <w:r>
        <w:rPr>
          <w:lang w:val="pl-PL"/>
        </w:rPr>
        <w:t xml:space="preserve"> </w:t>
      </w:r>
      <w:r w:rsidRPr="002C5541">
        <w:rPr>
          <w:lang w:val="pl-PL"/>
        </w:rPr>
        <w:t>Rząd Tur</w:t>
      </w:r>
      <w:r>
        <w:rPr>
          <w:lang w:val="pl-PL"/>
        </w:rPr>
        <w:t xml:space="preserve">ecki </w:t>
      </w:r>
      <w:r w:rsidRPr="002C5541">
        <w:rPr>
          <w:lang w:val="pl-PL"/>
        </w:rPr>
        <w:t xml:space="preserve">zwrócił uwagę, że celem </w:t>
      </w:r>
      <w:r w:rsidRPr="007D4D96">
        <w:rPr>
          <w:lang w:val="pl-PL"/>
        </w:rPr>
        <w:t xml:space="preserve">proceduralnego </w:t>
      </w:r>
      <w:r w:rsidRPr="002C5541">
        <w:rPr>
          <w:lang w:val="pl-PL"/>
        </w:rPr>
        <w:t xml:space="preserve">obowiązku przeprowadzenia </w:t>
      </w:r>
      <w:r>
        <w:rPr>
          <w:lang w:val="pl-PL"/>
        </w:rPr>
        <w:t>śledztwa</w:t>
      </w:r>
      <w:r w:rsidRPr="002C5541">
        <w:rPr>
          <w:lang w:val="pl-PL"/>
        </w:rPr>
        <w:t xml:space="preserve"> na podstawie art. 2 jest zapewnienie „skuteczne</w:t>
      </w:r>
      <w:r>
        <w:rPr>
          <w:lang w:val="pl-PL"/>
        </w:rPr>
        <w:t xml:space="preserve">go wykonania krajowych przepisów prawnych gwarantujących </w:t>
      </w:r>
      <w:r w:rsidRPr="002C5541">
        <w:rPr>
          <w:lang w:val="pl-PL"/>
        </w:rPr>
        <w:t xml:space="preserve">prawo do życia” (zob. </w:t>
      </w:r>
      <w:r w:rsidRPr="002C5541">
        <w:rPr>
          <w:i/>
          <w:iCs/>
          <w:lang w:val="pl-PL"/>
        </w:rPr>
        <w:t xml:space="preserve">Nachova i inni przeciwko Bułgarii </w:t>
      </w:r>
      <w:r w:rsidRPr="002C5541">
        <w:rPr>
          <w:lang w:val="pl-PL"/>
        </w:rPr>
        <w:t>[GC], nr 43577/98 i 43579/98, § 110, ETPC 2005</w:t>
      </w:r>
      <w:r w:rsidRPr="002C5541">
        <w:rPr>
          <w:lang w:val="pl-PL"/>
        </w:rPr>
        <w:noBreakHyphen/>
        <w:t>VII). Jako że zgodnie z krajowym prawem karnym</w:t>
      </w:r>
      <w:r>
        <w:rPr>
          <w:lang w:val="pl-PL"/>
        </w:rPr>
        <w:t>, jakie</w:t>
      </w:r>
      <w:r w:rsidRPr="002C5541">
        <w:rPr>
          <w:lang w:val="pl-PL"/>
        </w:rPr>
        <w:t xml:space="preserve"> obowiązuj</w:t>
      </w:r>
      <w:r>
        <w:rPr>
          <w:lang w:val="pl-PL"/>
        </w:rPr>
        <w:t xml:space="preserve">e </w:t>
      </w:r>
      <w:r w:rsidRPr="002C5541">
        <w:rPr>
          <w:lang w:val="pl-PL"/>
        </w:rPr>
        <w:t>w Państwach</w:t>
      </w:r>
      <w:r>
        <w:rPr>
          <w:lang w:val="pl-PL"/>
        </w:rPr>
        <w:t>,</w:t>
      </w:r>
      <w:r w:rsidRPr="002C5541">
        <w:rPr>
          <w:lang w:val="pl-PL"/>
        </w:rPr>
        <w:t xml:space="preserve"> obowiązek ochrony życia dotyczy wyłącznie osób „</w:t>
      </w:r>
      <w:r>
        <w:rPr>
          <w:lang w:val="pl-PL"/>
        </w:rPr>
        <w:t>pod</w:t>
      </w:r>
      <w:r w:rsidRPr="002C5541">
        <w:rPr>
          <w:lang w:val="pl-PL"/>
        </w:rPr>
        <w:t xml:space="preserve"> ich jurysdykcj</w:t>
      </w:r>
      <w:r>
        <w:rPr>
          <w:lang w:val="pl-PL"/>
        </w:rPr>
        <w:t>ą</w:t>
      </w:r>
      <w:r w:rsidRPr="002C5541">
        <w:rPr>
          <w:lang w:val="pl-PL"/>
        </w:rPr>
        <w:t xml:space="preserve">”, art. 2 nie wymaga, żeby Państwa wprowadziły przepisy karne, które dotyczyłyby przestępstw popełnionych poza ich jurysdykcją, ani przyjęły zasadę jurysdykcji uniwersalnej (zob. </w:t>
      </w:r>
      <w:r w:rsidRPr="002C5541">
        <w:rPr>
          <w:i/>
          <w:iCs/>
          <w:lang w:val="pl-PL"/>
        </w:rPr>
        <w:t>Rantsev przeciwko Cyprowi i Rosji</w:t>
      </w:r>
      <w:r w:rsidRPr="002C5541">
        <w:rPr>
          <w:lang w:val="pl-PL"/>
        </w:rPr>
        <w:t>, nr 25965/04, § 244, ETPC 2010 (streszczenie)</w:t>
      </w:r>
      <w:r w:rsidRPr="002C5541">
        <w:rPr>
          <w:i/>
          <w:iCs/>
          <w:lang w:val="pl-PL"/>
        </w:rPr>
        <w:t xml:space="preserve">, </w:t>
      </w:r>
      <w:r w:rsidRPr="002C5541">
        <w:rPr>
          <w:lang w:val="pl-PL"/>
        </w:rPr>
        <w:t xml:space="preserve">oraz </w:t>
      </w:r>
      <w:r w:rsidRPr="002C5541">
        <w:rPr>
          <w:i/>
          <w:iCs/>
          <w:lang w:val="pl-PL"/>
        </w:rPr>
        <w:t xml:space="preserve">Emin i inni przeciwko Cyprowi, Grecji i </w:t>
      </w:r>
      <w:r>
        <w:rPr>
          <w:i/>
          <w:iCs/>
          <w:lang w:val="pl-PL"/>
        </w:rPr>
        <w:t>Zjednoczonemu Królestwu</w:t>
      </w:r>
      <w:r w:rsidRPr="002C5541">
        <w:rPr>
          <w:i/>
          <w:iCs/>
          <w:lang w:val="pl-PL"/>
        </w:rPr>
        <w:t xml:space="preserve"> </w:t>
      </w:r>
      <w:r w:rsidRPr="002C5541">
        <w:rPr>
          <w:lang w:val="pl-PL"/>
        </w:rPr>
        <w:t xml:space="preserve">(dec.), nr 59623/08 i 6 innych, 3 czerwca 2010 r.). Biorąc pod uwagę brak „cech szczególnych” w danej sprawie (w znaczeniu, jakie temu terminowi nadaje </w:t>
      </w:r>
      <w:r w:rsidRPr="002C5541">
        <w:rPr>
          <w:i/>
          <w:iCs/>
          <w:lang w:val="pl-PL"/>
        </w:rPr>
        <w:t xml:space="preserve">Rantsev, </w:t>
      </w:r>
      <w:r>
        <w:rPr>
          <w:lang w:val="pl-PL"/>
        </w:rPr>
        <w:t xml:space="preserve">wyrok cytowany </w:t>
      </w:r>
      <w:r w:rsidRPr="002C5541">
        <w:rPr>
          <w:lang w:val="pl-PL"/>
        </w:rPr>
        <w:t>powyżej, §</w:t>
      </w:r>
      <w:r>
        <w:rPr>
          <w:lang w:val="pl-PL"/>
        </w:rPr>
        <w:t xml:space="preserve"> </w:t>
      </w:r>
      <w:r w:rsidRPr="002C5541">
        <w:rPr>
          <w:lang w:val="pl-PL"/>
        </w:rPr>
        <w:t xml:space="preserve">243; np. zobowiązanie traktatowe do przeprowadzenia śledztwa w sprawie i wszczęcia postępowania karnego dotyczącego śmierci, która miała miejsce na terytorium innego Państwa-Strony, jak w przypadku </w:t>
      </w:r>
      <w:r w:rsidRPr="002C5541">
        <w:rPr>
          <w:i/>
          <w:iCs/>
          <w:lang w:val="pl-PL"/>
        </w:rPr>
        <w:t xml:space="preserve">Aliyeva i Aliyev przeciwko Azerbejdżanowi, </w:t>
      </w:r>
      <w:r w:rsidRPr="002C5541">
        <w:rPr>
          <w:lang w:val="pl-PL"/>
        </w:rPr>
        <w:t xml:space="preserve">nr 35587/08, § 57, 31 lipca 2014 r.), Państwo miało obowiązek przeprowadzić śledztwo w sprawie śmierci na podstawie art. 2 tylko i wyłącznie w przypadku, gdyby istniał „związek jurysdykcyjny” między ofiarą a Państwem. W niniejszej sprawie nie istniał taki „związek jurysdykcyjny” między ofiarą a Państwem ani na podstawie terytorialności, ani z tytułu władzy i kontroli sprawowanych przez przedstawiciela państwa, ani faktycznej kontroli nad obszarem. Obecność podejrzanych w „TRPC” lub </w:t>
      </w:r>
      <w:r>
        <w:rPr>
          <w:lang w:val="pl-PL"/>
        </w:rPr>
        <w:t xml:space="preserve">w </w:t>
      </w:r>
      <w:r w:rsidRPr="002C5541">
        <w:rPr>
          <w:lang w:val="pl-PL"/>
        </w:rPr>
        <w:t>Turcji oraz fakt, że władze tureckie i władze „TRPC” zostały poinformowane o przestępstwie (§ 187 wyroku</w:t>
      </w:r>
      <w:r>
        <w:rPr>
          <w:lang w:val="pl-PL"/>
        </w:rPr>
        <w:t xml:space="preserve"> </w:t>
      </w:r>
      <w:r w:rsidRPr="002C5541">
        <w:rPr>
          <w:lang w:val="pl-PL"/>
        </w:rPr>
        <w:t>Izby)</w:t>
      </w:r>
      <w:r>
        <w:rPr>
          <w:lang w:val="pl-PL"/>
        </w:rPr>
        <w:t>,</w:t>
      </w:r>
      <w:r w:rsidRPr="002C5541">
        <w:rPr>
          <w:lang w:val="pl-PL"/>
        </w:rPr>
        <w:t xml:space="preserve"> nie stanowią „cech szczególnych” uzasadniających odejście od ogólnej zasady, </w:t>
      </w:r>
      <w:r>
        <w:rPr>
          <w:lang w:val="pl-PL"/>
        </w:rPr>
        <w:t>zgodnie z którą</w:t>
      </w:r>
      <w:r w:rsidRPr="002C5541">
        <w:rPr>
          <w:lang w:val="pl-PL"/>
        </w:rPr>
        <w:t xml:space="preserve"> obowiązki proceduralne na podstawie art. 2 Konwencji spoczywają na Państwie, </w:t>
      </w:r>
      <w:r>
        <w:rPr>
          <w:lang w:val="pl-PL"/>
        </w:rPr>
        <w:t xml:space="preserve">pod </w:t>
      </w:r>
      <w:r w:rsidRPr="002C5541">
        <w:rPr>
          <w:lang w:val="pl-PL"/>
        </w:rPr>
        <w:t>którego jurysdykcj</w:t>
      </w:r>
      <w:r>
        <w:rPr>
          <w:lang w:val="pl-PL"/>
        </w:rPr>
        <w:t>ą</w:t>
      </w:r>
      <w:r w:rsidRPr="002C5541">
        <w:rPr>
          <w:lang w:val="pl-PL"/>
        </w:rPr>
        <w:t xml:space="preserve"> ofiara została znaleziona w chwili śmierci. Zdaniem Rządu Tur</w:t>
      </w:r>
      <w:r>
        <w:rPr>
          <w:lang w:val="pl-PL"/>
        </w:rPr>
        <w:t xml:space="preserve">eckiego </w:t>
      </w:r>
      <w:r w:rsidRPr="002C5541">
        <w:rPr>
          <w:lang w:val="pl-PL"/>
        </w:rPr>
        <w:t xml:space="preserve">nie można było również stwierdzić, że wszczynając z urzędu śledztwo, Turcja przyjęła na siebie obowiązki proceduralne </w:t>
      </w:r>
      <w:r>
        <w:rPr>
          <w:lang w:val="pl-PL"/>
        </w:rPr>
        <w:t>na podstawie</w:t>
      </w:r>
      <w:r w:rsidRPr="002C5541">
        <w:rPr>
          <w:lang w:val="pl-PL"/>
        </w:rPr>
        <w:t xml:space="preserve"> art. 2 </w:t>
      </w:r>
      <w:r>
        <w:rPr>
          <w:lang w:val="pl-PL"/>
        </w:rPr>
        <w:t>wynikające ze</w:t>
      </w:r>
      <w:r w:rsidRPr="002C5541">
        <w:rPr>
          <w:lang w:val="pl-PL"/>
        </w:rPr>
        <w:t xml:space="preserve"> związku jurysdykcyjnego między ofiarami a Cyprem.</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173</w:t>
      </w:r>
      <w:r w:rsidRPr="002C5541">
        <w:rPr>
          <w:lang w:val="pl-PL"/>
        </w:rPr>
        <w:fldChar w:fldCharType="end"/>
      </w:r>
      <w:r w:rsidRPr="002C5541">
        <w:rPr>
          <w:lang w:val="pl-PL"/>
        </w:rPr>
        <w:t>.</w:t>
      </w:r>
      <w:r>
        <w:rPr>
          <w:lang w:val="pl-PL"/>
        </w:rPr>
        <w:t xml:space="preserve"> </w:t>
      </w:r>
      <w:r w:rsidRPr="002C5541">
        <w:rPr>
          <w:lang w:val="pl-PL"/>
        </w:rPr>
        <w:t>Rząd Tur</w:t>
      </w:r>
      <w:r>
        <w:rPr>
          <w:lang w:val="pl-PL"/>
        </w:rPr>
        <w:t xml:space="preserve">ecki </w:t>
      </w:r>
      <w:r w:rsidRPr="002C5541">
        <w:rPr>
          <w:lang w:val="pl-PL"/>
        </w:rPr>
        <w:t>dowodził również, że nie istnieje „związek jurysdykcyjny” z Turcją w zakresie obowiązku współpracy, którego nie można interpretować jako „</w:t>
      </w:r>
      <w:r>
        <w:rPr>
          <w:lang w:val="pl-PL"/>
        </w:rPr>
        <w:t>niezależnego</w:t>
      </w:r>
      <w:r w:rsidRPr="002C5541">
        <w:rPr>
          <w:lang w:val="pl-PL"/>
        </w:rPr>
        <w:t xml:space="preserve"> obowiązk</w:t>
      </w:r>
      <w:r>
        <w:rPr>
          <w:lang w:val="pl-PL"/>
        </w:rPr>
        <w:t>u</w:t>
      </w:r>
      <w:r w:rsidRPr="002C5541">
        <w:rPr>
          <w:lang w:val="pl-PL"/>
        </w:rPr>
        <w:t>” nałożon</w:t>
      </w:r>
      <w:r>
        <w:rPr>
          <w:lang w:val="pl-PL"/>
        </w:rPr>
        <w:t>ego</w:t>
      </w:r>
      <w:r w:rsidRPr="002C5541">
        <w:rPr>
          <w:lang w:val="pl-PL"/>
        </w:rPr>
        <w:t xml:space="preserve"> na wszystkie Umawiające się Państwa, w których mogą znajdować się podejrzani lub dowody. Jego zdaniem orzecznictwo Trybunału nie potwierdza istnienia takiego obowiązku. Sprawy </w:t>
      </w:r>
      <w:r w:rsidRPr="002C5541">
        <w:rPr>
          <w:i/>
          <w:iCs/>
          <w:lang w:val="pl-PL"/>
        </w:rPr>
        <w:t>O’Loughlin</w:t>
      </w:r>
      <w:r w:rsidRPr="002C5541">
        <w:rPr>
          <w:lang w:val="pl-PL"/>
        </w:rPr>
        <w:t xml:space="preserve"> (</w:t>
      </w:r>
      <w:r w:rsidRPr="002C5541">
        <w:rPr>
          <w:i/>
          <w:iCs/>
          <w:lang w:val="pl-PL"/>
        </w:rPr>
        <w:t>O’Loughlin i inni przeciwko Zjednoczonemu Królestwu</w:t>
      </w:r>
      <w:r w:rsidRPr="002C5541">
        <w:rPr>
          <w:lang w:val="pl-PL"/>
        </w:rPr>
        <w:t xml:space="preserve"> (dec.), nr 23274/04, 25 sierpnia 2005 r.) i </w:t>
      </w:r>
      <w:r w:rsidRPr="002C5541">
        <w:rPr>
          <w:i/>
          <w:iCs/>
          <w:lang w:val="pl-PL"/>
        </w:rPr>
        <w:t>Cummins</w:t>
      </w:r>
      <w:r w:rsidRPr="002C5541">
        <w:rPr>
          <w:lang w:val="pl-PL"/>
        </w:rPr>
        <w:t xml:space="preserve"> (</w:t>
      </w:r>
      <w:r w:rsidRPr="002C5541">
        <w:rPr>
          <w:i/>
          <w:iCs/>
          <w:lang w:val="pl-PL"/>
        </w:rPr>
        <w:t>Cummins przeciwko Zjednoczonemu Królestwu</w:t>
      </w:r>
      <w:r w:rsidRPr="002C5541">
        <w:rPr>
          <w:lang w:val="pl-PL"/>
        </w:rPr>
        <w:t xml:space="preserve"> (dec.), nr 27306/05, 13 grudnia 2005 r.) nie poruszały kwestii obowiązku współpracy, lecz ograniczały się do rozstrzygnięcia, czy państwo, do którego uciekli podejrzani o popełnienie przestępstwa, miało obowiązek przeprowadzić śledztwo. Sprawa </w:t>
      </w:r>
      <w:r w:rsidRPr="002C5541">
        <w:rPr>
          <w:i/>
          <w:iCs/>
          <w:lang w:val="pl-PL"/>
        </w:rPr>
        <w:t>Rantsev</w:t>
      </w:r>
      <w:r w:rsidRPr="002C5541">
        <w:rPr>
          <w:lang w:val="pl-PL"/>
        </w:rPr>
        <w:t xml:space="preserve"> dotyczyła przede wszystkim handlu ludźmi </w:t>
      </w:r>
      <w:r>
        <w:rPr>
          <w:lang w:val="pl-PL"/>
        </w:rPr>
        <w:t>w związku z</w:t>
      </w:r>
      <w:r w:rsidRPr="002C5541">
        <w:rPr>
          <w:lang w:val="pl-PL"/>
        </w:rPr>
        <w:t xml:space="preserve"> art. 4, a związek jurysdykcyjny z Rosją polegał na tym, że to właśnie Rosja była Państwem, z którego łańcuch handlu ludźmi się wywodził, co prowadziło do powstania obowiązku współpracy z innymi zainteresowanymi Państwami. </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174</w:t>
      </w:r>
      <w:r w:rsidRPr="002C5541">
        <w:rPr>
          <w:lang w:val="pl-PL"/>
        </w:rPr>
        <w:fldChar w:fldCharType="end"/>
      </w:r>
      <w:r w:rsidRPr="002C5541">
        <w:rPr>
          <w:lang w:val="pl-PL"/>
        </w:rPr>
        <w:t>.</w:t>
      </w:r>
      <w:r>
        <w:rPr>
          <w:lang w:val="pl-PL"/>
        </w:rPr>
        <w:t xml:space="preserve"> </w:t>
      </w:r>
      <w:r w:rsidRPr="002C5541">
        <w:rPr>
          <w:lang w:val="pl-PL"/>
        </w:rPr>
        <w:t>Z powodów, o których mowa powyżej, Rząd Tur</w:t>
      </w:r>
      <w:r>
        <w:rPr>
          <w:lang w:val="pl-PL"/>
        </w:rPr>
        <w:t xml:space="preserve">ecki </w:t>
      </w:r>
      <w:r w:rsidRPr="002C5541">
        <w:rPr>
          <w:lang w:val="pl-PL"/>
        </w:rPr>
        <w:t xml:space="preserve">wezwał Trybunał do stwierdzenia, że skarga złożona przez skarżących na podstawie art. 2 przeciwko Turcji była niezgodna </w:t>
      </w:r>
      <w:r w:rsidRPr="002C5541">
        <w:rPr>
          <w:i/>
          <w:iCs/>
          <w:lang w:val="pl-PL"/>
        </w:rPr>
        <w:t xml:space="preserve">ratione loci </w:t>
      </w:r>
      <w:r w:rsidRPr="002C5541">
        <w:rPr>
          <w:lang w:val="pl-PL"/>
        </w:rPr>
        <w:t>na podstawie Konwencji.</w:t>
      </w:r>
    </w:p>
    <w:p w:rsidR="00110FEE" w:rsidRPr="002C5541" w:rsidRDefault="00110FEE" w:rsidP="00F25813">
      <w:pPr>
        <w:pStyle w:val="ECHRHeading4"/>
        <w:ind w:left="635" w:firstLine="0"/>
        <w:rPr>
          <w:lang w:val="pl-PL"/>
        </w:rPr>
      </w:pPr>
      <w:r w:rsidRPr="002C5541">
        <w:rPr>
          <w:lang w:val="pl-PL"/>
        </w:rPr>
        <w:t>(b)</w:t>
      </w:r>
      <w:r>
        <w:rPr>
          <w:lang w:val="pl-PL"/>
        </w:rPr>
        <w:t xml:space="preserve"> </w:t>
      </w:r>
      <w:r w:rsidRPr="002C5541">
        <w:rPr>
          <w:lang w:val="pl-PL"/>
        </w:rPr>
        <w:t xml:space="preserve">Rząd </w:t>
      </w:r>
      <w:r>
        <w:rPr>
          <w:lang w:val="pl-PL"/>
        </w:rPr>
        <w:t>Cypryjski</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175</w:t>
      </w:r>
      <w:r w:rsidRPr="002C5541">
        <w:rPr>
          <w:lang w:val="pl-PL"/>
        </w:rPr>
        <w:fldChar w:fldCharType="end"/>
      </w:r>
      <w:r w:rsidRPr="002C5541">
        <w:rPr>
          <w:lang w:val="pl-PL"/>
        </w:rPr>
        <w:t>.</w:t>
      </w:r>
      <w:r>
        <w:rPr>
          <w:lang w:val="pl-PL"/>
        </w:rPr>
        <w:t xml:space="preserve"> </w:t>
      </w:r>
      <w:r w:rsidRPr="002C5541">
        <w:rPr>
          <w:lang w:val="pl-PL"/>
        </w:rPr>
        <w:t xml:space="preserve">Rząd </w:t>
      </w:r>
      <w:r>
        <w:rPr>
          <w:lang w:val="pl-PL"/>
        </w:rPr>
        <w:t>Cypryjski</w:t>
      </w:r>
      <w:r w:rsidRPr="002C5541">
        <w:rPr>
          <w:lang w:val="pl-PL"/>
        </w:rPr>
        <w:t xml:space="preserve"> stwierdził, że skarga złożona przez skarżących przeciwko Turcji jest zgodna </w:t>
      </w:r>
      <w:r w:rsidRPr="002C5541">
        <w:rPr>
          <w:i/>
          <w:iCs/>
          <w:lang w:val="pl-PL"/>
        </w:rPr>
        <w:t xml:space="preserve">ratione loci </w:t>
      </w:r>
      <w:r w:rsidRPr="002C5541">
        <w:rPr>
          <w:lang w:val="pl-PL"/>
        </w:rPr>
        <w:t xml:space="preserve">na podstawie Konwencji z co najmniej czterech powodów. Po pierwsze, Turcja kontrolowała północną część Cypru i działania „TRPC” można przypisać Turcji. Po drugie, Turcja jako państwo trzecie mające dostęp do podejrzanych miała obowiązek, wynikający z art. 2, współpracy z organami dochodzeniowymi Cypru. Po trzecie, art. 2 nakłada na państwo, co do którego wiadomo było, że znajdują się w nim dowody lub podejrzani sprawcy, obowiązek podjęcia z urzędu kroków w celu zabezpieczenia dowodów lub podejrzanych sprawców (w oparciu o </w:t>
      </w:r>
      <w:r w:rsidRPr="002C5541">
        <w:rPr>
          <w:i/>
          <w:iCs/>
          <w:lang w:val="pl-PL"/>
        </w:rPr>
        <w:t xml:space="preserve">O’Loughlin i inni, </w:t>
      </w:r>
      <w:r>
        <w:rPr>
          <w:lang w:val="pl-PL"/>
        </w:rPr>
        <w:t>wyrok cytowany powyżej</w:t>
      </w:r>
      <w:r w:rsidRPr="002C5541">
        <w:rPr>
          <w:lang w:val="pl-PL"/>
        </w:rPr>
        <w:t xml:space="preserve">). Po czwarte, jako że „TRPC” wszczęła śledztwo, Turcja przyjęła na siebie obowiązek przeprowadzenia śledztwa zgodnie z art. 2 (w oparciu o </w:t>
      </w:r>
      <w:r w:rsidRPr="002C5541">
        <w:rPr>
          <w:i/>
          <w:iCs/>
          <w:lang w:val="pl-PL"/>
        </w:rPr>
        <w:t xml:space="preserve">Aliyeva i Aliyev, </w:t>
      </w:r>
      <w:r w:rsidRPr="00C02504">
        <w:rPr>
          <w:lang w:val="pl-PL"/>
        </w:rPr>
        <w:t>wyrok cytowany powyżej</w:t>
      </w:r>
      <w:r w:rsidRPr="002C5541">
        <w:rPr>
          <w:lang w:val="pl-PL"/>
        </w:rPr>
        <w:t>, § 57).</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176</w:t>
      </w:r>
      <w:r w:rsidRPr="002C5541">
        <w:rPr>
          <w:lang w:val="pl-PL"/>
        </w:rPr>
        <w:fldChar w:fldCharType="end"/>
      </w:r>
      <w:r w:rsidRPr="002C5541">
        <w:rPr>
          <w:lang w:val="pl-PL"/>
        </w:rPr>
        <w:t>.</w:t>
      </w:r>
      <w:r>
        <w:rPr>
          <w:lang w:val="pl-PL"/>
        </w:rPr>
        <w:t xml:space="preserve"> </w:t>
      </w:r>
      <w:r w:rsidRPr="002C5541">
        <w:rPr>
          <w:lang w:val="pl-PL"/>
        </w:rPr>
        <w:t xml:space="preserve">Rząd </w:t>
      </w:r>
      <w:r w:rsidRPr="00C02504">
        <w:rPr>
          <w:lang w:val="pl-PL"/>
        </w:rPr>
        <w:t xml:space="preserve">Cypryjski </w:t>
      </w:r>
      <w:r w:rsidRPr="002C5541">
        <w:rPr>
          <w:lang w:val="pl-PL"/>
        </w:rPr>
        <w:t xml:space="preserve">dowodził na </w:t>
      </w:r>
      <w:r>
        <w:rPr>
          <w:lang w:val="pl-PL"/>
        </w:rPr>
        <w:t>rozprawie</w:t>
      </w:r>
      <w:r w:rsidRPr="002C5541">
        <w:rPr>
          <w:lang w:val="pl-PL"/>
        </w:rPr>
        <w:t xml:space="preserve">, iż potwierdzenie prawa „TRPC” do dochodzenia i ścigania powinno stanowić wystarczający związek jurysdykcyjny na potrzeby art. 2 Konwencji (w oparciu o </w:t>
      </w:r>
      <w:r w:rsidRPr="002C5541">
        <w:rPr>
          <w:i/>
          <w:iCs/>
          <w:lang w:val="pl-PL"/>
        </w:rPr>
        <w:t xml:space="preserve">Markovic i inni przeciwko Włochom </w:t>
      </w:r>
      <w:r w:rsidRPr="002C5541">
        <w:rPr>
          <w:lang w:val="pl-PL"/>
        </w:rPr>
        <w:t xml:space="preserve">[GC], </w:t>
      </w:r>
      <w:r>
        <w:rPr>
          <w:lang w:val="pl-PL"/>
        </w:rPr>
        <w:t>nr</w:t>
      </w:r>
      <w:r w:rsidRPr="002C5541">
        <w:rPr>
          <w:lang w:val="pl-PL"/>
        </w:rPr>
        <w:t xml:space="preserve"> 1398/03, ETPC 2006</w:t>
      </w:r>
      <w:r w:rsidRPr="002C5541">
        <w:rPr>
          <w:lang w:val="pl-PL"/>
        </w:rPr>
        <w:noBreakHyphen/>
        <w:t xml:space="preserve">XIV). Rząd </w:t>
      </w:r>
      <w:r w:rsidRPr="00C02504">
        <w:rPr>
          <w:lang w:val="pl-PL"/>
        </w:rPr>
        <w:t xml:space="preserve">Cypryjski </w:t>
      </w:r>
      <w:r w:rsidRPr="002C5541">
        <w:rPr>
          <w:lang w:val="pl-PL"/>
        </w:rPr>
        <w:t>zwrócił także uwagę, że Turcja również miała związek jurysdykcyjny wynikający ze sprawowania faktycznej kontroli nad obszarem północnego Cypru. Jego zdaniem w niniejszej sprawie występowały dwie „cechy szczególne”, które prowadziły do nałożenia na Turcję obowiązków dochodzeniowych, niezależnie od tego, że morderstwo popełniono poza jurysdykcj</w:t>
      </w:r>
      <w:r>
        <w:rPr>
          <w:lang w:val="pl-PL"/>
        </w:rPr>
        <w:t>ą</w:t>
      </w:r>
      <w:r w:rsidRPr="002C5541">
        <w:rPr>
          <w:lang w:val="pl-PL"/>
        </w:rPr>
        <w:t xml:space="preserve"> Turcji: (a) fakt, że Turcja okupowała terytorium Cypru i świadomie utrudniała prowadzenie śledztwa przez Cypr; oraz (b) fakt, że Turcja wiedziała, iż sprawcy znajdują się </w:t>
      </w:r>
      <w:r>
        <w:rPr>
          <w:lang w:val="pl-PL"/>
        </w:rPr>
        <w:t>pod jej</w:t>
      </w:r>
      <w:r w:rsidRPr="002C5541">
        <w:rPr>
          <w:lang w:val="pl-PL"/>
        </w:rPr>
        <w:t xml:space="preserve"> jurysdykcj</w:t>
      </w:r>
      <w:r>
        <w:rPr>
          <w:lang w:val="pl-PL"/>
        </w:rPr>
        <w:t>ą</w:t>
      </w:r>
      <w:r w:rsidRPr="002C5541">
        <w:rPr>
          <w:lang w:val="pl-PL"/>
        </w:rPr>
        <w:t>.</w:t>
      </w:r>
    </w:p>
    <w:p w:rsidR="00110FEE" w:rsidRPr="002C5541" w:rsidRDefault="00110FEE" w:rsidP="00F25813">
      <w:pPr>
        <w:pStyle w:val="ECHRHeading4"/>
        <w:rPr>
          <w:lang w:val="pl-PL"/>
        </w:rPr>
      </w:pPr>
      <w:r w:rsidRPr="002C5541">
        <w:rPr>
          <w:lang w:val="pl-PL"/>
        </w:rPr>
        <w:t>(c)</w:t>
      </w:r>
      <w:r>
        <w:rPr>
          <w:lang w:val="pl-PL"/>
        </w:rPr>
        <w:t xml:space="preserve"> </w:t>
      </w:r>
      <w:r w:rsidRPr="002C5541">
        <w:rPr>
          <w:lang w:val="pl-PL"/>
        </w:rPr>
        <w:t>Skarżący</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177</w:t>
      </w:r>
      <w:r w:rsidRPr="002C5541">
        <w:rPr>
          <w:lang w:val="pl-PL"/>
        </w:rPr>
        <w:fldChar w:fldCharType="end"/>
      </w:r>
      <w:r w:rsidRPr="002C5541">
        <w:rPr>
          <w:lang w:val="pl-PL"/>
        </w:rPr>
        <w:t>.</w:t>
      </w:r>
      <w:r>
        <w:rPr>
          <w:lang w:val="pl-PL"/>
        </w:rPr>
        <w:t xml:space="preserve"> </w:t>
      </w:r>
      <w:r w:rsidRPr="002C5541">
        <w:rPr>
          <w:lang w:val="pl-PL"/>
        </w:rPr>
        <w:t xml:space="preserve">Skarżący podnosili, że w wyjątkowych okolicznościach panujących na Cyprze Turcja uznała swoją jurysdykcję zgodnie z art. 1 Konwencji poprzez sprawowanie faktycznej kontroli </w:t>
      </w:r>
      <w:r>
        <w:rPr>
          <w:lang w:val="pl-PL"/>
        </w:rPr>
        <w:t xml:space="preserve">nad </w:t>
      </w:r>
      <w:r w:rsidRPr="002C5541">
        <w:rPr>
          <w:lang w:val="pl-PL"/>
        </w:rPr>
        <w:t>północn</w:t>
      </w:r>
      <w:r>
        <w:rPr>
          <w:lang w:val="pl-PL"/>
        </w:rPr>
        <w:t>ym</w:t>
      </w:r>
      <w:r w:rsidRPr="002C5541">
        <w:rPr>
          <w:lang w:val="pl-PL"/>
        </w:rPr>
        <w:t xml:space="preserve"> Cyp</w:t>
      </w:r>
      <w:r>
        <w:rPr>
          <w:lang w:val="pl-PL"/>
        </w:rPr>
        <w:t>rem</w:t>
      </w:r>
      <w:r w:rsidRPr="002C5541">
        <w:rPr>
          <w:lang w:val="pl-PL"/>
        </w:rPr>
        <w:t xml:space="preserve">, niezależnie od tego, że obszar ten stanowił część suwerennego terytorium Cypru. Na </w:t>
      </w:r>
      <w:r>
        <w:rPr>
          <w:lang w:val="pl-PL"/>
        </w:rPr>
        <w:t>rozprawie</w:t>
      </w:r>
      <w:r w:rsidRPr="002C5541">
        <w:rPr>
          <w:lang w:val="pl-PL"/>
        </w:rPr>
        <w:t xml:space="preserve"> dodali także, że fakt sprawowania faktycznej kontroli przez Turcję uniemożliwił Cyprowi ściganie podejrzanych o morderstwo, co doprowadziło do powstania związku jurysdykcyjnego i cech szczególnych nakładających na Turcję obowiązek współpracy. Powodem istnienia związku jurysdykcyjnego i obowiązku współpracy było to, że obie części Cypru należały do tej samej </w:t>
      </w:r>
      <w:r w:rsidRPr="002C5541">
        <w:rPr>
          <w:i/>
          <w:iCs/>
          <w:lang w:val="pl-PL"/>
        </w:rPr>
        <w:t>de iure</w:t>
      </w:r>
      <w:r w:rsidRPr="002C5541">
        <w:rPr>
          <w:lang w:val="pl-PL"/>
        </w:rPr>
        <w:t xml:space="preserve"> jurysdykcji.</w:t>
      </w:r>
    </w:p>
    <w:p w:rsidR="00110FEE" w:rsidRPr="002C5541" w:rsidRDefault="00110FEE" w:rsidP="00F25813">
      <w:pPr>
        <w:pStyle w:val="ECHRHeading3"/>
        <w:rPr>
          <w:lang w:val="pl-PL"/>
        </w:rPr>
      </w:pPr>
      <w:r w:rsidRPr="002C5541">
        <w:rPr>
          <w:lang w:val="pl-PL"/>
        </w:rPr>
        <w:t>3.</w:t>
      </w:r>
      <w:r>
        <w:rPr>
          <w:lang w:val="pl-PL"/>
        </w:rPr>
        <w:t xml:space="preserve"> </w:t>
      </w:r>
      <w:r w:rsidRPr="002C5541">
        <w:rPr>
          <w:lang w:val="pl-PL"/>
        </w:rPr>
        <w:t>Ocena Trybunału</w:t>
      </w:r>
    </w:p>
    <w:p w:rsidR="00110FEE" w:rsidRPr="002C5541" w:rsidRDefault="00110FEE" w:rsidP="00F25813">
      <w:pPr>
        <w:pStyle w:val="ECHRHeading4"/>
        <w:rPr>
          <w:lang w:val="pl-PL"/>
        </w:rPr>
      </w:pPr>
      <w:r w:rsidRPr="002C5541">
        <w:rPr>
          <w:lang w:val="pl-PL"/>
        </w:rPr>
        <w:t>(a)</w:t>
      </w:r>
      <w:r>
        <w:rPr>
          <w:lang w:val="pl-PL"/>
        </w:rPr>
        <w:t xml:space="preserve"> </w:t>
      </w:r>
      <w:r w:rsidRPr="002C5541">
        <w:rPr>
          <w:lang w:val="pl-PL"/>
        </w:rPr>
        <w:t>Podsumowanie orzecznictwa</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178</w:t>
      </w:r>
      <w:r w:rsidRPr="002C5541">
        <w:rPr>
          <w:lang w:val="pl-PL"/>
        </w:rPr>
        <w:fldChar w:fldCharType="end"/>
      </w:r>
      <w:r w:rsidRPr="002C5541">
        <w:rPr>
          <w:lang w:val="pl-PL"/>
        </w:rPr>
        <w:t>.</w:t>
      </w:r>
      <w:r>
        <w:rPr>
          <w:lang w:val="pl-PL"/>
        </w:rPr>
        <w:t xml:space="preserve"> </w:t>
      </w:r>
      <w:r w:rsidRPr="002C5541">
        <w:rPr>
          <w:rFonts w:eastAsia="Times New Roman"/>
          <w:lang w:val="pl-PL"/>
        </w:rPr>
        <w:t xml:space="preserve">„Jurysdykcja” </w:t>
      </w:r>
      <w:r>
        <w:rPr>
          <w:rFonts w:eastAsia="Times New Roman"/>
          <w:lang w:val="pl-PL"/>
        </w:rPr>
        <w:t>jest zgodnie z</w:t>
      </w:r>
      <w:r w:rsidRPr="002C5541">
        <w:rPr>
          <w:rFonts w:eastAsia="Times New Roman"/>
          <w:lang w:val="pl-PL"/>
        </w:rPr>
        <w:t xml:space="preserve"> art. 1 kryterium granicznym. Sprawowanie jurysdykcji jest warunkiem koniecznym, żeby Umawiające się Państwo mogło być pociągnięte do odpowiedzialności za działania i zaniechania, jakie można mu przypisać i które dają podstawy do post</w:t>
      </w:r>
      <w:r>
        <w:rPr>
          <w:rFonts w:eastAsia="Times New Roman"/>
          <w:lang w:val="pl-PL"/>
        </w:rPr>
        <w:t>a</w:t>
      </w:r>
      <w:r w:rsidRPr="002C5541">
        <w:rPr>
          <w:rFonts w:eastAsia="Times New Roman"/>
          <w:lang w:val="pl-PL"/>
        </w:rPr>
        <w:t>wienia zarzutu naruszenia praw i wolności określonych w Konwencji (zob.</w:t>
      </w:r>
      <w:r w:rsidRPr="002C5541">
        <w:rPr>
          <w:i/>
          <w:iCs/>
          <w:lang w:val="pl-PL"/>
        </w:rPr>
        <w:t xml:space="preserve"> Al-Skeini i inni przeciwko Zjednoczonemu Królestwu</w:t>
      </w:r>
      <w:r w:rsidRPr="002C5541">
        <w:rPr>
          <w:lang w:val="pl-PL"/>
        </w:rPr>
        <w:t xml:space="preserve"> [GC], nr 55721/07, § 130, ETPC 2011, oraz </w:t>
      </w:r>
      <w:r w:rsidRPr="002C5541">
        <w:rPr>
          <w:i/>
          <w:iCs/>
          <w:lang w:val="pl-PL"/>
        </w:rPr>
        <w:t>Catan i inni przeciwko Republice Mołdawii i Rosji</w:t>
      </w:r>
      <w:r w:rsidRPr="002C5541">
        <w:rPr>
          <w:lang w:val="pl-PL"/>
        </w:rPr>
        <w:t xml:space="preserve"> [GC], nr 43370/04 i 2 inne, § 103,</w:t>
      </w:r>
      <w:r w:rsidRPr="002C5541">
        <w:rPr>
          <w:snapToGrid w:val="0"/>
          <w:lang w:val="pl-PL"/>
        </w:rPr>
        <w:t xml:space="preserve"> ETPC 2012 (streszczenie)</w:t>
      </w:r>
      <w:r w:rsidRPr="002C5541">
        <w:rPr>
          <w:rFonts w:eastAsia="Times New Roman"/>
          <w:lang w:val="pl-PL"/>
        </w:rPr>
        <w:t>).</w:t>
      </w:r>
      <w:bookmarkStart w:id="1" w:name="_Toc289765893"/>
      <w:bookmarkEnd w:id="1"/>
      <w:r w:rsidRPr="002C5541">
        <w:rPr>
          <w:rFonts w:eastAsia="Times New Roman"/>
          <w:lang w:val="pl-PL"/>
        </w:rPr>
        <w:t xml:space="preserve"> Jak Trybunał podkreślił, z punktu widzenia prawa międzynarodowego publicznego jurysdykcj</w:t>
      </w:r>
      <w:r>
        <w:rPr>
          <w:rFonts w:eastAsia="Times New Roman"/>
          <w:lang w:val="pl-PL"/>
        </w:rPr>
        <w:t xml:space="preserve">a </w:t>
      </w:r>
      <w:r w:rsidRPr="002C5541">
        <w:rPr>
          <w:rFonts w:eastAsia="Times New Roman"/>
          <w:lang w:val="pl-PL"/>
        </w:rPr>
        <w:t xml:space="preserve">państwa ma przede wszystkim charakter terytorialny (tamże, odpowiednio </w:t>
      </w:r>
      <w:r w:rsidRPr="002C5541">
        <w:rPr>
          <w:lang w:val="pl-PL"/>
        </w:rPr>
        <w:t>§131</w:t>
      </w:r>
      <w:r w:rsidRPr="002C5541">
        <w:rPr>
          <w:snapToGrid w:val="0"/>
          <w:lang w:val="pl-PL"/>
        </w:rPr>
        <w:t xml:space="preserve"> i</w:t>
      </w:r>
      <w:r w:rsidRPr="002C5541">
        <w:rPr>
          <w:lang w:val="pl-PL"/>
        </w:rPr>
        <w:t xml:space="preserve"> § 104). W szczególnych okolicznościach Trybunał uznawał jednak, że Umawiające się Państwa sprawują jurysdykcję na podstawie art. 1 również poza swoimi granicami terytorialnymi (zob. </w:t>
      </w:r>
      <w:r w:rsidRPr="002C5541">
        <w:rPr>
          <w:i/>
          <w:iCs/>
          <w:lang w:val="pl-PL"/>
        </w:rPr>
        <w:t xml:space="preserve">Al-Skeini i inni, </w:t>
      </w:r>
      <w:r>
        <w:rPr>
          <w:lang w:val="pl-PL"/>
        </w:rPr>
        <w:t>wyrok cytowany powyżej</w:t>
      </w:r>
      <w:r w:rsidRPr="002C5541">
        <w:rPr>
          <w:lang w:val="pl-PL"/>
        </w:rPr>
        <w:t>, §§ 132-50, i</w:t>
      </w:r>
      <w:r w:rsidRPr="002C5541">
        <w:rPr>
          <w:i/>
          <w:iCs/>
          <w:lang w:val="pl-PL"/>
        </w:rPr>
        <w:t xml:space="preserve"> Hassan przeciwko Zjednoczonemu Królestwu </w:t>
      </w:r>
      <w:r w:rsidRPr="002C5541">
        <w:rPr>
          <w:lang w:val="pl-PL"/>
        </w:rPr>
        <w:t>[GC], nr 29750/09, §§ 74-80, ETPC 2014).</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179</w:t>
      </w:r>
      <w:r w:rsidRPr="002C5541">
        <w:rPr>
          <w:lang w:val="pl-PL"/>
        </w:rPr>
        <w:fldChar w:fldCharType="end"/>
      </w:r>
      <w:r w:rsidRPr="002C5541">
        <w:rPr>
          <w:lang w:val="pl-PL"/>
        </w:rPr>
        <w:t>.</w:t>
      </w:r>
      <w:r>
        <w:rPr>
          <w:lang w:val="pl-PL"/>
        </w:rPr>
        <w:t xml:space="preserve"> </w:t>
      </w:r>
      <w:r w:rsidRPr="002C5541">
        <w:rPr>
          <w:lang w:val="pl-PL"/>
        </w:rPr>
        <w:t>Jeden z wyjątków w stosunku do zasady, iż jurysdykcja na podstawie art. 1 jest ograniczona do własnego terytorium państwa, ma miejsce, gdy na skutek zgodnych z prawem lub bezprawnych działań zbrojnych Umawiające się Państwo sprawuje faktyczną kontrolę nad obszarem znajdującym się poza je</w:t>
      </w:r>
      <w:r>
        <w:rPr>
          <w:lang w:val="pl-PL"/>
        </w:rPr>
        <w:t>go</w:t>
      </w:r>
      <w:r w:rsidRPr="002C5541">
        <w:rPr>
          <w:lang w:val="pl-PL"/>
        </w:rPr>
        <w:t xml:space="preserve"> terytorium krajowym. Obowiązek zabezpieczenia na takim obszarze praw i wolności, o których mowa w Konwencji, wywodzi się z faktu sprawowani</w:t>
      </w:r>
      <w:r>
        <w:rPr>
          <w:lang w:val="pl-PL"/>
        </w:rPr>
        <w:t>a</w:t>
      </w:r>
      <w:r w:rsidRPr="002C5541">
        <w:rPr>
          <w:lang w:val="pl-PL"/>
        </w:rPr>
        <w:t xml:space="preserve"> takiej kontroli w sposób bezpośredni, za pomocą sił zbrojnych danego Umawiającego się Państwa, albo za pośrednictwem podporządkowanej administracji lokalnej (zob. </w:t>
      </w:r>
      <w:r w:rsidRPr="002C5541">
        <w:rPr>
          <w:i/>
          <w:iCs/>
          <w:lang w:val="pl-PL"/>
        </w:rPr>
        <w:t>Loizidou przeciwko Turcji</w:t>
      </w:r>
      <w:r w:rsidRPr="002C5541">
        <w:rPr>
          <w:lang w:val="pl-PL"/>
        </w:rPr>
        <w:t xml:space="preserve"> (zarzuty wstępne), 23 marca 1995 r., § 62, Seri</w:t>
      </w:r>
      <w:r>
        <w:rPr>
          <w:lang w:val="pl-PL"/>
        </w:rPr>
        <w:t xml:space="preserve">a A nr </w:t>
      </w:r>
      <w:r w:rsidRPr="002C5541">
        <w:rPr>
          <w:lang w:val="pl-PL"/>
        </w:rPr>
        <w:t xml:space="preserve">310; </w:t>
      </w:r>
      <w:r w:rsidRPr="002C5541">
        <w:rPr>
          <w:i/>
          <w:iCs/>
          <w:lang w:val="pl-PL"/>
        </w:rPr>
        <w:t>Cypr przeciwko Turcji</w:t>
      </w:r>
      <w:r w:rsidRPr="002C5541">
        <w:rPr>
          <w:lang w:val="pl-PL"/>
        </w:rPr>
        <w:t xml:space="preserve"> [GC], nr 25781/94, § 76, ETPC 2001-IV; </w:t>
      </w:r>
      <w:r w:rsidRPr="002C5541">
        <w:rPr>
          <w:i/>
          <w:iCs/>
          <w:lang w:val="pl-PL"/>
        </w:rPr>
        <w:t xml:space="preserve">Ilaşcu i inni przeciwko Mołdawii i Rosji </w:t>
      </w:r>
      <w:r w:rsidRPr="002C5541">
        <w:rPr>
          <w:lang w:val="pl-PL"/>
        </w:rPr>
        <w:t>[GC], nr 48787/99, §§ 314-16, ETPC 2004</w:t>
      </w:r>
      <w:r w:rsidRPr="002C5541">
        <w:rPr>
          <w:lang w:val="pl-PL"/>
        </w:rPr>
        <w:noBreakHyphen/>
        <w:t xml:space="preserve">VII; </w:t>
      </w:r>
      <w:r w:rsidRPr="002C5541">
        <w:rPr>
          <w:i/>
          <w:iCs/>
          <w:lang w:val="pl-PL"/>
        </w:rPr>
        <w:t xml:space="preserve">Al-Skeini i inni, </w:t>
      </w:r>
      <w:r w:rsidRPr="0044466A">
        <w:rPr>
          <w:lang w:val="pl-PL"/>
        </w:rPr>
        <w:t>wyrok cytowany powyżej</w:t>
      </w:r>
      <w:r w:rsidRPr="002C5541">
        <w:rPr>
          <w:lang w:val="pl-PL"/>
        </w:rPr>
        <w:t xml:space="preserve">, § 138; </w:t>
      </w:r>
      <w:r w:rsidRPr="002C5541">
        <w:rPr>
          <w:i/>
          <w:iCs/>
          <w:lang w:val="pl-PL"/>
        </w:rPr>
        <w:t xml:space="preserve">Catan i inni, </w:t>
      </w:r>
      <w:r w:rsidRPr="0044466A">
        <w:rPr>
          <w:lang w:val="pl-PL"/>
        </w:rPr>
        <w:t>wyrok cytowany powyżej</w:t>
      </w:r>
      <w:r w:rsidRPr="002C5541">
        <w:rPr>
          <w:lang w:val="pl-PL"/>
        </w:rPr>
        <w:t xml:space="preserve">, § 106; oraz </w:t>
      </w:r>
      <w:r w:rsidRPr="002C5541">
        <w:rPr>
          <w:i/>
          <w:iCs/>
          <w:lang w:val="pl-PL"/>
        </w:rPr>
        <w:t>Mozer przeciwko Republic</w:t>
      </w:r>
      <w:r>
        <w:rPr>
          <w:i/>
          <w:iCs/>
          <w:lang w:val="pl-PL"/>
        </w:rPr>
        <w:t>e</w:t>
      </w:r>
      <w:r w:rsidRPr="002C5541">
        <w:rPr>
          <w:i/>
          <w:iCs/>
          <w:lang w:val="pl-PL"/>
        </w:rPr>
        <w:t xml:space="preserve"> Mołdawii i Rosji </w:t>
      </w:r>
      <w:r w:rsidRPr="002C5541">
        <w:rPr>
          <w:lang w:val="pl-PL"/>
        </w:rPr>
        <w:t xml:space="preserve">[GC], nr 11138/10, § 98, 23 lutego 2016 r.). W przypadku gdy stwierdzono </w:t>
      </w:r>
      <w:r>
        <w:rPr>
          <w:lang w:val="pl-PL"/>
        </w:rPr>
        <w:t>istnienie takiej kontroli</w:t>
      </w:r>
      <w:r w:rsidRPr="002C5541">
        <w:rPr>
          <w:lang w:val="pl-PL"/>
        </w:rPr>
        <w:t xml:space="preserve"> nad terytorium, nie trzeba ustalać, czy Umawiające się Państwo sprawuje szczegółową kontrolę nad polityką i działaniami podporządkowanej administracji lokalnej. Fakt, że taka administracja lokalna funkcjonuje w rezultacie wsparcia wojskowego i innego </w:t>
      </w:r>
      <w:r>
        <w:rPr>
          <w:lang w:val="pl-PL"/>
        </w:rPr>
        <w:t xml:space="preserve">rodzaju pomocy </w:t>
      </w:r>
      <w:r w:rsidRPr="002C5541">
        <w:rPr>
          <w:lang w:val="pl-PL"/>
        </w:rPr>
        <w:t xml:space="preserve">ze strony Umawiającego się Państwa, pociąga za sobą odpowiedzialność tego państwa za jej politykę i działania. Kontrolujące Państwo ma obowiązek, wynikający z art. 1, zabezpieczenia na obszarze podlegającym jego kontroli wszystkich praw materialnych, o których mowa w Konwencji i </w:t>
      </w:r>
      <w:r>
        <w:rPr>
          <w:lang w:val="pl-PL"/>
        </w:rPr>
        <w:t xml:space="preserve">w </w:t>
      </w:r>
      <w:r w:rsidRPr="002C5541">
        <w:rPr>
          <w:lang w:val="pl-PL"/>
        </w:rPr>
        <w:t>tych dodatkowych Protokoł</w:t>
      </w:r>
      <w:r>
        <w:rPr>
          <w:lang w:val="pl-PL"/>
        </w:rPr>
        <w:t>ach</w:t>
      </w:r>
      <w:r w:rsidRPr="002C5541">
        <w:rPr>
          <w:lang w:val="pl-PL"/>
        </w:rPr>
        <w:t xml:space="preserve">, które Państwo to podpisało. Będzie </w:t>
      </w:r>
      <w:r>
        <w:rPr>
          <w:lang w:val="pl-PL"/>
        </w:rPr>
        <w:t xml:space="preserve">zatem </w:t>
      </w:r>
      <w:r w:rsidRPr="002C5541">
        <w:rPr>
          <w:lang w:val="pl-PL"/>
        </w:rPr>
        <w:t xml:space="preserve">odpowiedzialne za naruszenia tych praw (zob. </w:t>
      </w:r>
      <w:r w:rsidRPr="002C5541">
        <w:rPr>
          <w:i/>
          <w:iCs/>
          <w:lang w:val="pl-PL"/>
        </w:rPr>
        <w:t>Cypr przeciwko Turcji</w:t>
      </w:r>
      <w:r w:rsidRPr="002C5541">
        <w:rPr>
          <w:lang w:val="pl-PL"/>
        </w:rPr>
        <w:t xml:space="preserve">, </w:t>
      </w:r>
      <w:r w:rsidRPr="0044466A">
        <w:rPr>
          <w:lang w:val="pl-PL"/>
        </w:rPr>
        <w:t>wyrok cytowany powyżej</w:t>
      </w:r>
      <w:r w:rsidRPr="002C5541">
        <w:rPr>
          <w:lang w:val="pl-PL"/>
        </w:rPr>
        <w:t xml:space="preserve">, §§ 76-77, oraz </w:t>
      </w:r>
      <w:r w:rsidRPr="002C5541">
        <w:rPr>
          <w:i/>
          <w:iCs/>
          <w:lang w:val="pl-PL"/>
        </w:rPr>
        <w:t>Al-Skeini i inni</w:t>
      </w:r>
      <w:r w:rsidRPr="002C5541">
        <w:rPr>
          <w:lang w:val="pl-PL"/>
        </w:rPr>
        <w:t xml:space="preserve">, </w:t>
      </w:r>
      <w:r w:rsidRPr="0044466A">
        <w:rPr>
          <w:lang w:val="pl-PL"/>
        </w:rPr>
        <w:t>wyrok cytowany powyżej</w:t>
      </w:r>
      <w:r w:rsidRPr="002C5541">
        <w:rPr>
          <w:lang w:val="pl-PL"/>
        </w:rPr>
        <w:t>, § 138).</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180</w:t>
      </w:r>
      <w:r w:rsidRPr="002C5541">
        <w:rPr>
          <w:lang w:val="pl-PL"/>
        </w:rPr>
        <w:fldChar w:fldCharType="end"/>
      </w:r>
      <w:r w:rsidRPr="002C5541">
        <w:rPr>
          <w:lang w:val="pl-PL"/>
        </w:rPr>
        <w:t>.</w:t>
      </w:r>
      <w:r>
        <w:rPr>
          <w:lang w:val="pl-PL"/>
        </w:rPr>
        <w:t xml:space="preserve"> </w:t>
      </w:r>
      <w:r w:rsidRPr="002C5541">
        <w:rPr>
          <w:lang w:val="pl-PL"/>
        </w:rPr>
        <w:t xml:space="preserve">W zdecydowanej większości przypadków, gdy Trybunał miał orzec w sprawie skarg dotyczących aspektów proceduralnych art. 2, </w:t>
      </w:r>
      <w:r>
        <w:rPr>
          <w:lang w:val="pl-PL"/>
        </w:rPr>
        <w:t>śmierć</w:t>
      </w:r>
      <w:r w:rsidRPr="002C5541">
        <w:rPr>
          <w:lang w:val="pl-PL"/>
        </w:rPr>
        <w:t xml:space="preserve"> miał</w:t>
      </w:r>
      <w:r>
        <w:rPr>
          <w:lang w:val="pl-PL"/>
        </w:rPr>
        <w:t>a</w:t>
      </w:r>
      <w:r w:rsidRPr="002C5541">
        <w:rPr>
          <w:lang w:val="pl-PL"/>
        </w:rPr>
        <w:t xml:space="preserve"> miejsce na obszarze podlegającym jurysdykcji Umawiającego się Państwa – na jego terytorium krajowym (zob. m</w:t>
      </w:r>
      <w:r>
        <w:rPr>
          <w:lang w:val="pl-PL"/>
        </w:rPr>
        <w:t>.</w:t>
      </w:r>
      <w:r w:rsidRPr="002C5541">
        <w:rPr>
          <w:lang w:val="pl-PL"/>
        </w:rPr>
        <w:t xml:space="preserve">in. </w:t>
      </w:r>
      <w:r w:rsidRPr="002C5541">
        <w:rPr>
          <w:i/>
          <w:iCs/>
          <w:lang w:val="pl-PL"/>
        </w:rPr>
        <w:t xml:space="preserve">Rantsev </w:t>
      </w:r>
      <w:r w:rsidRPr="002C5541">
        <w:rPr>
          <w:lang w:val="pl-PL"/>
        </w:rPr>
        <w:t xml:space="preserve">w odniesieniu do Cypru), na obszarze podlegającym faktycznej kontroli takiego Państwa (zob. </w:t>
      </w:r>
      <w:r w:rsidRPr="002C5541">
        <w:rPr>
          <w:i/>
          <w:iCs/>
          <w:lang w:val="pl-PL"/>
        </w:rPr>
        <w:t>Adalı przeciwko Turcji</w:t>
      </w:r>
      <w:r w:rsidRPr="002C5541">
        <w:rPr>
          <w:lang w:val="pl-PL"/>
        </w:rPr>
        <w:t xml:space="preserve">, nr 38187/97, 31 marca 2005 r.) lub na pokładzie statków lub łodzi zarejestrowanych w takim Państwie lub pływającym pod jego banderą (zob. </w:t>
      </w:r>
      <w:r w:rsidRPr="002C5541">
        <w:rPr>
          <w:i/>
          <w:iCs/>
          <w:lang w:val="pl-PL"/>
        </w:rPr>
        <w:t xml:space="preserve">Bakanova przeciwko Litwie, </w:t>
      </w:r>
      <w:r w:rsidRPr="002C5541">
        <w:rPr>
          <w:lang w:val="pl-PL"/>
        </w:rPr>
        <w:t xml:space="preserve">nr 11167/12, § 63, 31 maja 2016 r.). Trybunał </w:t>
      </w:r>
      <w:r>
        <w:rPr>
          <w:lang w:val="pl-PL"/>
        </w:rPr>
        <w:t>rozpatrywał</w:t>
      </w:r>
      <w:r w:rsidRPr="002C5541">
        <w:rPr>
          <w:lang w:val="pl-PL"/>
        </w:rPr>
        <w:t xml:space="preserve"> również skargi dotyczące aspektów proceduralnych art. 2, gdzie </w:t>
      </w:r>
      <w:r>
        <w:rPr>
          <w:lang w:val="pl-PL"/>
        </w:rPr>
        <w:t>śmierć</w:t>
      </w:r>
      <w:r w:rsidRPr="002C5541">
        <w:rPr>
          <w:lang w:val="pl-PL"/>
        </w:rPr>
        <w:t xml:space="preserve"> miał</w:t>
      </w:r>
      <w:r>
        <w:rPr>
          <w:lang w:val="pl-PL"/>
        </w:rPr>
        <w:t>a</w:t>
      </w:r>
      <w:r w:rsidRPr="002C5541">
        <w:rPr>
          <w:lang w:val="pl-PL"/>
        </w:rPr>
        <w:t xml:space="preserve"> miejsce na obszarze innego Państwa lub w strefie neutralnej, </w:t>
      </w:r>
      <w:r>
        <w:rPr>
          <w:lang w:val="pl-PL"/>
        </w:rPr>
        <w:t xml:space="preserve">przy czym </w:t>
      </w:r>
      <w:r w:rsidRPr="002C5541">
        <w:rPr>
          <w:lang w:val="pl-PL"/>
        </w:rPr>
        <w:t>został</w:t>
      </w:r>
      <w:r>
        <w:rPr>
          <w:lang w:val="pl-PL"/>
        </w:rPr>
        <w:t>a</w:t>
      </w:r>
      <w:r w:rsidRPr="002C5541">
        <w:rPr>
          <w:lang w:val="pl-PL"/>
        </w:rPr>
        <w:t xml:space="preserve"> spowodowan</w:t>
      </w:r>
      <w:r>
        <w:rPr>
          <w:lang w:val="pl-PL"/>
        </w:rPr>
        <w:t>a</w:t>
      </w:r>
      <w:r w:rsidRPr="002C5541">
        <w:rPr>
          <w:lang w:val="pl-PL"/>
        </w:rPr>
        <w:t xml:space="preserve"> rzekomo przez</w:t>
      </w:r>
      <w:r>
        <w:rPr>
          <w:lang w:val="pl-PL"/>
        </w:rPr>
        <w:t xml:space="preserve"> </w:t>
      </w:r>
      <w:r w:rsidRPr="002C5541">
        <w:rPr>
          <w:lang w:val="pl-PL"/>
        </w:rPr>
        <w:t xml:space="preserve">przedstawiciela Umawiającego się Państwa </w:t>
      </w:r>
      <w:r>
        <w:rPr>
          <w:lang w:val="pl-PL"/>
        </w:rPr>
        <w:t xml:space="preserve">w wyniku </w:t>
      </w:r>
      <w:r w:rsidRPr="002C5541">
        <w:rPr>
          <w:lang w:val="pl-PL"/>
        </w:rPr>
        <w:t>spraw</w:t>
      </w:r>
      <w:r>
        <w:rPr>
          <w:lang w:val="pl-PL"/>
        </w:rPr>
        <w:t xml:space="preserve">owania przez niego </w:t>
      </w:r>
      <w:r w:rsidRPr="002C5541">
        <w:rPr>
          <w:lang w:val="pl-PL"/>
        </w:rPr>
        <w:t>władz</w:t>
      </w:r>
      <w:r>
        <w:rPr>
          <w:lang w:val="pl-PL"/>
        </w:rPr>
        <w:t>y</w:t>
      </w:r>
      <w:r w:rsidRPr="002C5541">
        <w:rPr>
          <w:lang w:val="pl-PL"/>
        </w:rPr>
        <w:t xml:space="preserve"> i kontrol</w:t>
      </w:r>
      <w:r>
        <w:rPr>
          <w:lang w:val="pl-PL"/>
        </w:rPr>
        <w:t>i</w:t>
      </w:r>
      <w:r w:rsidRPr="002C5541">
        <w:rPr>
          <w:lang w:val="pl-PL"/>
        </w:rPr>
        <w:t xml:space="preserve"> (zob. </w:t>
      </w:r>
      <w:r w:rsidRPr="002C5541">
        <w:rPr>
          <w:i/>
          <w:iCs/>
          <w:lang w:val="pl-PL"/>
        </w:rPr>
        <w:t>A</w:t>
      </w:r>
      <w:r w:rsidRPr="002C5541">
        <w:rPr>
          <w:i/>
          <w:iCs/>
          <w:color w:val="000000"/>
          <w:lang w:val="pl-PL"/>
        </w:rPr>
        <w:t>l-Skeini i inni</w:t>
      </w:r>
      <w:r w:rsidRPr="002C5541">
        <w:rPr>
          <w:color w:val="000000"/>
          <w:lang w:val="pl-PL"/>
        </w:rPr>
        <w:t xml:space="preserve">, </w:t>
      </w:r>
      <w:r w:rsidRPr="0044466A">
        <w:rPr>
          <w:color w:val="000000"/>
          <w:lang w:val="pl-PL"/>
        </w:rPr>
        <w:t>wyrok cytowany powyże</w:t>
      </w:r>
      <w:r>
        <w:rPr>
          <w:color w:val="000000"/>
          <w:lang w:val="pl-PL"/>
        </w:rPr>
        <w:t>j</w:t>
      </w:r>
      <w:r w:rsidRPr="002C5541">
        <w:rPr>
          <w:color w:val="000000"/>
          <w:lang w:val="pl-PL"/>
        </w:rPr>
        <w:t>, §§</w:t>
      </w:r>
      <w:r>
        <w:rPr>
          <w:color w:val="000000"/>
          <w:lang w:val="pl-PL"/>
        </w:rPr>
        <w:t xml:space="preserve"> </w:t>
      </w:r>
      <w:r w:rsidRPr="002C5541">
        <w:rPr>
          <w:color w:val="000000"/>
          <w:lang w:val="pl-PL"/>
        </w:rPr>
        <w:t xml:space="preserve">149-50; </w:t>
      </w:r>
      <w:r w:rsidRPr="002C5541">
        <w:rPr>
          <w:i/>
          <w:iCs/>
          <w:lang w:val="pl-PL"/>
        </w:rPr>
        <w:t>Jaloud przeciwko</w:t>
      </w:r>
      <w:r w:rsidRPr="002C5541">
        <w:rPr>
          <w:lang w:val="pl-PL"/>
        </w:rPr>
        <w:t xml:space="preserve"> </w:t>
      </w:r>
      <w:r w:rsidRPr="002C5541">
        <w:rPr>
          <w:i/>
          <w:iCs/>
          <w:lang w:val="pl-PL"/>
        </w:rPr>
        <w:t xml:space="preserve">Królestwu Niderlandów </w:t>
      </w:r>
      <w:r w:rsidRPr="002C5541">
        <w:rPr>
          <w:lang w:val="pl-PL"/>
        </w:rPr>
        <w:t>[GC]</w:t>
      </w:r>
      <w:r w:rsidRPr="002C5541">
        <w:rPr>
          <w:snapToGrid w:val="0"/>
          <w:lang w:val="pl-PL"/>
        </w:rPr>
        <w:t xml:space="preserve">, </w:t>
      </w:r>
      <w:r w:rsidRPr="002C5541">
        <w:rPr>
          <w:lang w:val="pl-PL"/>
        </w:rPr>
        <w:t xml:space="preserve">nr 47708/08, § 152, ETPC 2014; oraz </w:t>
      </w:r>
      <w:r w:rsidRPr="002C5541">
        <w:rPr>
          <w:i/>
          <w:iCs/>
          <w:lang w:val="pl-PL"/>
        </w:rPr>
        <w:t>Isaak v. Turkey</w:t>
      </w:r>
      <w:r w:rsidRPr="002C5541">
        <w:rPr>
          <w:lang w:val="pl-PL"/>
        </w:rPr>
        <w:t>, nr 44587/98, §§ 121-25, 24 czerwca 2008 r., a także decyzja z dnia 28 września 2006 r. dotycząca strefy buforowej ONZ na Cyprze). We wszystkich tych przypadkach występował oczywisty związek jurysdykcyjny na potrzeby art. 1 między zmarłym a pozwanym Państwem.</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181</w:t>
      </w:r>
      <w:r w:rsidRPr="002C5541">
        <w:rPr>
          <w:lang w:val="pl-PL"/>
        </w:rPr>
        <w:fldChar w:fldCharType="end"/>
      </w:r>
      <w:r w:rsidRPr="002C5541">
        <w:rPr>
          <w:lang w:val="pl-PL"/>
        </w:rPr>
        <w:t>.</w:t>
      </w:r>
      <w:r>
        <w:rPr>
          <w:lang w:val="pl-PL"/>
        </w:rPr>
        <w:t xml:space="preserve"> </w:t>
      </w:r>
      <w:r w:rsidRPr="002C5541">
        <w:rPr>
          <w:lang w:val="pl-PL"/>
        </w:rPr>
        <w:t xml:space="preserve">Do tej pory było bardzo niewiele spraw, w których Trybunał miałby rozpatrzeć skargę na podstawie art. 2 </w:t>
      </w:r>
      <w:r w:rsidRPr="009170B5">
        <w:rPr>
          <w:lang w:val="pl-PL"/>
        </w:rPr>
        <w:t xml:space="preserve">w aspekcie proceduralnym </w:t>
      </w:r>
      <w:r w:rsidRPr="002C5541">
        <w:rPr>
          <w:lang w:val="pl-PL"/>
        </w:rPr>
        <w:t xml:space="preserve">w przypadku, gdy </w:t>
      </w:r>
      <w:r>
        <w:rPr>
          <w:lang w:val="pl-PL"/>
        </w:rPr>
        <w:t xml:space="preserve">śmierć </w:t>
      </w:r>
      <w:r w:rsidRPr="002C5541">
        <w:rPr>
          <w:lang w:val="pl-PL"/>
        </w:rPr>
        <w:t>miał</w:t>
      </w:r>
      <w:r>
        <w:rPr>
          <w:lang w:val="pl-PL"/>
        </w:rPr>
        <w:t>a</w:t>
      </w:r>
      <w:r w:rsidRPr="002C5541">
        <w:rPr>
          <w:lang w:val="pl-PL"/>
        </w:rPr>
        <w:t xml:space="preserve"> miejsce pod inną jurysdykcją niż jurysdykcja Państwa, w stosunku do którego obowiązek proceduralny zazwyczaj powstaje.</w:t>
      </w:r>
    </w:p>
    <w:p w:rsidR="00110FEE" w:rsidRPr="002C5541" w:rsidRDefault="00110FEE" w:rsidP="009C206F">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182</w:t>
      </w:r>
      <w:r w:rsidRPr="002C5541">
        <w:rPr>
          <w:lang w:val="pl-PL"/>
        </w:rPr>
        <w:fldChar w:fldCharType="end"/>
      </w:r>
      <w:r w:rsidRPr="002C5541">
        <w:rPr>
          <w:lang w:val="pl-PL"/>
        </w:rPr>
        <w:t>.</w:t>
      </w:r>
      <w:r>
        <w:rPr>
          <w:lang w:val="pl-PL"/>
        </w:rPr>
        <w:t xml:space="preserve"> </w:t>
      </w:r>
      <w:r w:rsidRPr="002C5541">
        <w:rPr>
          <w:lang w:val="pl-PL"/>
        </w:rPr>
        <w:t xml:space="preserve">W sprawach </w:t>
      </w:r>
      <w:r w:rsidRPr="002C5541">
        <w:rPr>
          <w:i/>
          <w:iCs/>
          <w:lang w:val="pl-PL"/>
        </w:rPr>
        <w:t xml:space="preserve">O’Loughlin i inni </w:t>
      </w:r>
      <w:r w:rsidRPr="002C5541">
        <w:rPr>
          <w:lang w:val="pl-PL"/>
        </w:rPr>
        <w:t>(</w:t>
      </w:r>
      <w:r w:rsidRPr="0044466A">
        <w:rPr>
          <w:lang w:val="pl-PL"/>
        </w:rPr>
        <w:t>wyrok cytowany powyżej</w:t>
      </w:r>
      <w:r w:rsidRPr="002C5541">
        <w:rPr>
          <w:lang w:val="pl-PL"/>
        </w:rPr>
        <w:t xml:space="preserve">) oraz </w:t>
      </w:r>
      <w:r w:rsidRPr="002C5541">
        <w:rPr>
          <w:i/>
          <w:iCs/>
          <w:lang w:val="pl-PL"/>
        </w:rPr>
        <w:t xml:space="preserve">Cummins </w:t>
      </w:r>
      <w:r w:rsidRPr="002C5541">
        <w:rPr>
          <w:lang w:val="pl-PL"/>
        </w:rPr>
        <w:t>(</w:t>
      </w:r>
      <w:r w:rsidRPr="0044466A">
        <w:rPr>
          <w:lang w:val="pl-PL"/>
        </w:rPr>
        <w:t>wyrok cytowany powyżej</w:t>
      </w:r>
      <w:r w:rsidRPr="002C5541">
        <w:rPr>
          <w:lang w:val="pl-PL"/>
        </w:rPr>
        <w:t>),</w:t>
      </w:r>
      <w:r w:rsidRPr="002C5541">
        <w:rPr>
          <w:i/>
          <w:iCs/>
          <w:lang w:val="pl-PL"/>
        </w:rPr>
        <w:t xml:space="preserve"> </w:t>
      </w:r>
      <w:r w:rsidRPr="002C5541">
        <w:rPr>
          <w:lang w:val="pl-PL"/>
        </w:rPr>
        <w:t xml:space="preserve">które dotyczyły gwałtownej śmierci (na skutek zamachów bombowych) w Irlandii w wypadku, gdy podejrzani o popełnienie przestępstwa uciekli do Irlandii Północnej w Zjednoczonym Królestwie, Trybunał nie </w:t>
      </w:r>
      <w:r>
        <w:rPr>
          <w:lang w:val="pl-PL"/>
        </w:rPr>
        <w:t>przeanalizował bezpośrednio, czy skarga</w:t>
      </w:r>
      <w:r w:rsidRPr="002C5541">
        <w:rPr>
          <w:lang w:val="pl-PL"/>
        </w:rPr>
        <w:t xml:space="preserve"> przeciwko Zjednoczonemu Królestwu </w:t>
      </w:r>
      <w:r>
        <w:rPr>
          <w:lang w:val="pl-PL"/>
        </w:rPr>
        <w:t>jest zgodna</w:t>
      </w:r>
      <w:r w:rsidRPr="002C5541">
        <w:rPr>
          <w:lang w:val="pl-PL"/>
        </w:rPr>
        <w:t xml:space="preserve"> </w:t>
      </w:r>
      <w:r w:rsidRPr="002C5541">
        <w:rPr>
          <w:i/>
          <w:iCs/>
          <w:lang w:val="pl-PL"/>
        </w:rPr>
        <w:t>ratione loci</w:t>
      </w:r>
      <w:r w:rsidRPr="002C5541">
        <w:rPr>
          <w:lang w:val="pl-PL"/>
        </w:rPr>
        <w:t xml:space="preserve">, lecz </w:t>
      </w:r>
      <w:r>
        <w:rPr>
          <w:lang w:val="pl-PL"/>
        </w:rPr>
        <w:t>podał</w:t>
      </w:r>
      <w:r w:rsidRPr="002C5541">
        <w:rPr>
          <w:lang w:val="pl-PL"/>
        </w:rPr>
        <w:t xml:space="preserve"> ogólną zasadę </w:t>
      </w:r>
      <w:r>
        <w:rPr>
          <w:lang w:val="pl-PL"/>
        </w:rPr>
        <w:t xml:space="preserve">dotyczącą </w:t>
      </w:r>
      <w:r w:rsidRPr="002C5541">
        <w:rPr>
          <w:lang w:val="pl-PL"/>
        </w:rPr>
        <w:t>obowiązk</w:t>
      </w:r>
      <w:r>
        <w:rPr>
          <w:lang w:val="pl-PL"/>
        </w:rPr>
        <w:t>u</w:t>
      </w:r>
      <w:r w:rsidRPr="002C5541">
        <w:rPr>
          <w:lang w:val="pl-PL"/>
        </w:rPr>
        <w:t xml:space="preserve"> przeprowadzenia śledztwa w odniesieniu do zawinionych śmierci, jakie miały miejsce poza jurysdykcją pozwanego Państwa. W tym zakresie Trybunał miał okazję zauważyć, że w przypadku, gdy incydent bezprawnej przemocy prowadzący do utraty życia wiązał się z elementami transgranicznymi, władze Państwa, do którego sprawcy uciekli i w którym mogą znajdować się dowody przestępstwa, wymagane na podstawie art. 2 może być podjęcie skutecznych działań, jeśli to konieczne z własnej inicjatywy (zob. </w:t>
      </w:r>
      <w:r w:rsidRPr="002C5541">
        <w:rPr>
          <w:i/>
          <w:iCs/>
          <w:lang w:val="pl-PL"/>
        </w:rPr>
        <w:t xml:space="preserve">Cummins, </w:t>
      </w:r>
      <w:r w:rsidRPr="00AF52D0">
        <w:rPr>
          <w:lang w:val="pl-PL"/>
        </w:rPr>
        <w:t>wyrok cytowany powyżej</w:t>
      </w:r>
      <w:r w:rsidRPr="002C5541">
        <w:rPr>
          <w:lang w:val="pl-PL"/>
        </w:rPr>
        <w:t>). Trybunał uznał jednak skargi za niedopuszczalne, pierwszą z tego powodu, że skarga została wniesiona po upływie sześciomiesięcznego termin</w:t>
      </w:r>
      <w:r>
        <w:rPr>
          <w:lang w:val="pl-PL"/>
        </w:rPr>
        <w:t>u</w:t>
      </w:r>
      <w:r w:rsidRPr="002C5541">
        <w:rPr>
          <w:lang w:val="pl-PL"/>
        </w:rPr>
        <w:t>, zaś drugą – bowiem zarzuty uznano za oczywiście bezpodstawne.</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183</w:t>
      </w:r>
      <w:r w:rsidRPr="002C5541">
        <w:rPr>
          <w:lang w:val="pl-PL"/>
        </w:rPr>
        <w:fldChar w:fldCharType="end"/>
      </w:r>
      <w:r w:rsidRPr="002C5541">
        <w:rPr>
          <w:lang w:val="pl-PL"/>
        </w:rPr>
        <w:t>.</w:t>
      </w:r>
      <w:r>
        <w:rPr>
          <w:lang w:val="pl-PL"/>
        </w:rPr>
        <w:t xml:space="preserve"> </w:t>
      </w:r>
      <w:r w:rsidRPr="002C5541">
        <w:rPr>
          <w:lang w:val="pl-PL"/>
        </w:rPr>
        <w:t xml:space="preserve">W sprawie </w:t>
      </w:r>
      <w:r w:rsidRPr="002C5541">
        <w:rPr>
          <w:i/>
          <w:iCs/>
          <w:lang w:val="pl-PL"/>
        </w:rPr>
        <w:t>Rantsev</w:t>
      </w:r>
      <w:r w:rsidRPr="002C5541">
        <w:rPr>
          <w:lang w:val="pl-PL"/>
        </w:rPr>
        <w:t xml:space="preserve"> (</w:t>
      </w:r>
      <w:r>
        <w:rPr>
          <w:lang w:val="pl-PL"/>
        </w:rPr>
        <w:t>wyrok cytowany</w:t>
      </w:r>
      <w:r w:rsidRPr="002C5541">
        <w:rPr>
          <w:lang w:val="pl-PL"/>
        </w:rPr>
        <w:t xml:space="preserve"> powyżej, §§ 205-08)</w:t>
      </w:r>
      <w:r w:rsidRPr="002C5541">
        <w:rPr>
          <w:i/>
          <w:iCs/>
          <w:lang w:val="pl-PL"/>
        </w:rPr>
        <w:t xml:space="preserve">, </w:t>
      </w:r>
      <w:r w:rsidRPr="002C5541">
        <w:rPr>
          <w:lang w:val="pl-PL"/>
        </w:rPr>
        <w:t xml:space="preserve">Trybunał rozpatrzył </w:t>
      </w:r>
      <w:r>
        <w:rPr>
          <w:lang w:val="pl-PL"/>
        </w:rPr>
        <w:t>zarzut</w:t>
      </w:r>
      <w:r w:rsidRPr="002C5541">
        <w:rPr>
          <w:lang w:val="pl-PL"/>
        </w:rPr>
        <w:t xml:space="preserve"> wniesion</w:t>
      </w:r>
      <w:r>
        <w:rPr>
          <w:lang w:val="pl-PL"/>
        </w:rPr>
        <w:t>y</w:t>
      </w:r>
      <w:r w:rsidRPr="002C5541">
        <w:rPr>
          <w:lang w:val="pl-PL"/>
        </w:rPr>
        <w:t xml:space="preserve"> przez Rząd Rosyjski na niezgodność </w:t>
      </w:r>
      <w:r w:rsidRPr="002C5541">
        <w:rPr>
          <w:i/>
          <w:iCs/>
          <w:lang w:val="pl-PL"/>
        </w:rPr>
        <w:t>ratione loci</w:t>
      </w:r>
      <w:r w:rsidRPr="002C5541">
        <w:rPr>
          <w:lang w:val="pl-PL"/>
        </w:rPr>
        <w:t>, opart</w:t>
      </w:r>
      <w:r>
        <w:rPr>
          <w:lang w:val="pl-PL"/>
        </w:rPr>
        <w:t>y</w:t>
      </w:r>
      <w:r w:rsidRPr="002C5541">
        <w:rPr>
          <w:lang w:val="pl-PL"/>
        </w:rPr>
        <w:t xml:space="preserve"> na fakcie, że wydarzenia stanowiące podstawę skargi (m.in. śmierć ofiary) miały miejsce poza jego terytorium. Trybunał ograniczył się do stwierdzenia, że skarga złożona przez skarżących przeciwko Rosji na podstawie art. 2 dotyczyła faktu, że Rosja nie podjęła czynności dochodzeniowych, w tym nie zabezpieczyła dowodów </w:t>
      </w:r>
      <w:r>
        <w:rPr>
          <w:lang w:val="pl-PL"/>
        </w:rPr>
        <w:t>ze</w:t>
      </w:r>
      <w:r w:rsidRPr="002C5541">
        <w:rPr>
          <w:lang w:val="pl-PL"/>
        </w:rPr>
        <w:t xml:space="preserve"> świadk</w:t>
      </w:r>
      <w:r>
        <w:rPr>
          <w:lang w:val="pl-PL"/>
        </w:rPr>
        <w:t xml:space="preserve">ów </w:t>
      </w:r>
      <w:r w:rsidRPr="002C5541">
        <w:rPr>
          <w:lang w:val="pl-PL"/>
        </w:rPr>
        <w:t>zamieszkały</w:t>
      </w:r>
      <w:r>
        <w:rPr>
          <w:lang w:val="pl-PL"/>
        </w:rPr>
        <w:t>ch</w:t>
      </w:r>
      <w:r w:rsidRPr="002C5541">
        <w:rPr>
          <w:lang w:val="pl-PL"/>
        </w:rPr>
        <w:t xml:space="preserve"> w Rosji. Jakkolwiek zakres jakichkolwiek obowiązków proceduralnych spoczywających na Rosji na podstawie art. 2 pozostawiono do rozstrzygnięcia merytorycznego, Trybunał przyjął, że skarga jest zgodna </w:t>
      </w:r>
      <w:r w:rsidRPr="002C5541">
        <w:rPr>
          <w:i/>
          <w:iCs/>
          <w:lang w:val="pl-PL"/>
        </w:rPr>
        <w:t xml:space="preserve">ratione loci </w:t>
      </w:r>
      <w:r w:rsidRPr="002C5541">
        <w:rPr>
          <w:lang w:val="pl-PL"/>
        </w:rPr>
        <w:t xml:space="preserve">(tamże, §§ 208 i 212). Analizując skargę na podstawie art. 2 pod względem merytorycznym, Trybunał zauważył, że śmierć miała miejsce na Cyprze i że co do zasady obowiązek zapewnienia skutecznego dochodzenia dotyczył wyłącznie Cypru (tamże, § 243, stosuje się </w:t>
      </w:r>
      <w:r w:rsidRPr="002C5541">
        <w:rPr>
          <w:i/>
          <w:iCs/>
          <w:lang w:val="pl-PL"/>
        </w:rPr>
        <w:t xml:space="preserve">mutatis mutandis </w:t>
      </w:r>
      <w:r w:rsidRPr="002C5541">
        <w:rPr>
          <w:lang w:val="pl-PL"/>
        </w:rPr>
        <w:t xml:space="preserve">do </w:t>
      </w:r>
      <w:r w:rsidRPr="002C5541">
        <w:rPr>
          <w:i/>
          <w:iCs/>
          <w:lang w:val="pl-PL"/>
        </w:rPr>
        <w:t>Al-Adsani przeciwko Zjednoczonemu Królestwu</w:t>
      </w:r>
      <w:r w:rsidRPr="002C5541">
        <w:rPr>
          <w:lang w:val="pl-PL"/>
        </w:rPr>
        <w:t xml:space="preserve"> [GC], nr 35763/97, § 38, ETPC 2001</w:t>
      </w:r>
      <w:r w:rsidRPr="002C5541">
        <w:rPr>
          <w:lang w:val="pl-PL"/>
        </w:rPr>
        <w:noBreakHyphen/>
        <w:t xml:space="preserve">XI, </w:t>
      </w:r>
      <w:r>
        <w:rPr>
          <w:lang w:val="pl-PL"/>
        </w:rPr>
        <w:t>skarga dotyczyła</w:t>
      </w:r>
      <w:r w:rsidRPr="002C5541">
        <w:rPr>
          <w:lang w:val="pl-PL"/>
        </w:rPr>
        <w:t xml:space="preserve"> art. 3). Niemniej jednak Trybunał uznał, że „cechy szczególne” w danej sprawie mogłyby uzasadnić odejście od tego ogólnego podejścia. Stwierdził ponadto, że obywatelstwo rosyjskie zmarłego nie kwalifikowało się jako taka „cecha szczególna”, a zatem Rosja nie posiada „niezależnego” obowiązku na podstawie art. 2 do przeprowadzenia śledztwa w sprawie śmierci (tamże, § 244).</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184</w:t>
      </w:r>
      <w:r w:rsidRPr="002C5541">
        <w:rPr>
          <w:lang w:val="pl-PL"/>
        </w:rPr>
        <w:fldChar w:fldCharType="end"/>
      </w:r>
      <w:r w:rsidRPr="002C5541">
        <w:rPr>
          <w:lang w:val="pl-PL"/>
        </w:rPr>
        <w:t>.</w:t>
      </w:r>
      <w:r>
        <w:rPr>
          <w:lang w:val="pl-PL"/>
        </w:rPr>
        <w:t xml:space="preserve"> </w:t>
      </w:r>
      <w:r w:rsidRPr="002C5541">
        <w:rPr>
          <w:lang w:val="pl-PL"/>
        </w:rPr>
        <w:t xml:space="preserve">W sprawie </w:t>
      </w:r>
      <w:r w:rsidRPr="002C5541">
        <w:rPr>
          <w:i/>
          <w:iCs/>
          <w:lang w:val="pl-PL"/>
        </w:rPr>
        <w:t>Emin i inni</w:t>
      </w:r>
      <w:r w:rsidRPr="002C5541">
        <w:rPr>
          <w:lang w:val="pl-PL"/>
        </w:rPr>
        <w:t xml:space="preserve"> (</w:t>
      </w:r>
      <w:r w:rsidRPr="009170B5">
        <w:rPr>
          <w:lang w:val="pl-PL"/>
        </w:rPr>
        <w:t>wyrok cytowany powyżej</w:t>
      </w:r>
      <w:r w:rsidRPr="002C5541">
        <w:rPr>
          <w:lang w:val="pl-PL"/>
        </w:rPr>
        <w:t xml:space="preserve">) skarżący podnieśli zarzut, że doszło do naruszenia art. 2 </w:t>
      </w:r>
      <w:r>
        <w:rPr>
          <w:lang w:val="pl-PL"/>
        </w:rPr>
        <w:t xml:space="preserve">w </w:t>
      </w:r>
      <w:r w:rsidRPr="009170B5">
        <w:rPr>
          <w:lang w:val="pl-PL"/>
        </w:rPr>
        <w:t>aspek</w:t>
      </w:r>
      <w:r>
        <w:rPr>
          <w:lang w:val="pl-PL"/>
        </w:rPr>
        <w:t>cie</w:t>
      </w:r>
      <w:r w:rsidRPr="009170B5">
        <w:rPr>
          <w:lang w:val="pl-PL"/>
        </w:rPr>
        <w:t xml:space="preserve"> proceduralny</w:t>
      </w:r>
      <w:r>
        <w:rPr>
          <w:lang w:val="pl-PL"/>
        </w:rPr>
        <w:t>m</w:t>
      </w:r>
      <w:r w:rsidRPr="009170B5">
        <w:rPr>
          <w:lang w:val="pl-PL"/>
        </w:rPr>
        <w:t xml:space="preserve"> </w:t>
      </w:r>
      <w:r w:rsidRPr="002C5541">
        <w:rPr>
          <w:lang w:val="pl-PL"/>
        </w:rPr>
        <w:t xml:space="preserve">w tym zakresie, że Zjednoczone Królestwo nie </w:t>
      </w:r>
      <w:r>
        <w:rPr>
          <w:lang w:val="pl-PL"/>
        </w:rPr>
        <w:t>prze</w:t>
      </w:r>
      <w:r w:rsidRPr="002C5541">
        <w:rPr>
          <w:lang w:val="pl-PL"/>
        </w:rPr>
        <w:t xml:space="preserve">prowadziło śledztwa w sprawie zniknięcia ich krewnych na Cyprze, chociaż ofiary posiadały paszporty brytyjskie i pracowały na </w:t>
      </w:r>
      <w:r>
        <w:rPr>
          <w:lang w:val="pl-PL"/>
        </w:rPr>
        <w:t xml:space="preserve">obszarze </w:t>
      </w:r>
      <w:r w:rsidRPr="002C5541">
        <w:rPr>
          <w:lang w:val="pl-PL"/>
        </w:rPr>
        <w:t>suwerennych stref brytyjskich na Cyprze. Trybunał powtórzył, że co do zasady obowiązek proceduralny na podstawie art. 2 spoczywa na pozwanym Państwie, pod którego jurysdykcją osoba została znaleziona w chwili śmierci. W tej konkretnej sprawie nie zauważył żadnych szczególnych czynników, które prowadziłyby do nałożenia na Zjednoczone Królestwo obowiązku przeprowadzenia swojego własnego śledztwa w sprawie zniknięcia, które miało miejsce na terytorium i pod jurysdykcją Republiki Cypr</w:t>
      </w:r>
      <w:r>
        <w:rPr>
          <w:lang w:val="pl-PL"/>
        </w:rPr>
        <w:t>yjskiej</w:t>
      </w:r>
      <w:r w:rsidRPr="002C5541">
        <w:rPr>
          <w:lang w:val="pl-PL"/>
        </w:rPr>
        <w:t xml:space="preserve">. Z tego powodu Trybunał orzekł, że ta część skargi nie jest zgodna </w:t>
      </w:r>
      <w:r w:rsidRPr="002C5541">
        <w:rPr>
          <w:i/>
          <w:iCs/>
          <w:lang w:val="pl-PL"/>
        </w:rPr>
        <w:t xml:space="preserve">ratione personae </w:t>
      </w:r>
      <w:r w:rsidRPr="002C5541">
        <w:rPr>
          <w:lang w:val="pl-PL"/>
        </w:rPr>
        <w:t>i</w:t>
      </w:r>
      <w:r w:rsidRPr="002C5541">
        <w:rPr>
          <w:i/>
          <w:iCs/>
          <w:lang w:val="pl-PL"/>
        </w:rPr>
        <w:t xml:space="preserve"> ratione materiae.</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185</w:t>
      </w:r>
      <w:r w:rsidRPr="002C5541">
        <w:rPr>
          <w:lang w:val="pl-PL"/>
        </w:rPr>
        <w:fldChar w:fldCharType="end"/>
      </w:r>
      <w:r w:rsidRPr="002C5541">
        <w:rPr>
          <w:lang w:val="pl-PL"/>
        </w:rPr>
        <w:t>.</w:t>
      </w:r>
      <w:r>
        <w:rPr>
          <w:lang w:val="pl-PL"/>
        </w:rPr>
        <w:t xml:space="preserve"> </w:t>
      </w:r>
      <w:r w:rsidRPr="002C5541">
        <w:rPr>
          <w:lang w:val="pl-PL"/>
        </w:rPr>
        <w:t xml:space="preserve">W sprawie </w:t>
      </w:r>
      <w:r w:rsidRPr="002C5541">
        <w:rPr>
          <w:i/>
          <w:iCs/>
          <w:lang w:val="pl-PL"/>
        </w:rPr>
        <w:t xml:space="preserve">Gray przeciwko Niemcom </w:t>
      </w:r>
      <w:r w:rsidRPr="002C5541">
        <w:rPr>
          <w:snapToGrid w:val="0"/>
          <w:lang w:val="pl-PL"/>
        </w:rPr>
        <w:t xml:space="preserve">(nr </w:t>
      </w:r>
      <w:r w:rsidRPr="002C5541">
        <w:rPr>
          <w:lang w:val="pl-PL"/>
        </w:rPr>
        <w:t xml:space="preserve">49278/09, 22 maja 2014 r.) sądy niemieckie </w:t>
      </w:r>
      <w:r>
        <w:rPr>
          <w:lang w:val="pl-PL"/>
        </w:rPr>
        <w:t>wykonywały</w:t>
      </w:r>
      <w:r w:rsidRPr="002C5541">
        <w:rPr>
          <w:lang w:val="pl-PL"/>
        </w:rPr>
        <w:t xml:space="preserve"> jurysdykcję karną nad obywatelem niemieckim, który popełnił przestępstwo zaniedbania medycznego w Zjednoczonym Królestwie, co w efekcie uniemożliwiło sądzenie go za to samo przestępstwo w Zjednoczonym Królestwie zgodnie z europejskim nakazem aresztowania. Skarżący zarzucili, że prowadząc postępowanie w sprawie w trybie przyspieszonym, Niemcy nie zrealizowały ciążącego na nich obowiązku proceduralnego, podczas gdy Zjednoczone Królestwo nie podjęło koniecznych działań, żeby zapewnić przeprowadzenie postępowania w Zjednoczonym Królestwie, gdzie </w:t>
      </w:r>
      <w:r>
        <w:rPr>
          <w:lang w:val="pl-PL"/>
        </w:rPr>
        <w:t xml:space="preserve">podejrzany </w:t>
      </w:r>
      <w:r w:rsidRPr="002C5541">
        <w:rPr>
          <w:lang w:val="pl-PL"/>
        </w:rPr>
        <w:t xml:space="preserve">mógł otrzymać surowszą karę. Trybunał nie zbadał kwestii właściwości </w:t>
      </w:r>
      <w:r w:rsidRPr="00DE442E">
        <w:rPr>
          <w:i/>
          <w:iCs/>
          <w:lang w:val="pl-PL"/>
        </w:rPr>
        <w:t>ratione loci</w:t>
      </w:r>
      <w:r w:rsidRPr="002C5541">
        <w:rPr>
          <w:lang w:val="pl-PL"/>
        </w:rPr>
        <w:t xml:space="preserve"> w odniesieniu do Niemiec i przeszedł do </w:t>
      </w:r>
      <w:r>
        <w:rPr>
          <w:lang w:val="pl-PL"/>
        </w:rPr>
        <w:t>rozważenia</w:t>
      </w:r>
      <w:r w:rsidRPr="002C5541">
        <w:rPr>
          <w:lang w:val="pl-PL"/>
        </w:rPr>
        <w:t>, czy Niemcy zrealizowały swój obowiązek proceduralny na podstawie art. 2, w sposób dorozumiany przyjmując, że wszczęcie postępowania karnego z inicjatywy władz niemieckich było wystarczające, żeby ustanowić związek jurysdykcyjny na potrzeby art. 1.</w:t>
      </w:r>
    </w:p>
    <w:p w:rsidR="00110FEE" w:rsidRPr="002C5541" w:rsidRDefault="00110FEE" w:rsidP="00F25813">
      <w:pPr>
        <w:pStyle w:val="ECHRPara"/>
        <w:rPr>
          <w:snapToGrid w:val="0"/>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186</w:t>
      </w:r>
      <w:r w:rsidRPr="002C5541">
        <w:rPr>
          <w:lang w:val="pl-PL"/>
        </w:rPr>
        <w:fldChar w:fldCharType="end"/>
      </w:r>
      <w:r w:rsidRPr="002C5541">
        <w:rPr>
          <w:lang w:val="pl-PL"/>
        </w:rPr>
        <w:t>.</w:t>
      </w:r>
      <w:r>
        <w:rPr>
          <w:lang w:val="pl-PL"/>
        </w:rPr>
        <w:t xml:space="preserve"> </w:t>
      </w:r>
      <w:r w:rsidRPr="002C5541">
        <w:rPr>
          <w:lang w:val="pl-PL"/>
        </w:rPr>
        <w:t xml:space="preserve">W sprawie </w:t>
      </w:r>
      <w:r w:rsidRPr="002C5541">
        <w:rPr>
          <w:i/>
          <w:iCs/>
          <w:lang w:val="pl-PL"/>
        </w:rPr>
        <w:t>Aliyeva i Aliyev przeciwko Azerbejdżanowi</w:t>
      </w:r>
      <w:r w:rsidRPr="002C5541">
        <w:rPr>
          <w:lang w:val="pl-PL"/>
        </w:rPr>
        <w:t xml:space="preserve"> (</w:t>
      </w:r>
      <w:r w:rsidRPr="00152F12">
        <w:rPr>
          <w:lang w:val="pl-PL"/>
        </w:rPr>
        <w:t>wyrok cytowany powyżej</w:t>
      </w:r>
      <w:r w:rsidRPr="002C5541">
        <w:rPr>
          <w:snapToGrid w:val="0"/>
          <w:lang w:val="pl-PL"/>
        </w:rPr>
        <w:t xml:space="preserve">, §§ 56-57) Trybunał rozpatrzył skargę wniesioną przez rodziców obywatela Azerbejdżanu, zabitego na Ukrainie w okolicznościach, w których brali udział dwaj inni obywatele Azerbejdżanu. W oparciu o umowę wzajemnego wsparcia prawnego między Ukrainą i Azerbejdżanem sprawa została skierowana do Azerbejdżanu, lecz władze Azerbejdżanu zaprzestały dalszych działań przeciwko podejrzanym ze względu na brak dowodów. Trybunał podniósł z własnej inicjatywy kwestię jurysdykcji </w:t>
      </w:r>
      <w:r w:rsidRPr="002C5541">
        <w:rPr>
          <w:i/>
          <w:iCs/>
          <w:snapToGrid w:val="0"/>
          <w:lang w:val="pl-PL"/>
        </w:rPr>
        <w:t xml:space="preserve">ratione loci, </w:t>
      </w:r>
      <w:r w:rsidRPr="002C5541">
        <w:rPr>
          <w:snapToGrid w:val="0"/>
          <w:lang w:val="pl-PL"/>
        </w:rPr>
        <w:t>wskazując, że „niezależnie od tego, gdzie doszło do śmierci, w przypadku gdy Azerbejdżan przyjął na siebie obowiązek przeprowadzenia śledztwa zgodnie z Konwencją Mińską z 1993 r. i zgodził się kontynuować śledztwo rozpoczęte przez władze ukraińskie, miał obowiązek przeprowadzić takie śledztwo zgodnie z obowiązkami proceduralnymi wynikającymi z art. 2” (tamże, § 57). Oznaczało to, że Azerbejdżan</w:t>
      </w:r>
      <w:r>
        <w:rPr>
          <w:snapToGrid w:val="0"/>
          <w:lang w:val="pl-PL"/>
        </w:rPr>
        <w:t xml:space="preserve"> będzie miał </w:t>
      </w:r>
      <w:r w:rsidRPr="00BB244D">
        <w:rPr>
          <w:snapToGrid w:val="0"/>
          <w:lang w:val="pl-PL"/>
        </w:rPr>
        <w:t>jurysdykcj</w:t>
      </w:r>
      <w:r>
        <w:rPr>
          <w:snapToGrid w:val="0"/>
          <w:lang w:val="pl-PL"/>
        </w:rPr>
        <w:t>ę</w:t>
      </w:r>
      <w:r w:rsidRPr="002C5541">
        <w:rPr>
          <w:snapToGrid w:val="0"/>
          <w:lang w:val="pl-PL"/>
        </w:rPr>
        <w:t xml:space="preserve"> na podstawie art. 1 tylko w tym zakresie, w jakim władze Azerbejdżanu zdecydowały się o przejęciu ścigania w sprawie od Ukrainy zgodnie z obowiązującym traktatem międzynarodowym i właściwym prawem krajowym</w:t>
      </w:r>
      <w:r>
        <w:rPr>
          <w:snapToGrid w:val="0"/>
          <w:lang w:val="pl-PL"/>
        </w:rPr>
        <w:t xml:space="preserve"> </w:t>
      </w:r>
      <w:r w:rsidRPr="00BB244D">
        <w:rPr>
          <w:snapToGrid w:val="0"/>
          <w:lang w:val="pl-PL"/>
        </w:rPr>
        <w:t>Azerbejdżanu</w:t>
      </w:r>
      <w:r w:rsidRPr="002C5541">
        <w:rPr>
          <w:snapToGrid w:val="0"/>
          <w:lang w:val="pl-PL"/>
        </w:rPr>
        <w:t>.</w:t>
      </w:r>
    </w:p>
    <w:p w:rsidR="00110FEE" w:rsidRPr="002C5541" w:rsidRDefault="00110FEE" w:rsidP="00F25813">
      <w:pPr>
        <w:pStyle w:val="ECHRPara"/>
        <w:rPr>
          <w:snapToGrid w:val="0"/>
          <w:lang w:val="pl-PL"/>
        </w:rPr>
      </w:pPr>
      <w:r w:rsidRPr="002C5541">
        <w:rPr>
          <w:snapToGrid w:val="0"/>
          <w:lang w:val="pl-PL"/>
        </w:rPr>
        <w:fldChar w:fldCharType="begin"/>
      </w:r>
      <w:r w:rsidRPr="002C5541">
        <w:rPr>
          <w:snapToGrid w:val="0"/>
          <w:lang w:val="pl-PL"/>
        </w:rPr>
        <w:instrText xml:space="preserve"> SEQ level0 \*arabic </w:instrText>
      </w:r>
      <w:r w:rsidRPr="002C5541">
        <w:rPr>
          <w:snapToGrid w:val="0"/>
          <w:lang w:val="pl-PL"/>
        </w:rPr>
        <w:fldChar w:fldCharType="separate"/>
      </w:r>
      <w:r w:rsidRPr="002C5541">
        <w:rPr>
          <w:noProof/>
          <w:snapToGrid w:val="0"/>
          <w:lang w:val="pl-PL"/>
        </w:rPr>
        <w:t>187</w:t>
      </w:r>
      <w:r w:rsidRPr="002C5541">
        <w:rPr>
          <w:snapToGrid w:val="0"/>
          <w:lang w:val="pl-PL"/>
        </w:rPr>
        <w:fldChar w:fldCharType="end"/>
      </w:r>
      <w:r w:rsidRPr="002C5541">
        <w:rPr>
          <w:snapToGrid w:val="0"/>
          <w:lang w:val="pl-PL"/>
        </w:rPr>
        <w:t>.</w:t>
      </w:r>
      <w:r>
        <w:rPr>
          <w:snapToGrid w:val="0"/>
          <w:lang w:val="pl-PL"/>
        </w:rPr>
        <w:t xml:space="preserve"> </w:t>
      </w:r>
      <w:r w:rsidRPr="002C5541">
        <w:rPr>
          <w:snapToGrid w:val="0"/>
          <w:lang w:val="pl-PL"/>
        </w:rPr>
        <w:t xml:space="preserve">Trybunał zauważa, że oba pozwane Rządy, w swoich stanowiskach przedstawionych Wielkiej Izbie, odwołały się do sprawy </w:t>
      </w:r>
      <w:r w:rsidRPr="002C5541">
        <w:rPr>
          <w:i/>
          <w:iCs/>
          <w:snapToGrid w:val="0"/>
          <w:lang w:val="pl-PL"/>
        </w:rPr>
        <w:t xml:space="preserve">Markovic i inni </w:t>
      </w:r>
      <w:r w:rsidRPr="002C5541">
        <w:rPr>
          <w:snapToGrid w:val="0"/>
          <w:lang w:val="pl-PL"/>
        </w:rPr>
        <w:t>(</w:t>
      </w:r>
      <w:r w:rsidRPr="00152F12">
        <w:rPr>
          <w:snapToGrid w:val="0"/>
          <w:lang w:val="pl-PL"/>
        </w:rPr>
        <w:t>wyrok cytowany powyżej</w:t>
      </w:r>
      <w:r w:rsidRPr="002C5541">
        <w:rPr>
          <w:snapToGrid w:val="0"/>
          <w:lang w:val="pl-PL"/>
        </w:rPr>
        <w:t xml:space="preserve">), dotyczącej skargi na podstawie art. 6. W wydanym wyroku Wielka Izba zbadała zastrzeżenie pozwanego Rządu wskazujące niezgodność </w:t>
      </w:r>
      <w:r w:rsidRPr="002C5541">
        <w:rPr>
          <w:i/>
          <w:iCs/>
          <w:snapToGrid w:val="0"/>
          <w:lang w:val="pl-PL"/>
        </w:rPr>
        <w:t xml:space="preserve">ratione loci </w:t>
      </w:r>
      <w:r>
        <w:rPr>
          <w:snapToGrid w:val="0"/>
          <w:lang w:val="pl-PL"/>
        </w:rPr>
        <w:t xml:space="preserve">opierające się na </w:t>
      </w:r>
      <w:r w:rsidRPr="002C5541">
        <w:rPr>
          <w:snapToGrid w:val="0"/>
          <w:lang w:val="pl-PL"/>
        </w:rPr>
        <w:t>fak</w:t>
      </w:r>
      <w:r>
        <w:rPr>
          <w:snapToGrid w:val="0"/>
          <w:lang w:val="pl-PL"/>
        </w:rPr>
        <w:t>cie</w:t>
      </w:r>
      <w:r w:rsidRPr="002C5541">
        <w:rPr>
          <w:snapToGrid w:val="0"/>
          <w:lang w:val="pl-PL"/>
        </w:rPr>
        <w:t xml:space="preserve">, że pozew cywilny wniesiony przez skarżących do sądów włoskich dotyczył wydarzeń o charakterze eksterytorialnym (nalot sił NATO w Federalnej Republice Jugosławii). Trybunał oddalił zastrzeżenie i wskazał, że w momencie, gdy dana osoba wniosła pozew cywilny do sądów lub trybunałów Państwa, bez wątpienia występował „związek jurysdykcyjny” na potrzeby art. 1 (tamże, §§ 54-56). Orzekł również, że eksterytorialny charakter wydarzeń, </w:t>
      </w:r>
      <w:r>
        <w:rPr>
          <w:snapToGrid w:val="0"/>
          <w:lang w:val="pl-PL"/>
        </w:rPr>
        <w:t>które miały stanowić podstawę pozwu</w:t>
      </w:r>
      <w:r w:rsidRPr="002C5541">
        <w:rPr>
          <w:snapToGrid w:val="0"/>
          <w:lang w:val="pl-PL"/>
        </w:rPr>
        <w:t>, nie mo</w:t>
      </w:r>
      <w:r>
        <w:rPr>
          <w:snapToGrid w:val="0"/>
          <w:lang w:val="pl-PL"/>
        </w:rPr>
        <w:t>że</w:t>
      </w:r>
      <w:r w:rsidRPr="002C5541">
        <w:rPr>
          <w:snapToGrid w:val="0"/>
          <w:lang w:val="pl-PL"/>
        </w:rPr>
        <w:t xml:space="preserve"> w żadnym wypadku wpłynąć na jurysdykcję </w:t>
      </w:r>
      <w:r w:rsidRPr="002C5541">
        <w:rPr>
          <w:i/>
          <w:iCs/>
          <w:snapToGrid w:val="0"/>
          <w:lang w:val="pl-PL"/>
        </w:rPr>
        <w:t xml:space="preserve">ratione loci </w:t>
      </w:r>
      <w:r w:rsidRPr="002C5541">
        <w:rPr>
          <w:snapToGrid w:val="0"/>
          <w:lang w:val="pl-PL"/>
        </w:rPr>
        <w:t xml:space="preserve">i </w:t>
      </w:r>
      <w:r w:rsidRPr="002C5541">
        <w:rPr>
          <w:i/>
          <w:iCs/>
          <w:snapToGrid w:val="0"/>
          <w:lang w:val="pl-PL"/>
        </w:rPr>
        <w:t xml:space="preserve">ratione personae </w:t>
      </w:r>
      <w:r w:rsidRPr="002C5541">
        <w:rPr>
          <w:snapToGrid w:val="0"/>
          <w:lang w:val="pl-PL"/>
        </w:rPr>
        <w:t>danego Państwa (tamże, § 54), w kontekście art. 6.</w:t>
      </w:r>
    </w:p>
    <w:p w:rsidR="00110FEE" w:rsidRPr="002C5541" w:rsidRDefault="00110FEE" w:rsidP="00F25813">
      <w:pPr>
        <w:pStyle w:val="ECHRHeading4"/>
        <w:rPr>
          <w:lang w:val="pl-PL"/>
        </w:rPr>
      </w:pPr>
      <w:r w:rsidRPr="002C5541">
        <w:rPr>
          <w:lang w:val="pl-PL"/>
        </w:rPr>
        <w:t>(b)</w:t>
      </w:r>
      <w:r>
        <w:rPr>
          <w:lang w:val="pl-PL"/>
        </w:rPr>
        <w:t xml:space="preserve"> </w:t>
      </w:r>
      <w:r w:rsidRPr="002C5541">
        <w:rPr>
          <w:lang w:val="pl-PL"/>
        </w:rPr>
        <w:t>Ocena Trybunału</w:t>
      </w:r>
    </w:p>
    <w:p w:rsidR="00110FEE" w:rsidRPr="002C5541" w:rsidRDefault="00110FEE" w:rsidP="00496FAB">
      <w:pPr>
        <w:pStyle w:val="ECHRPara"/>
        <w:rPr>
          <w:snapToGrid w:val="0"/>
          <w:lang w:val="pl-PL"/>
        </w:rPr>
      </w:pPr>
      <w:r w:rsidRPr="002C5541">
        <w:rPr>
          <w:snapToGrid w:val="0"/>
          <w:lang w:val="pl-PL"/>
        </w:rPr>
        <w:fldChar w:fldCharType="begin"/>
      </w:r>
      <w:r w:rsidRPr="002C5541">
        <w:rPr>
          <w:snapToGrid w:val="0"/>
          <w:lang w:val="pl-PL"/>
        </w:rPr>
        <w:instrText xml:space="preserve"> SEQ level0 \*arabic </w:instrText>
      </w:r>
      <w:r w:rsidRPr="002C5541">
        <w:rPr>
          <w:snapToGrid w:val="0"/>
          <w:lang w:val="pl-PL"/>
        </w:rPr>
        <w:fldChar w:fldCharType="separate"/>
      </w:r>
      <w:r w:rsidRPr="002C5541">
        <w:rPr>
          <w:noProof/>
          <w:snapToGrid w:val="0"/>
          <w:lang w:val="pl-PL"/>
        </w:rPr>
        <w:t>188</w:t>
      </w:r>
      <w:r w:rsidRPr="002C5541">
        <w:rPr>
          <w:snapToGrid w:val="0"/>
          <w:lang w:val="pl-PL"/>
        </w:rPr>
        <w:fldChar w:fldCharType="end"/>
      </w:r>
      <w:r w:rsidRPr="002C5541">
        <w:rPr>
          <w:snapToGrid w:val="0"/>
          <w:lang w:val="pl-PL"/>
        </w:rPr>
        <w:t>.</w:t>
      </w:r>
      <w:r>
        <w:rPr>
          <w:snapToGrid w:val="0"/>
          <w:lang w:val="pl-PL"/>
        </w:rPr>
        <w:t xml:space="preserve"> </w:t>
      </w:r>
      <w:r w:rsidRPr="002C5541">
        <w:rPr>
          <w:snapToGrid w:val="0"/>
          <w:lang w:val="pl-PL"/>
        </w:rPr>
        <w:t xml:space="preserve">W świetle orzecznictwa, o którym mowa powyżej, wydaje się, że </w:t>
      </w:r>
      <w:r>
        <w:rPr>
          <w:snapToGrid w:val="0"/>
          <w:lang w:val="pl-PL"/>
        </w:rPr>
        <w:t>j</w:t>
      </w:r>
      <w:r w:rsidRPr="002C5541">
        <w:rPr>
          <w:snapToGrid w:val="0"/>
          <w:lang w:val="pl-PL"/>
        </w:rPr>
        <w:t xml:space="preserve">eśli organy śledcze lub sądowe Umawiającego się Państwa wszczęły na podstawie prawa wewnętrznego (np. przepisów o jurysdykcji powszechnej albo zasady osobowości aktywnej lub </w:t>
      </w:r>
      <w:r>
        <w:rPr>
          <w:snapToGrid w:val="0"/>
          <w:lang w:val="pl-PL"/>
        </w:rPr>
        <w:t>biernej</w:t>
      </w:r>
      <w:r w:rsidRPr="002C5541">
        <w:rPr>
          <w:snapToGrid w:val="0"/>
          <w:lang w:val="pl-PL"/>
        </w:rPr>
        <w:t>) własne śledztwo karne lub postępowanie dotyczące śmierci, do której doszło poza granicami jego jurysdykcji, fakt ten wystarcza do uznania, że istniał związek jurysdykcyjny dla celów art. 1 Konwencji między tym Państwem i krewnymi ofiary, któr</w:t>
      </w:r>
      <w:r>
        <w:rPr>
          <w:snapToGrid w:val="0"/>
          <w:lang w:val="pl-PL"/>
        </w:rPr>
        <w:t>z</w:t>
      </w:r>
      <w:r w:rsidRPr="002C5541">
        <w:rPr>
          <w:snapToGrid w:val="0"/>
          <w:lang w:val="pl-PL"/>
        </w:rPr>
        <w:t xml:space="preserve">y następnie wszczęli postępowanie przed Trybunałem (zob., </w:t>
      </w:r>
      <w:r w:rsidRPr="002C5541">
        <w:rPr>
          <w:i/>
          <w:iCs/>
          <w:snapToGrid w:val="0"/>
          <w:lang w:val="pl-PL"/>
        </w:rPr>
        <w:t xml:space="preserve">mutatis mutandis, Markovic i inni, </w:t>
      </w:r>
      <w:r w:rsidRPr="00152F12">
        <w:rPr>
          <w:snapToGrid w:val="0"/>
          <w:lang w:val="pl-PL"/>
        </w:rPr>
        <w:t>wyrok cytowany powyżej</w:t>
      </w:r>
      <w:r w:rsidRPr="002C5541">
        <w:rPr>
          <w:snapToGrid w:val="0"/>
          <w:lang w:val="pl-PL"/>
        </w:rPr>
        <w:t>, §§ 54-55).</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189</w:t>
      </w:r>
      <w:r w:rsidRPr="002C5541">
        <w:rPr>
          <w:lang w:val="pl-PL"/>
        </w:rPr>
        <w:fldChar w:fldCharType="end"/>
      </w:r>
      <w:r w:rsidRPr="002C5541">
        <w:rPr>
          <w:lang w:val="pl-PL"/>
        </w:rPr>
        <w:t>.</w:t>
      </w:r>
      <w:r>
        <w:rPr>
          <w:lang w:val="pl-PL"/>
        </w:rPr>
        <w:t xml:space="preserve"> </w:t>
      </w:r>
      <w:r w:rsidRPr="002C5541">
        <w:rPr>
          <w:lang w:val="pl-PL"/>
        </w:rPr>
        <w:t xml:space="preserve">Trybunał podkreślił, że podejście to jest zgodne z istotą </w:t>
      </w:r>
      <w:r w:rsidRPr="00E255F4">
        <w:rPr>
          <w:lang w:val="pl-PL"/>
        </w:rPr>
        <w:t xml:space="preserve">proceduralnego </w:t>
      </w:r>
      <w:r w:rsidRPr="002C5541">
        <w:rPr>
          <w:lang w:val="pl-PL"/>
        </w:rPr>
        <w:t xml:space="preserve">obowiązku przeprowadzenia skutecznego śledztwa na podstawie art. 2, który wyewoluował w odrębny i autonomiczny obowiązek, </w:t>
      </w:r>
      <w:r>
        <w:rPr>
          <w:lang w:val="pl-PL"/>
        </w:rPr>
        <w:t>który pojawia się w związku z</w:t>
      </w:r>
      <w:r w:rsidRPr="002C5541">
        <w:rPr>
          <w:lang w:val="pl-PL"/>
        </w:rPr>
        <w:t xml:space="preserve"> działania</w:t>
      </w:r>
      <w:r>
        <w:rPr>
          <w:lang w:val="pl-PL"/>
        </w:rPr>
        <w:t>mi</w:t>
      </w:r>
      <w:r w:rsidRPr="002C5541">
        <w:rPr>
          <w:lang w:val="pl-PL"/>
        </w:rPr>
        <w:t xml:space="preserve"> </w:t>
      </w:r>
      <w:r>
        <w:rPr>
          <w:lang w:val="pl-PL"/>
        </w:rPr>
        <w:t xml:space="preserve">dotyczącymi </w:t>
      </w:r>
      <w:r w:rsidRPr="002C5541">
        <w:rPr>
          <w:lang w:val="pl-PL"/>
        </w:rPr>
        <w:t>materialny</w:t>
      </w:r>
      <w:r>
        <w:rPr>
          <w:lang w:val="pl-PL"/>
        </w:rPr>
        <w:t>ch</w:t>
      </w:r>
      <w:r w:rsidRPr="002C5541">
        <w:rPr>
          <w:lang w:val="pl-PL"/>
        </w:rPr>
        <w:t xml:space="preserve"> aspekt</w:t>
      </w:r>
      <w:r>
        <w:rPr>
          <w:lang w:val="pl-PL"/>
        </w:rPr>
        <w:t>ów</w:t>
      </w:r>
      <w:r w:rsidRPr="002C5541">
        <w:rPr>
          <w:lang w:val="pl-PL"/>
        </w:rPr>
        <w:t xml:space="preserve"> tego przepisu (zob. </w:t>
      </w:r>
      <w:r w:rsidRPr="002C5541">
        <w:rPr>
          <w:i/>
          <w:iCs/>
          <w:lang w:val="pl-PL"/>
        </w:rPr>
        <w:t>Šilih przeciwko Słowenii</w:t>
      </w:r>
      <w:r w:rsidRPr="002C5541">
        <w:rPr>
          <w:lang w:val="pl-PL"/>
        </w:rPr>
        <w:t xml:space="preserve"> [GC], nr 71463/01, § 159, 9</w:t>
      </w:r>
      <w:r w:rsidRPr="002C5541">
        <w:rPr>
          <w:snapToGrid w:val="0"/>
          <w:lang w:val="pl-PL"/>
        </w:rPr>
        <w:t xml:space="preserve"> kwietnia 2009 r., oraz </w:t>
      </w:r>
      <w:r w:rsidRPr="002C5541">
        <w:rPr>
          <w:i/>
          <w:iCs/>
          <w:lang w:val="pl-PL"/>
        </w:rPr>
        <w:t xml:space="preserve">Janowiec i inni przeciwko Rosji </w:t>
      </w:r>
      <w:r w:rsidRPr="002C5541">
        <w:rPr>
          <w:lang w:val="pl-PL"/>
        </w:rPr>
        <w:t>[GC], nr 55508/07 i 29520/09</w:t>
      </w:r>
      <w:r w:rsidRPr="002C5541">
        <w:rPr>
          <w:snapToGrid w:val="0"/>
          <w:lang w:val="pl-PL"/>
        </w:rPr>
        <w:t xml:space="preserve">, § 132, </w:t>
      </w:r>
      <w:r w:rsidRPr="002C5541">
        <w:rPr>
          <w:lang w:val="pl-PL"/>
        </w:rPr>
        <w:t xml:space="preserve">ETPC 2013). W tym znaczeniu można uznać, że jest to niezależny obowiązek wynikający z art. 2, mogący wiązać Państwo nawet jeśli do śmierci doszło poza jego jurysdykcją (zob., </w:t>
      </w:r>
      <w:r w:rsidRPr="002C5541">
        <w:rPr>
          <w:i/>
          <w:iCs/>
          <w:lang w:val="pl-PL"/>
        </w:rPr>
        <w:t>mutatis mutandis, Šilih</w:t>
      </w:r>
      <w:r w:rsidRPr="002C5541">
        <w:rPr>
          <w:lang w:val="pl-PL"/>
        </w:rPr>
        <w:t xml:space="preserve">, § 159, w kwestii zgodności </w:t>
      </w:r>
      <w:r w:rsidRPr="002C5541">
        <w:rPr>
          <w:i/>
          <w:iCs/>
          <w:lang w:val="pl-PL"/>
        </w:rPr>
        <w:t>ratione temporis</w:t>
      </w:r>
      <w:r w:rsidRPr="002C5541">
        <w:rPr>
          <w:lang w:val="pl-PL"/>
        </w:rPr>
        <w:t>).</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190</w:t>
      </w:r>
      <w:r w:rsidRPr="002C5541">
        <w:rPr>
          <w:lang w:val="pl-PL"/>
        </w:rPr>
        <w:fldChar w:fldCharType="end"/>
      </w:r>
      <w:r w:rsidRPr="002C5541">
        <w:rPr>
          <w:lang w:val="pl-PL"/>
        </w:rPr>
        <w:t>.</w:t>
      </w:r>
      <w:r>
        <w:rPr>
          <w:lang w:val="pl-PL"/>
        </w:rPr>
        <w:t xml:space="preserve"> </w:t>
      </w:r>
      <w:r w:rsidRPr="002C5541">
        <w:rPr>
          <w:lang w:val="pl-PL"/>
        </w:rPr>
        <w:t xml:space="preserve">W przypadku, gdy Umawiające się Państwo nie wszczęło na podstawie prawa wewnętrznego śledztwa ani postępowania w sprawie śmierci, do której doszło poza granicami jego jurysdykcji, Trybunał będzie musiał ocenić, czy mimo to można uznać, że </w:t>
      </w:r>
      <w:r w:rsidRPr="00E255F4">
        <w:rPr>
          <w:lang w:val="pl-PL"/>
        </w:rPr>
        <w:t xml:space="preserve">w odniesieniu do tego Państwa </w:t>
      </w:r>
      <w:r w:rsidRPr="002C5541">
        <w:rPr>
          <w:lang w:val="pl-PL"/>
        </w:rPr>
        <w:t xml:space="preserve">istnieje związek jurysdykcyjny dla celów obowiązku proceduralnego tego państwa na podstawie art. 2. Chociaż obowiązek proceduralny na podstawie art. 2 co do zasady pojawi się wyłącznie po stronie Umawiającego się Państwa, pod którego jurysdykcją zmarły znajdował się w chwili śmierci, „cechy szczególne” danej sprawy mogą uzasadnić odejście od tego podejścia zgodnie z zasadami wypracowanymi w </w:t>
      </w:r>
      <w:r w:rsidRPr="002C5541">
        <w:rPr>
          <w:i/>
          <w:iCs/>
          <w:lang w:val="pl-PL"/>
        </w:rPr>
        <w:t>Rantsev</w:t>
      </w:r>
      <w:r w:rsidRPr="002C5541">
        <w:rPr>
          <w:lang w:val="pl-PL"/>
        </w:rPr>
        <w:t xml:space="preserve">, §§ 243-44. Trybunał nie uważa jednak, że jest w obowiązku określić </w:t>
      </w:r>
      <w:r w:rsidRPr="002C5541">
        <w:rPr>
          <w:i/>
          <w:iCs/>
          <w:lang w:val="pl-PL"/>
        </w:rPr>
        <w:t xml:space="preserve">in abstracto, </w:t>
      </w:r>
      <w:r w:rsidRPr="002C5541">
        <w:rPr>
          <w:lang w:val="pl-PL"/>
        </w:rPr>
        <w:t xml:space="preserve">które „cechy szczególne” prowadzą do wystąpienia związku jurysdykcyjnego na potrzeby </w:t>
      </w:r>
      <w:r w:rsidRPr="00E255F4">
        <w:rPr>
          <w:lang w:val="pl-PL"/>
        </w:rPr>
        <w:t xml:space="preserve">proceduralnego </w:t>
      </w:r>
      <w:r w:rsidRPr="002C5541">
        <w:rPr>
          <w:lang w:val="pl-PL"/>
        </w:rPr>
        <w:t>obowiązku przeprowadzenia śledztwa na podstawie art. 2, bowiem cechy te zależeć będą od konkretnych okoliczności i mogą różnić się znacznie w zależności od sprawy.</w:t>
      </w:r>
    </w:p>
    <w:p w:rsidR="00110FEE" w:rsidRPr="002C5541" w:rsidRDefault="00110FEE" w:rsidP="00F25813">
      <w:pPr>
        <w:pStyle w:val="ECHRHeading4"/>
        <w:rPr>
          <w:snapToGrid w:val="0"/>
          <w:lang w:val="pl-PL"/>
        </w:rPr>
      </w:pPr>
      <w:r w:rsidRPr="002C5541">
        <w:rPr>
          <w:lang w:val="pl-PL"/>
        </w:rPr>
        <w:t>(c)</w:t>
      </w:r>
      <w:r>
        <w:rPr>
          <w:lang w:val="pl-PL"/>
        </w:rPr>
        <w:t xml:space="preserve"> </w:t>
      </w:r>
      <w:r w:rsidRPr="002C5541">
        <w:rPr>
          <w:lang w:val="pl-PL"/>
        </w:rPr>
        <w:t>Zastosowanie tych kryteriów do niniejszej sprawy</w:t>
      </w:r>
    </w:p>
    <w:p w:rsidR="00110FEE" w:rsidRPr="002C5541" w:rsidRDefault="00110FEE" w:rsidP="00F25813">
      <w:pPr>
        <w:pStyle w:val="ECHRPara"/>
        <w:rPr>
          <w:snapToGrid w:val="0"/>
          <w:lang w:val="pl-PL"/>
        </w:rPr>
      </w:pPr>
      <w:r w:rsidRPr="002C5541">
        <w:rPr>
          <w:snapToGrid w:val="0"/>
          <w:lang w:val="pl-PL"/>
        </w:rPr>
        <w:fldChar w:fldCharType="begin"/>
      </w:r>
      <w:r w:rsidRPr="002C5541">
        <w:rPr>
          <w:snapToGrid w:val="0"/>
          <w:lang w:val="pl-PL"/>
        </w:rPr>
        <w:instrText xml:space="preserve"> SEQ level0 \*arabic </w:instrText>
      </w:r>
      <w:r w:rsidRPr="002C5541">
        <w:rPr>
          <w:snapToGrid w:val="0"/>
          <w:lang w:val="pl-PL"/>
        </w:rPr>
        <w:fldChar w:fldCharType="separate"/>
      </w:r>
      <w:r w:rsidRPr="002C5541">
        <w:rPr>
          <w:noProof/>
          <w:snapToGrid w:val="0"/>
          <w:lang w:val="pl-PL"/>
        </w:rPr>
        <w:t>191</w:t>
      </w:r>
      <w:r w:rsidRPr="002C5541">
        <w:rPr>
          <w:snapToGrid w:val="0"/>
          <w:lang w:val="pl-PL"/>
        </w:rPr>
        <w:fldChar w:fldCharType="end"/>
      </w:r>
      <w:r w:rsidRPr="002C5541">
        <w:rPr>
          <w:snapToGrid w:val="0"/>
          <w:lang w:val="pl-PL"/>
        </w:rPr>
        <w:t>.</w:t>
      </w:r>
      <w:r>
        <w:rPr>
          <w:snapToGrid w:val="0"/>
          <w:lang w:val="pl-PL"/>
        </w:rPr>
        <w:t xml:space="preserve"> </w:t>
      </w:r>
      <w:r w:rsidRPr="002C5541">
        <w:rPr>
          <w:snapToGrid w:val="0"/>
          <w:lang w:val="pl-PL"/>
        </w:rPr>
        <w:t>W niniejszej sprawie Trybunał zaznacza na wstępie, że władze „TRPC” wszczęły zgodnie z przepisami prawa wewnętrznego</w:t>
      </w:r>
      <w:r>
        <w:rPr>
          <w:snapToGrid w:val="0"/>
          <w:lang w:val="pl-PL"/>
        </w:rPr>
        <w:t>, przyznające</w:t>
      </w:r>
      <w:r w:rsidRPr="002C5541">
        <w:rPr>
          <w:snapToGrid w:val="0"/>
          <w:lang w:val="pl-PL"/>
        </w:rPr>
        <w:t xml:space="preserve"> </w:t>
      </w:r>
      <w:r w:rsidRPr="00094299">
        <w:rPr>
          <w:snapToGrid w:val="0"/>
          <w:lang w:val="pl-PL"/>
        </w:rPr>
        <w:t>sąd</w:t>
      </w:r>
      <w:r>
        <w:rPr>
          <w:snapToGrid w:val="0"/>
          <w:lang w:val="pl-PL"/>
        </w:rPr>
        <w:t>om</w:t>
      </w:r>
      <w:r w:rsidRPr="00094299">
        <w:rPr>
          <w:snapToGrid w:val="0"/>
          <w:lang w:val="pl-PL"/>
        </w:rPr>
        <w:t xml:space="preserve"> „TRPC” jurysdykcję karną nad osobami fizycznymi</w:t>
      </w:r>
      <w:r>
        <w:rPr>
          <w:snapToGrid w:val="0"/>
          <w:lang w:val="pl-PL"/>
        </w:rPr>
        <w:t>,</w:t>
      </w:r>
      <w:r w:rsidRPr="00094299">
        <w:rPr>
          <w:snapToGrid w:val="0"/>
          <w:lang w:val="pl-PL"/>
        </w:rPr>
        <w:t xml:space="preserve"> które popełniły przestępstwo w którymkolwiek miejscu na wyspie Cypr</w:t>
      </w:r>
      <w:r>
        <w:rPr>
          <w:snapToGrid w:val="0"/>
          <w:lang w:val="pl-PL"/>
        </w:rPr>
        <w:t>,</w:t>
      </w:r>
      <w:r w:rsidRPr="00094299">
        <w:rPr>
          <w:snapToGrid w:val="0"/>
          <w:lang w:val="pl-PL"/>
        </w:rPr>
        <w:t xml:space="preserve"> </w:t>
      </w:r>
      <w:r w:rsidRPr="002C5541">
        <w:rPr>
          <w:snapToGrid w:val="0"/>
          <w:lang w:val="pl-PL"/>
        </w:rPr>
        <w:t>swoje własne śledztwo karne w sprawie morderstwa krewnych skarżących (zob.</w:t>
      </w:r>
      <w:r>
        <w:rPr>
          <w:snapToGrid w:val="0"/>
          <w:lang w:val="pl-PL"/>
        </w:rPr>
        <w:t xml:space="preserve"> </w:t>
      </w:r>
      <w:r w:rsidRPr="002C5541">
        <w:rPr>
          <w:snapToGrid w:val="0"/>
          <w:lang w:val="pl-PL"/>
        </w:rPr>
        <w:t xml:space="preserve">pkt 143 powyżej). W trakcie tego śledztwa zatrzymano i tymczasowo aresztowano wielu podejrzanych </w:t>
      </w:r>
      <w:r>
        <w:rPr>
          <w:snapToGrid w:val="0"/>
          <w:lang w:val="pl-PL"/>
        </w:rPr>
        <w:t>pod zarzutem</w:t>
      </w:r>
      <w:r w:rsidRPr="002C5541">
        <w:rPr>
          <w:snapToGrid w:val="0"/>
          <w:lang w:val="pl-PL"/>
        </w:rPr>
        <w:t xml:space="preserve"> morderstw</w:t>
      </w:r>
      <w:r>
        <w:rPr>
          <w:snapToGrid w:val="0"/>
          <w:lang w:val="pl-PL"/>
        </w:rPr>
        <w:t>a</w:t>
      </w:r>
      <w:r w:rsidRPr="002C5541">
        <w:rPr>
          <w:snapToGrid w:val="0"/>
          <w:lang w:val="pl-PL"/>
        </w:rPr>
        <w:t xml:space="preserve"> z premedytacją; odebrano także oświadczenia od skarżących (co najmniej od pierwszego skarżącego). W tych okolicznościach Trybunał uznaje, że między skarżącymi, którzy złożyli skargę zgodnie z art. 2 </w:t>
      </w:r>
      <w:r>
        <w:rPr>
          <w:snapToGrid w:val="0"/>
          <w:lang w:val="pl-PL"/>
        </w:rPr>
        <w:t xml:space="preserve">w jego </w:t>
      </w:r>
      <w:r w:rsidRPr="00094299">
        <w:rPr>
          <w:snapToGrid w:val="0"/>
          <w:lang w:val="pl-PL"/>
        </w:rPr>
        <w:t>aspek</w:t>
      </w:r>
      <w:r>
        <w:rPr>
          <w:snapToGrid w:val="0"/>
          <w:lang w:val="pl-PL"/>
        </w:rPr>
        <w:t xml:space="preserve">cie </w:t>
      </w:r>
      <w:r w:rsidRPr="00094299">
        <w:rPr>
          <w:snapToGrid w:val="0"/>
          <w:lang w:val="pl-PL"/>
        </w:rPr>
        <w:t xml:space="preserve">proceduralnym </w:t>
      </w:r>
      <w:r w:rsidRPr="002C5541">
        <w:rPr>
          <w:snapToGrid w:val="0"/>
          <w:lang w:val="pl-PL"/>
        </w:rPr>
        <w:t xml:space="preserve">w sprawie śmierci ich krewnych, a Turcją, której odpowiedzialność na podstawie Konwencji wynika z działań i zaniechań popełnionych przez władze „TRPC”, występuje „związek jurysdykcyjny” (zob. </w:t>
      </w:r>
      <w:r w:rsidRPr="002C5541">
        <w:rPr>
          <w:i/>
          <w:iCs/>
          <w:snapToGrid w:val="0"/>
          <w:lang w:val="pl-PL"/>
        </w:rPr>
        <w:t>Cypr przeciwko Turcji</w:t>
      </w:r>
      <w:r w:rsidRPr="002C5541">
        <w:rPr>
          <w:snapToGrid w:val="0"/>
          <w:lang w:val="pl-PL"/>
        </w:rPr>
        <w:t xml:space="preserve">, </w:t>
      </w:r>
      <w:r w:rsidRPr="00152F12">
        <w:rPr>
          <w:snapToGrid w:val="0"/>
          <w:lang w:val="pl-PL"/>
        </w:rPr>
        <w:t>wyrok cytowany powyżej</w:t>
      </w:r>
      <w:r w:rsidRPr="002C5541">
        <w:rPr>
          <w:snapToGrid w:val="0"/>
          <w:lang w:val="pl-PL"/>
        </w:rPr>
        <w:t>, § 77, oraz np.,</w:t>
      </w:r>
      <w:r w:rsidRPr="002C5541">
        <w:rPr>
          <w:i/>
          <w:iCs/>
          <w:lang w:val="pl-PL"/>
        </w:rPr>
        <w:t xml:space="preserve"> Adalı, </w:t>
      </w:r>
      <w:r w:rsidRPr="00152F12">
        <w:rPr>
          <w:snapToGrid w:val="0"/>
          <w:lang w:val="pl-PL"/>
        </w:rPr>
        <w:t>wyrok cytowany powyżej</w:t>
      </w:r>
      <w:r w:rsidRPr="002C5541">
        <w:rPr>
          <w:snapToGrid w:val="0"/>
          <w:lang w:val="pl-PL"/>
        </w:rPr>
        <w:t>,</w:t>
      </w:r>
      <w:r w:rsidRPr="002C5541">
        <w:rPr>
          <w:i/>
          <w:iCs/>
          <w:lang w:val="pl-PL"/>
        </w:rPr>
        <w:t xml:space="preserve"> </w:t>
      </w:r>
      <w:r w:rsidRPr="002C5541">
        <w:rPr>
          <w:lang w:val="pl-PL"/>
        </w:rPr>
        <w:t>§§ 221-33</w:t>
      </w:r>
      <w:r w:rsidRPr="002C5541">
        <w:rPr>
          <w:snapToGrid w:val="0"/>
          <w:lang w:val="pl-PL"/>
        </w:rPr>
        <w:t>).</w:t>
      </w:r>
    </w:p>
    <w:p w:rsidR="00110FEE" w:rsidRPr="002C5541" w:rsidRDefault="00110FEE" w:rsidP="00F25813">
      <w:pPr>
        <w:pStyle w:val="ECHRPara"/>
        <w:rPr>
          <w:snapToGrid w:val="0"/>
          <w:lang w:val="pl-PL"/>
        </w:rPr>
      </w:pPr>
      <w:r w:rsidRPr="002C5541">
        <w:rPr>
          <w:snapToGrid w:val="0"/>
          <w:lang w:val="pl-PL"/>
        </w:rPr>
        <w:fldChar w:fldCharType="begin"/>
      </w:r>
      <w:r w:rsidRPr="002C5541">
        <w:rPr>
          <w:snapToGrid w:val="0"/>
          <w:lang w:val="pl-PL"/>
        </w:rPr>
        <w:instrText xml:space="preserve"> SEQ level0 \*arabic </w:instrText>
      </w:r>
      <w:r w:rsidRPr="002C5541">
        <w:rPr>
          <w:snapToGrid w:val="0"/>
          <w:lang w:val="pl-PL"/>
        </w:rPr>
        <w:fldChar w:fldCharType="separate"/>
      </w:r>
      <w:r w:rsidRPr="002C5541">
        <w:rPr>
          <w:noProof/>
          <w:snapToGrid w:val="0"/>
          <w:lang w:val="pl-PL"/>
        </w:rPr>
        <w:t>192</w:t>
      </w:r>
      <w:r w:rsidRPr="002C5541">
        <w:rPr>
          <w:snapToGrid w:val="0"/>
          <w:lang w:val="pl-PL"/>
        </w:rPr>
        <w:fldChar w:fldCharType="end"/>
      </w:r>
      <w:r w:rsidRPr="002C5541">
        <w:rPr>
          <w:snapToGrid w:val="0"/>
          <w:lang w:val="pl-PL"/>
        </w:rPr>
        <w:t>.</w:t>
      </w:r>
      <w:r>
        <w:rPr>
          <w:snapToGrid w:val="0"/>
          <w:lang w:val="pl-PL"/>
        </w:rPr>
        <w:t xml:space="preserve"> </w:t>
      </w:r>
      <w:r w:rsidRPr="002C5541">
        <w:rPr>
          <w:snapToGrid w:val="0"/>
          <w:lang w:val="pl-PL"/>
        </w:rPr>
        <w:t>Ponadto, uwzględniając stanowisko skarżących, zdaniem Trybunału występowały „cechy szczególne” związane z sytuacją panującą na Cyprze, które uzasadniają odejście w niniejszej sprawie od ogólnego podejścia określonego w</w:t>
      </w:r>
      <w:r>
        <w:rPr>
          <w:snapToGrid w:val="0"/>
          <w:lang w:val="pl-PL"/>
        </w:rPr>
        <w:t xml:space="preserve"> sprawie</w:t>
      </w:r>
      <w:r w:rsidRPr="002C5541">
        <w:rPr>
          <w:snapToGrid w:val="0"/>
          <w:lang w:val="pl-PL"/>
        </w:rPr>
        <w:t xml:space="preserve"> </w:t>
      </w:r>
      <w:r w:rsidRPr="002C5541">
        <w:rPr>
          <w:i/>
          <w:iCs/>
          <w:snapToGrid w:val="0"/>
          <w:lang w:val="pl-PL"/>
        </w:rPr>
        <w:t xml:space="preserve">Rantsev </w:t>
      </w:r>
      <w:r w:rsidRPr="002C5541">
        <w:rPr>
          <w:snapToGrid w:val="0"/>
          <w:lang w:val="pl-PL"/>
        </w:rPr>
        <w:t>i pociągają za sobą obowiązek proceduralny Turcji na podstawie art. 2.</w:t>
      </w:r>
    </w:p>
    <w:p w:rsidR="00110FEE" w:rsidRPr="002C5541" w:rsidRDefault="00110FEE" w:rsidP="00904BD3">
      <w:pPr>
        <w:pStyle w:val="ECHRPara"/>
        <w:rPr>
          <w:lang w:val="pl-PL"/>
        </w:rPr>
      </w:pPr>
      <w:r w:rsidRPr="002C5541">
        <w:rPr>
          <w:snapToGrid w:val="0"/>
          <w:lang w:val="pl-PL"/>
        </w:rPr>
        <w:fldChar w:fldCharType="begin"/>
      </w:r>
      <w:r w:rsidRPr="002C5541">
        <w:rPr>
          <w:snapToGrid w:val="0"/>
          <w:lang w:val="pl-PL"/>
        </w:rPr>
        <w:instrText xml:space="preserve"> SEQ level0 \*arabic </w:instrText>
      </w:r>
      <w:r w:rsidRPr="002C5541">
        <w:rPr>
          <w:snapToGrid w:val="0"/>
          <w:lang w:val="pl-PL"/>
        </w:rPr>
        <w:fldChar w:fldCharType="separate"/>
      </w:r>
      <w:r w:rsidRPr="002C5541">
        <w:rPr>
          <w:noProof/>
          <w:snapToGrid w:val="0"/>
          <w:lang w:val="pl-PL"/>
        </w:rPr>
        <w:t>193</w:t>
      </w:r>
      <w:r w:rsidRPr="002C5541">
        <w:rPr>
          <w:snapToGrid w:val="0"/>
          <w:lang w:val="pl-PL"/>
        </w:rPr>
        <w:fldChar w:fldCharType="end"/>
      </w:r>
      <w:r w:rsidRPr="002C5541">
        <w:rPr>
          <w:snapToGrid w:val="0"/>
          <w:lang w:val="pl-PL"/>
        </w:rPr>
        <w:t>.</w:t>
      </w:r>
      <w:r>
        <w:rPr>
          <w:snapToGrid w:val="0"/>
          <w:lang w:val="pl-PL"/>
        </w:rPr>
        <w:t xml:space="preserve"> </w:t>
      </w:r>
      <w:r w:rsidRPr="002C5541">
        <w:rPr>
          <w:snapToGrid w:val="0"/>
          <w:lang w:val="pl-PL"/>
        </w:rPr>
        <w:t xml:space="preserve">Po pierwsze, Trybunał zauważa, że wspólnota międzynarodowa </w:t>
      </w:r>
      <w:r>
        <w:rPr>
          <w:snapToGrid w:val="0"/>
          <w:lang w:val="pl-PL"/>
        </w:rPr>
        <w:t>stoi na stanowisku</w:t>
      </w:r>
      <w:r w:rsidRPr="002C5541">
        <w:rPr>
          <w:snapToGrid w:val="0"/>
          <w:lang w:val="pl-PL"/>
        </w:rPr>
        <w:t xml:space="preserve">, że Turcja okupuje północną część Cypru (zob. </w:t>
      </w:r>
      <w:r w:rsidRPr="002C5541">
        <w:rPr>
          <w:i/>
          <w:iCs/>
          <w:lang w:val="pl-PL"/>
        </w:rPr>
        <w:t xml:space="preserve">Demopoulos i inni przeciwko Turcji </w:t>
      </w:r>
      <w:r w:rsidRPr="002C5541">
        <w:rPr>
          <w:snapToGrid w:val="0"/>
          <w:lang w:val="pl-PL"/>
        </w:rPr>
        <w:t>(dec.) [GC], nr 46113/99 i 7 innych</w:t>
      </w:r>
      <w:r w:rsidRPr="002C5541">
        <w:rPr>
          <w:lang w:val="pl-PL"/>
        </w:rPr>
        <w:t>, § 114, ETPC 2010</w:t>
      </w:r>
      <w:r w:rsidRPr="002C5541">
        <w:rPr>
          <w:snapToGrid w:val="0"/>
          <w:lang w:val="pl-PL"/>
        </w:rPr>
        <w:t xml:space="preserve">) i nie uznaje „TRPC” za Państwo w świetle prawa międzynarodowego (zob. </w:t>
      </w:r>
      <w:r w:rsidRPr="002C5541">
        <w:rPr>
          <w:i/>
          <w:iCs/>
          <w:snapToGrid w:val="0"/>
          <w:lang w:val="pl-PL"/>
        </w:rPr>
        <w:t xml:space="preserve">Cypr przeciwko Turcji, </w:t>
      </w:r>
      <w:r w:rsidRPr="002C5541">
        <w:rPr>
          <w:snapToGrid w:val="0"/>
          <w:lang w:val="pl-PL"/>
        </w:rPr>
        <w:t xml:space="preserve">§ 61; </w:t>
      </w:r>
      <w:r w:rsidRPr="002C5541">
        <w:rPr>
          <w:lang w:val="pl-PL"/>
        </w:rPr>
        <w:t>zob. pkt 159-61 powyżej</w:t>
      </w:r>
      <w:r w:rsidRPr="002C5541">
        <w:rPr>
          <w:snapToGrid w:val="0"/>
          <w:lang w:val="pl-PL"/>
        </w:rPr>
        <w:t xml:space="preserve">). Trybunał uznał już wcześniej, że północny Cypr znajduje się pod faktyczną kontrolą Turcji dla celów Konwencji (zob. </w:t>
      </w:r>
      <w:r w:rsidRPr="002C5541">
        <w:rPr>
          <w:i/>
          <w:iCs/>
          <w:snapToGrid w:val="0"/>
          <w:lang w:val="pl-PL"/>
        </w:rPr>
        <w:t xml:space="preserve">Cypr przeciwko Turcji, </w:t>
      </w:r>
      <w:r w:rsidRPr="00152F12">
        <w:rPr>
          <w:snapToGrid w:val="0"/>
          <w:lang w:val="pl-PL"/>
        </w:rPr>
        <w:t>wyrok cytowany powyżej</w:t>
      </w:r>
      <w:r w:rsidRPr="002C5541">
        <w:rPr>
          <w:snapToGrid w:val="0"/>
          <w:lang w:val="pl-PL"/>
        </w:rPr>
        <w:t>,</w:t>
      </w:r>
      <w:r w:rsidRPr="002C5541">
        <w:rPr>
          <w:i/>
          <w:iCs/>
          <w:snapToGrid w:val="0"/>
          <w:lang w:val="pl-PL"/>
        </w:rPr>
        <w:t xml:space="preserve"> </w:t>
      </w:r>
      <w:r w:rsidRPr="002C5541">
        <w:rPr>
          <w:snapToGrid w:val="0"/>
          <w:lang w:val="pl-PL"/>
        </w:rPr>
        <w:t xml:space="preserve">§ 77). W tym kontekście zwrócił również uwagę na trwały brak możliwości wypełnienia przez Cypr swoich obowiązków na podstawie Konwencji i na ogólną odpowiedzialność </w:t>
      </w:r>
      <w:r w:rsidRPr="002C5541">
        <w:rPr>
          <w:lang w:val="pl-PL"/>
        </w:rPr>
        <w:t xml:space="preserve">Turcji za zabezpieczenie całego zakresu praw materialnych, o których mowa w Konwencji (zob. </w:t>
      </w:r>
      <w:r w:rsidRPr="002C5541">
        <w:rPr>
          <w:i/>
          <w:iCs/>
          <w:lang w:val="pl-PL"/>
        </w:rPr>
        <w:t xml:space="preserve">Cypr przeciwko Turcji, </w:t>
      </w:r>
      <w:r w:rsidRPr="00152F12">
        <w:rPr>
          <w:snapToGrid w:val="0"/>
          <w:lang w:val="pl-PL"/>
        </w:rPr>
        <w:t>wyrok cytowany powyżej</w:t>
      </w:r>
      <w:r w:rsidRPr="002C5541">
        <w:rPr>
          <w:snapToGrid w:val="0"/>
          <w:lang w:val="pl-PL"/>
        </w:rPr>
        <w:t>,</w:t>
      </w:r>
      <w:r w:rsidRPr="002C5541">
        <w:rPr>
          <w:i/>
          <w:iCs/>
          <w:lang w:val="pl-PL"/>
        </w:rPr>
        <w:t xml:space="preserve"> </w:t>
      </w:r>
      <w:r w:rsidRPr="002C5541">
        <w:rPr>
          <w:lang w:val="pl-PL"/>
        </w:rPr>
        <w:t>§§ 77</w:t>
      </w:r>
      <w:r w:rsidRPr="002C5541">
        <w:rPr>
          <w:lang w:val="pl-PL"/>
        </w:rPr>
        <w:sym w:font="Symbol" w:char="F02D"/>
      </w:r>
      <w:r w:rsidRPr="002C5541">
        <w:rPr>
          <w:lang w:val="pl-PL"/>
        </w:rPr>
        <w:t xml:space="preserve">78). W kontekście ogólnego podejścia do </w:t>
      </w:r>
      <w:r>
        <w:rPr>
          <w:lang w:val="pl-PL"/>
        </w:rPr>
        <w:t>wykonywania</w:t>
      </w:r>
      <w:r w:rsidRPr="002C5541">
        <w:rPr>
          <w:lang w:val="pl-PL"/>
        </w:rPr>
        <w:t xml:space="preserve"> jurysdykcji eksterytorialnej w </w:t>
      </w:r>
      <w:r>
        <w:rPr>
          <w:lang w:val="pl-PL"/>
        </w:rPr>
        <w:t xml:space="preserve">odniesieniu do </w:t>
      </w:r>
      <w:r w:rsidRPr="002C5541">
        <w:rPr>
          <w:lang w:val="pl-PL"/>
        </w:rPr>
        <w:t>podmiot</w:t>
      </w:r>
      <w:r>
        <w:rPr>
          <w:lang w:val="pl-PL"/>
        </w:rPr>
        <w:t>ów</w:t>
      </w:r>
      <w:r w:rsidRPr="002C5541">
        <w:rPr>
          <w:lang w:val="pl-PL"/>
        </w:rPr>
        <w:t xml:space="preserve"> nieuznawanych przez wspólnotę międzynarodową Trybunał uwzględnił szczególny charakter Konwencji jako instrumentu europejskiego porządku publicznego (</w:t>
      </w:r>
      <w:r w:rsidRPr="002C5541">
        <w:rPr>
          <w:i/>
          <w:iCs/>
          <w:lang w:val="pl-PL"/>
        </w:rPr>
        <w:t>ordre public</w:t>
      </w:r>
      <w:r w:rsidRPr="002C5541">
        <w:rPr>
          <w:lang w:val="pl-PL"/>
        </w:rPr>
        <w:t xml:space="preserve">) </w:t>
      </w:r>
      <w:r>
        <w:rPr>
          <w:lang w:val="pl-PL"/>
        </w:rPr>
        <w:t>służącego</w:t>
      </w:r>
      <w:r w:rsidRPr="002C5541">
        <w:rPr>
          <w:lang w:val="pl-PL"/>
        </w:rPr>
        <w:t xml:space="preserve"> ochron</w:t>
      </w:r>
      <w:r>
        <w:rPr>
          <w:lang w:val="pl-PL"/>
        </w:rPr>
        <w:t>ie</w:t>
      </w:r>
      <w:r w:rsidRPr="002C5541">
        <w:rPr>
          <w:lang w:val="pl-PL"/>
        </w:rPr>
        <w:t xml:space="preserve"> istot ludzkich, w związku z tym celem </w:t>
      </w:r>
      <w:r>
        <w:rPr>
          <w:lang w:val="pl-PL"/>
        </w:rPr>
        <w:t xml:space="preserve">Trybunału </w:t>
      </w:r>
      <w:r w:rsidRPr="002C5541">
        <w:rPr>
          <w:lang w:val="pl-PL"/>
        </w:rPr>
        <w:t xml:space="preserve">jest zapewnienie, by prawa na podstawie Konwencji cieszyły się ochroną na całym terytorium Umawiających się Państw (zob. </w:t>
      </w:r>
      <w:r w:rsidRPr="002C5541">
        <w:rPr>
          <w:i/>
          <w:iCs/>
          <w:lang w:val="pl-PL"/>
        </w:rPr>
        <w:t xml:space="preserve">Cypr przeciwko Turcji, </w:t>
      </w:r>
      <w:r w:rsidRPr="00152F12">
        <w:rPr>
          <w:lang w:val="pl-PL"/>
        </w:rPr>
        <w:t>wyrok cytowany powyżej</w:t>
      </w:r>
      <w:r w:rsidRPr="002C5541">
        <w:rPr>
          <w:lang w:val="pl-PL"/>
        </w:rPr>
        <w:t xml:space="preserve">, § 78, oraz </w:t>
      </w:r>
      <w:r w:rsidRPr="002C5541">
        <w:rPr>
          <w:i/>
          <w:iCs/>
          <w:lang w:val="pl-PL"/>
        </w:rPr>
        <w:t>Mozer</w:t>
      </w:r>
      <w:r w:rsidRPr="002C5541">
        <w:rPr>
          <w:lang w:val="pl-PL"/>
        </w:rPr>
        <w:t xml:space="preserve">, </w:t>
      </w:r>
      <w:r w:rsidRPr="00152F12">
        <w:rPr>
          <w:lang w:val="pl-PL"/>
        </w:rPr>
        <w:t>wyrok cytowany powyżej</w:t>
      </w:r>
      <w:r w:rsidRPr="002C5541">
        <w:rPr>
          <w:lang w:val="pl-PL"/>
        </w:rPr>
        <w:t>, § 136).</w:t>
      </w:r>
    </w:p>
    <w:p w:rsidR="00110FEE" w:rsidRPr="002C5541" w:rsidRDefault="00110FEE" w:rsidP="0038386B">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194</w:t>
      </w:r>
      <w:r w:rsidRPr="002C5541">
        <w:rPr>
          <w:lang w:val="pl-PL"/>
        </w:rPr>
        <w:fldChar w:fldCharType="end"/>
      </w:r>
      <w:r w:rsidRPr="002C5541">
        <w:rPr>
          <w:lang w:val="pl-PL"/>
        </w:rPr>
        <w:t>.</w:t>
      </w:r>
      <w:r>
        <w:rPr>
          <w:lang w:val="pl-PL"/>
        </w:rPr>
        <w:t xml:space="preserve"> </w:t>
      </w:r>
      <w:r w:rsidRPr="002C5541">
        <w:rPr>
          <w:lang w:val="pl-PL"/>
        </w:rPr>
        <w:t>Po drugie, Trybunał zauważa, że w obecnej sprawie podejrzani o morderstwo uciekli do „TRPC” i że na skutek tego Cypr nie był w stanie prowadzić swojego własnego śledztwa wobec tych podejrzanych (za wyjątkiem ósmego podejrzanego, który został zatrzymany w 2006 r. na obszarze kontrolowanym przez Cypr), a zatem nie mógł wypełnić swych obowiązków wynikających z Konwencji. Władze tureckie i władze „TRPC” zostały powiadomione o morderstwie, a na dodatek Interpol wydał czerwone noty przeciwko podejrzanym. Władze tureckie i władze „TRPC” wiedziały, że podejrzani przebywają na terytorium kontrolowanym przez Turcję, która przetrzymywała ich w areszcie pod zarzutem morderstwa z premedytacją przez pewien okres w tygodniach następujących po morderstwie.</w:t>
      </w:r>
    </w:p>
    <w:p w:rsidR="00110FEE" w:rsidRPr="002C5541" w:rsidRDefault="00110FEE" w:rsidP="007F67EF">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195</w:t>
      </w:r>
      <w:r w:rsidRPr="002C5541">
        <w:rPr>
          <w:lang w:val="pl-PL"/>
        </w:rPr>
        <w:fldChar w:fldCharType="end"/>
      </w:r>
      <w:r w:rsidRPr="002C5541">
        <w:rPr>
          <w:lang w:val="pl-PL"/>
        </w:rPr>
        <w:t>.</w:t>
      </w:r>
      <w:r>
        <w:rPr>
          <w:lang w:val="pl-PL"/>
        </w:rPr>
        <w:t xml:space="preserve"> </w:t>
      </w:r>
      <w:r w:rsidRPr="002C5541">
        <w:rPr>
          <w:lang w:val="pl-PL"/>
        </w:rPr>
        <w:t>Uwzględniając te dwie cechy szczególne, Trybunał uznaje, że ustalono jurysdykcję Turcji na podstawie art. 1 w odniesieniu do skargi złożonej przez skarżących na podstawie art. 2</w:t>
      </w:r>
      <w:r>
        <w:rPr>
          <w:lang w:val="pl-PL"/>
        </w:rPr>
        <w:t xml:space="preserve"> w jego aspekcie proceduralnym</w:t>
      </w:r>
      <w:r w:rsidRPr="002C5541">
        <w:rPr>
          <w:lang w:val="pl-PL"/>
        </w:rPr>
        <w:t>. Jakiekolwiek inne stwierdzenie skutkowałoby powstaniem luki w systemie ochrony praw człowieka na terytorium Cypru, będącym „</w:t>
      </w:r>
      <w:r w:rsidRPr="00094299">
        <w:rPr>
          <w:lang w:val="pl-PL"/>
        </w:rPr>
        <w:t>przestrzeni</w:t>
      </w:r>
      <w:r>
        <w:rPr>
          <w:lang w:val="pl-PL"/>
        </w:rPr>
        <w:t>ą</w:t>
      </w:r>
      <w:r w:rsidRPr="00094299">
        <w:rPr>
          <w:lang w:val="pl-PL"/>
        </w:rPr>
        <w:t xml:space="preserve"> prawn</w:t>
      </w:r>
      <w:r>
        <w:rPr>
          <w:lang w:val="pl-PL"/>
        </w:rPr>
        <w:t>ą</w:t>
      </w:r>
      <w:r w:rsidRPr="00094299">
        <w:rPr>
          <w:lang w:val="pl-PL"/>
        </w:rPr>
        <w:t xml:space="preserve"> Konwencji</w:t>
      </w:r>
      <w:r w:rsidRPr="002C5541">
        <w:rPr>
          <w:lang w:val="pl-PL"/>
        </w:rPr>
        <w:t xml:space="preserve">” (zob. </w:t>
      </w:r>
      <w:r w:rsidRPr="002C5541">
        <w:rPr>
          <w:i/>
          <w:iCs/>
          <w:lang w:val="pl-PL"/>
        </w:rPr>
        <w:t xml:space="preserve">Cypr przeciwko Turcji, </w:t>
      </w:r>
      <w:r w:rsidRPr="00152F12">
        <w:rPr>
          <w:lang w:val="pl-PL"/>
        </w:rPr>
        <w:t>wyrok cytowany powyżej</w:t>
      </w:r>
      <w:r w:rsidRPr="002C5541">
        <w:rPr>
          <w:lang w:val="pl-PL"/>
        </w:rPr>
        <w:t xml:space="preserve">, § 78), co </w:t>
      </w:r>
      <w:r>
        <w:rPr>
          <w:lang w:val="pl-PL"/>
        </w:rPr>
        <w:t>rodziłoby zagrożenie</w:t>
      </w:r>
      <w:r w:rsidRPr="002C5541">
        <w:rPr>
          <w:lang w:val="pl-PL"/>
        </w:rPr>
        <w:t xml:space="preserve"> powstania bezpiecznego schronienia w „TRPC” dla morderców uciekających z terytorium kontrolowanego przez Cypr. To z kolei niosłoby ryzyko utrudnienia </w:t>
      </w:r>
      <w:r>
        <w:rPr>
          <w:lang w:val="pl-PL"/>
        </w:rPr>
        <w:t xml:space="preserve">w </w:t>
      </w:r>
      <w:r w:rsidRPr="002C5541">
        <w:rPr>
          <w:lang w:val="pl-PL"/>
        </w:rPr>
        <w:t>stosowani</w:t>
      </w:r>
      <w:r>
        <w:rPr>
          <w:lang w:val="pl-PL"/>
        </w:rPr>
        <w:t>u</w:t>
      </w:r>
      <w:r w:rsidRPr="002C5541">
        <w:rPr>
          <w:lang w:val="pl-PL"/>
        </w:rPr>
        <w:t xml:space="preserve"> przepisów karnych przyjętych przez Rząd Cypr</w:t>
      </w:r>
      <w:r>
        <w:rPr>
          <w:lang w:val="pl-PL"/>
        </w:rPr>
        <w:t xml:space="preserve">yjski </w:t>
      </w:r>
      <w:r w:rsidRPr="002C5541">
        <w:rPr>
          <w:lang w:val="pl-PL"/>
        </w:rPr>
        <w:t>w celu ochrony prawa do życia</w:t>
      </w:r>
      <w:r>
        <w:rPr>
          <w:lang w:val="pl-PL"/>
        </w:rPr>
        <w:t xml:space="preserve"> w odniesieniu do </w:t>
      </w:r>
      <w:r w:rsidRPr="00984D00">
        <w:rPr>
          <w:lang w:val="pl-PL"/>
        </w:rPr>
        <w:t>swych obywateli</w:t>
      </w:r>
      <w:r w:rsidRPr="002C5541">
        <w:rPr>
          <w:lang w:val="pl-PL"/>
        </w:rPr>
        <w:t xml:space="preserve"> </w:t>
      </w:r>
      <w:r>
        <w:rPr>
          <w:lang w:val="pl-PL"/>
        </w:rPr>
        <w:t>i</w:t>
      </w:r>
      <w:r w:rsidRPr="002C5541">
        <w:rPr>
          <w:lang w:val="pl-PL"/>
        </w:rPr>
        <w:t xml:space="preserve"> w istocie wszystkich osób pozostających </w:t>
      </w:r>
      <w:r>
        <w:rPr>
          <w:lang w:val="pl-PL"/>
        </w:rPr>
        <w:t>pod</w:t>
      </w:r>
      <w:r w:rsidRPr="002C5541">
        <w:rPr>
          <w:lang w:val="pl-PL"/>
        </w:rPr>
        <w:t xml:space="preserve"> jego jurysdykcj</w:t>
      </w:r>
      <w:r>
        <w:rPr>
          <w:lang w:val="pl-PL"/>
        </w:rPr>
        <w:t>ą</w:t>
      </w:r>
      <w:r w:rsidRPr="002C5541">
        <w:rPr>
          <w:lang w:val="pl-PL"/>
        </w:rPr>
        <w:t>.</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196</w:t>
      </w:r>
      <w:r w:rsidRPr="002C5541">
        <w:rPr>
          <w:lang w:val="pl-PL"/>
        </w:rPr>
        <w:fldChar w:fldCharType="end"/>
      </w:r>
      <w:r w:rsidRPr="002C5541">
        <w:rPr>
          <w:lang w:val="pl-PL"/>
        </w:rPr>
        <w:t>.</w:t>
      </w:r>
      <w:r>
        <w:rPr>
          <w:lang w:val="pl-PL"/>
        </w:rPr>
        <w:t xml:space="preserve"> </w:t>
      </w:r>
      <w:r w:rsidRPr="002C5541">
        <w:rPr>
          <w:lang w:val="pl-PL"/>
        </w:rPr>
        <w:t>Trybunał podkreślił, że każdy z tych elementów, o których mowa była powyżej, tj. wszczęcie śledztwa karnego przez władze „TRPC” oraz fakt, iż podejrzani uciekli na ten obszar Cypru, który znajduje się pod faktyczną kontrolą Turcji, rozpatrywany osobno wystarczyłby do ustalenia związku jurysdykcyjnego z Turcją.</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197</w:t>
      </w:r>
      <w:r w:rsidRPr="002C5541">
        <w:rPr>
          <w:lang w:val="pl-PL"/>
        </w:rPr>
        <w:fldChar w:fldCharType="end"/>
      </w:r>
      <w:r w:rsidRPr="002C5541">
        <w:rPr>
          <w:lang w:val="pl-PL"/>
        </w:rPr>
        <w:t>.</w:t>
      </w:r>
      <w:r>
        <w:rPr>
          <w:lang w:val="pl-PL"/>
        </w:rPr>
        <w:t xml:space="preserve"> </w:t>
      </w:r>
      <w:r w:rsidRPr="002C5541">
        <w:rPr>
          <w:lang w:val="pl-PL"/>
        </w:rPr>
        <w:t>Trybunał stwierdza zatem, że wstępny zarzut Rządu Tur</w:t>
      </w:r>
      <w:r>
        <w:rPr>
          <w:lang w:val="pl-PL"/>
        </w:rPr>
        <w:t>eckiego</w:t>
      </w:r>
      <w:r w:rsidRPr="002C5541">
        <w:rPr>
          <w:lang w:val="pl-PL"/>
        </w:rPr>
        <w:t xml:space="preserve">, podnoszący niezgodność </w:t>
      </w:r>
      <w:r w:rsidRPr="002C5541">
        <w:rPr>
          <w:i/>
          <w:iCs/>
          <w:lang w:val="pl-PL"/>
        </w:rPr>
        <w:t xml:space="preserve">ratione loci, </w:t>
      </w:r>
      <w:r w:rsidRPr="002C5541">
        <w:rPr>
          <w:lang w:val="pl-PL"/>
        </w:rPr>
        <w:t>należy od</w:t>
      </w:r>
      <w:r>
        <w:rPr>
          <w:lang w:val="pl-PL"/>
        </w:rPr>
        <w:t>dalić</w:t>
      </w:r>
      <w:r w:rsidRPr="002C5541">
        <w:rPr>
          <w:lang w:val="pl-PL"/>
        </w:rPr>
        <w:t xml:space="preserve">. Zakres obowiązku proceduralnego spoczywającego na Turcji w okolicznościach niniejszej sprawy, w tym również </w:t>
      </w:r>
      <w:r>
        <w:rPr>
          <w:lang w:val="pl-PL"/>
        </w:rPr>
        <w:t xml:space="preserve">w zakresie tego </w:t>
      </w:r>
      <w:r w:rsidRPr="002C5541">
        <w:rPr>
          <w:lang w:val="pl-PL"/>
        </w:rPr>
        <w:t xml:space="preserve">czy Turcja miała obowiązek współpracować z Cyprem, pozostaje do ustalenia przez Trybunał w </w:t>
      </w:r>
      <w:r>
        <w:rPr>
          <w:lang w:val="pl-PL"/>
        </w:rPr>
        <w:t>kontekście</w:t>
      </w:r>
      <w:r w:rsidRPr="002C5541">
        <w:rPr>
          <w:lang w:val="pl-PL"/>
        </w:rPr>
        <w:t xml:space="preserve"> oceny merytorycznej.</w:t>
      </w:r>
    </w:p>
    <w:p w:rsidR="00110FEE" w:rsidRPr="002C5541" w:rsidRDefault="00110FEE" w:rsidP="00F25813">
      <w:pPr>
        <w:pStyle w:val="ECHRHeading2"/>
        <w:rPr>
          <w:lang w:val="pl-PL"/>
        </w:rPr>
      </w:pPr>
      <w:r w:rsidRPr="002C5541">
        <w:rPr>
          <w:lang w:val="pl-PL"/>
        </w:rPr>
        <w:t>B.</w:t>
      </w:r>
      <w:r>
        <w:rPr>
          <w:lang w:val="pl-PL"/>
        </w:rPr>
        <w:t xml:space="preserve"> </w:t>
      </w:r>
      <w:r w:rsidRPr="002C5541">
        <w:rPr>
          <w:lang w:val="pl-PL"/>
        </w:rPr>
        <w:t>Meritum</w:t>
      </w:r>
    </w:p>
    <w:p w:rsidR="00110FEE" w:rsidRPr="002C5541" w:rsidRDefault="00110FEE" w:rsidP="00F25813">
      <w:pPr>
        <w:pStyle w:val="ECHRHeading3"/>
        <w:rPr>
          <w:lang w:val="pl-PL"/>
        </w:rPr>
      </w:pPr>
      <w:r w:rsidRPr="002C5541">
        <w:rPr>
          <w:lang w:val="pl-PL"/>
        </w:rPr>
        <w:t>1.</w:t>
      </w:r>
      <w:r>
        <w:rPr>
          <w:lang w:val="pl-PL"/>
        </w:rPr>
        <w:t xml:space="preserve"> </w:t>
      </w:r>
      <w:r w:rsidRPr="002C5541">
        <w:rPr>
          <w:lang w:val="pl-PL"/>
        </w:rPr>
        <w:t>Wyrok Izby</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198</w:t>
      </w:r>
      <w:r w:rsidRPr="002C5541">
        <w:rPr>
          <w:lang w:val="pl-PL"/>
        </w:rPr>
        <w:fldChar w:fldCharType="end"/>
      </w:r>
      <w:r w:rsidRPr="002C5541">
        <w:rPr>
          <w:lang w:val="pl-PL"/>
        </w:rPr>
        <w:t>.</w:t>
      </w:r>
      <w:r>
        <w:rPr>
          <w:lang w:val="pl-PL"/>
        </w:rPr>
        <w:t xml:space="preserve"> </w:t>
      </w:r>
      <w:r w:rsidRPr="002C5541">
        <w:rPr>
          <w:lang w:val="pl-PL"/>
        </w:rPr>
        <w:t xml:space="preserve">Izba na początku przyjrzała się argumentom krytycznym wysuniętym przez skarżących przeciwko dwóm równoległym śledztwo prowadzonym przez władze pozwanych Państw (zob. pkt 264-81 wyroku Izby). Jej zdaniem ze stanu faktycznego sprawy jasno wynikało, że władze pozwanych Państw podjęły niezwłocznie znaczną liczbę </w:t>
      </w:r>
      <w:r>
        <w:rPr>
          <w:lang w:val="pl-PL"/>
        </w:rPr>
        <w:t>czynności</w:t>
      </w:r>
      <w:r w:rsidRPr="002C5541">
        <w:rPr>
          <w:lang w:val="pl-PL"/>
        </w:rPr>
        <w:t xml:space="preserve"> dochodzeniowych. Zebrano znaczną liczbę dowodów i szybko zidentyfikowano, odnaleziono i złapano ośmiu podejrzanych (zob. pkt 266, 269, 276, 277 wyroku Izby). Jeśli chodzi o zarzut</w:t>
      </w:r>
      <w:r>
        <w:rPr>
          <w:lang w:val="pl-PL"/>
        </w:rPr>
        <w:t>, jaki</w:t>
      </w:r>
      <w:r w:rsidRPr="002C5541">
        <w:rPr>
          <w:lang w:val="pl-PL"/>
        </w:rPr>
        <w:t xml:space="preserve"> skarżący</w:t>
      </w:r>
      <w:r>
        <w:rPr>
          <w:lang w:val="pl-PL"/>
        </w:rPr>
        <w:t xml:space="preserve"> podnieśli </w:t>
      </w:r>
      <w:r w:rsidRPr="002C5541">
        <w:rPr>
          <w:lang w:val="pl-PL"/>
        </w:rPr>
        <w:t>przeciwko Cyprowi</w:t>
      </w:r>
      <w:r>
        <w:rPr>
          <w:lang w:val="pl-PL"/>
        </w:rPr>
        <w:t>,</w:t>
      </w:r>
      <w:r w:rsidRPr="002C5541">
        <w:rPr>
          <w:lang w:val="pl-PL"/>
        </w:rPr>
        <w:t xml:space="preserve"> w zakresie wniosku o ekstradycję, Izba zauważyła, że nic nie świadczyło o tym, że wnioski złożono niepoprawnie lub niewłaściwymi kanałami i że fakt ich złożenia po upływie trzech i pół roku od wydania czerwonych not nie stanowi istotnej przeszkody (zob. pkt 272 wyroku Izby). Izba stwierdziła także, że nie jest przekonana co do </w:t>
      </w:r>
      <w:r>
        <w:rPr>
          <w:lang w:val="pl-PL"/>
        </w:rPr>
        <w:t xml:space="preserve">tego, że </w:t>
      </w:r>
      <w:r w:rsidRPr="002C5541">
        <w:rPr>
          <w:lang w:val="pl-PL"/>
        </w:rPr>
        <w:t>skarżący</w:t>
      </w:r>
      <w:r>
        <w:rPr>
          <w:lang w:val="pl-PL"/>
        </w:rPr>
        <w:t xml:space="preserve"> zostali wykluczeni </w:t>
      </w:r>
      <w:r w:rsidRPr="002C5541">
        <w:rPr>
          <w:lang w:val="pl-PL"/>
        </w:rPr>
        <w:t xml:space="preserve">ze śledztwa prowadzonego przez władze cypryjskie (zob. pkt 274 wyroku Izby). W odniesieniu do śledztwa władz „TRPC” Izba zwróciła uwagę, że nie doprowadziło ono do skazania kogokolwiek ze względu na brak dowodów (zob. pkt 280 wyroku Izby). Z tego </w:t>
      </w:r>
      <w:r>
        <w:rPr>
          <w:lang w:val="pl-PL"/>
        </w:rPr>
        <w:t>powodu</w:t>
      </w:r>
      <w:r w:rsidRPr="002C5541">
        <w:rPr>
          <w:lang w:val="pl-PL"/>
        </w:rPr>
        <w:t xml:space="preserve"> Izba nie zauważyła żadnych uchybień, które mogłyby podać w wątpliwość ogólną adekwatność samych śledztw. </w:t>
      </w:r>
      <w:r>
        <w:rPr>
          <w:lang w:val="pl-PL"/>
        </w:rPr>
        <w:t>Uznała</w:t>
      </w:r>
      <w:r w:rsidRPr="002C5541">
        <w:rPr>
          <w:lang w:val="pl-PL"/>
        </w:rPr>
        <w:t xml:space="preserve"> jednak, że nie ma potrzeby dokonywać ustaleń na podstawie art. 2, </w:t>
      </w:r>
      <w:r>
        <w:rPr>
          <w:lang w:val="pl-PL"/>
        </w:rPr>
        <w:t>gdyż doszła do wniosku, iż pozwane Państwa nie wywiązany się z obowiązku współpracy</w:t>
      </w:r>
      <w:r w:rsidRPr="002C5541">
        <w:rPr>
          <w:lang w:val="pl-PL"/>
        </w:rPr>
        <w:t xml:space="preserve"> (zob. pkt</w:t>
      </w:r>
      <w:r>
        <w:rPr>
          <w:lang w:val="pl-PL"/>
        </w:rPr>
        <w:t xml:space="preserve"> </w:t>
      </w:r>
      <w:r w:rsidRPr="002C5541">
        <w:rPr>
          <w:lang w:val="pl-PL"/>
        </w:rPr>
        <w:t>281 wyroku Izby).</w:t>
      </w:r>
    </w:p>
    <w:p w:rsidR="00110FEE" w:rsidRPr="002C5541" w:rsidRDefault="00110FEE" w:rsidP="006305A5">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199</w:t>
      </w:r>
      <w:r w:rsidRPr="002C5541">
        <w:rPr>
          <w:lang w:val="pl-PL"/>
        </w:rPr>
        <w:fldChar w:fldCharType="end"/>
      </w:r>
      <w:r w:rsidRPr="002C5541">
        <w:rPr>
          <w:lang w:val="pl-PL"/>
        </w:rPr>
        <w:t>.</w:t>
      </w:r>
      <w:r>
        <w:rPr>
          <w:lang w:val="pl-PL"/>
        </w:rPr>
        <w:t xml:space="preserve"> </w:t>
      </w:r>
      <w:r w:rsidRPr="002C5541">
        <w:rPr>
          <w:lang w:val="pl-PL"/>
        </w:rPr>
        <w:t xml:space="preserve">Izba przeszła następnie do kwestii, czy władze obu pozwanych Państw podjęły wszelkie działania, jakich można od nich zasadnie wymagać w tych okolicznościach. W przypadku – jak w sprawie skarżących – gdy w śledztwo w sprawie bezprawnego pozbawienia życia niewątpliwie uwikłane było więcej niż jedno państwo, pozwane Państwa miały obowiązek współpracować ze sobą i podjąć wszelkie zasadne działania, jakie były konieczne w celu przeprowadzenia skutecznego śledztwa w sprawie jako takiej (zob. pkt 285 wyroku Izby). Chociaż zdaniem Izby pozwane Państwa miały sposobność znalezienia rozwiązania i dojścia do porozumienia za pośrednictwem UNFICYP (Sił Pokojowych Organizacji Narodów Zjednoczonych na Cyprze), nie skorzystały z tej sposobności w pełnym zakresie. Wszelkie sugestie poczynione w celu znalezienia kompromisowego rozwiązania lub w celu umożliwienia zainteresowanym władzom spotkania się w połowie drogi (np. spotkania na neutralnym terytorium między obiema stronami, przesłuchania podejrzanych w strefie buforowej ONZ, proces ad hoc w neutralnym miejscu itp.) spotkały się ze stanowczą odmową ze strony tych władz. Stanowisko to wynikało ze względów politycznych, które odzwierciedlały długotrwały i intensywny spór polityczny między Cyprem a Turcją. Ze strony Rządu </w:t>
      </w:r>
      <w:r>
        <w:rPr>
          <w:lang w:val="pl-PL"/>
        </w:rPr>
        <w:t>Cypryjski</w:t>
      </w:r>
      <w:r w:rsidRPr="002C5541">
        <w:rPr>
          <w:lang w:val="pl-PL"/>
        </w:rPr>
        <w:t xml:space="preserve"> widać było wyraźnie, że niechęć do współpracy powodowana była </w:t>
      </w:r>
      <w:r>
        <w:rPr>
          <w:lang w:val="pl-PL"/>
        </w:rPr>
        <w:t>niechęcią</w:t>
      </w:r>
      <w:r w:rsidRPr="002C5541">
        <w:rPr>
          <w:lang w:val="pl-PL"/>
        </w:rPr>
        <w:t xml:space="preserve"> nadania jakiejkolwiek legitymacji „TRPC” – który to argument Izba odrzuciła. Izba orzekła, że nie zgadza się, iż działania zmierzające do podjęcia współpracy mającej na celu posunięcie śledztwa do przodu oznaczałyby uznanie – dorozumiane lub wyraźne – „TRPC” (zob. pkt 291 wyroku Izby). Z drugiej strony było dla Izby </w:t>
      </w:r>
      <w:r>
        <w:rPr>
          <w:lang w:val="pl-PL"/>
        </w:rPr>
        <w:t>zastanawiające</w:t>
      </w:r>
      <w:r w:rsidRPr="002C5541">
        <w:rPr>
          <w:lang w:val="pl-PL"/>
        </w:rPr>
        <w:t>, że wnioski o ekstradycję złożone przez Rząd Cypr</w:t>
      </w:r>
      <w:r>
        <w:rPr>
          <w:lang w:val="pl-PL"/>
        </w:rPr>
        <w:t>yjski</w:t>
      </w:r>
      <w:r w:rsidRPr="002C5541">
        <w:rPr>
          <w:lang w:val="pl-PL"/>
        </w:rPr>
        <w:t>, będący jedynym prawowitym rządem na Cyprze, zostały w całości zignorowane przez Rząd Tur</w:t>
      </w:r>
      <w:r>
        <w:rPr>
          <w:lang w:val="pl-PL"/>
        </w:rPr>
        <w:t xml:space="preserve">ecki </w:t>
      </w:r>
      <w:r w:rsidRPr="002C5541">
        <w:rPr>
          <w:lang w:val="pl-PL"/>
        </w:rPr>
        <w:t>(zob. pkt 292 wyroku Izby).</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200</w:t>
      </w:r>
      <w:r w:rsidRPr="002C5541">
        <w:rPr>
          <w:lang w:val="pl-PL"/>
        </w:rPr>
        <w:fldChar w:fldCharType="end"/>
      </w:r>
      <w:r w:rsidRPr="002C5541">
        <w:rPr>
          <w:lang w:val="pl-PL"/>
        </w:rPr>
        <w:t>.</w:t>
      </w:r>
      <w:r>
        <w:rPr>
          <w:lang w:val="pl-PL"/>
        </w:rPr>
        <w:t xml:space="preserve"> </w:t>
      </w:r>
      <w:r w:rsidRPr="002C5541">
        <w:rPr>
          <w:lang w:val="pl-PL"/>
        </w:rPr>
        <w:t xml:space="preserve">Izba zauważyła, że brak współpracy – czy to bezpośrednio, czy za pośrednictwem UNFICYP – doprowadził do sytuacji, gdy śledztwa obu pozwanych Państw są w toku i nie podjęto żadnych kroków przez okres </w:t>
      </w:r>
      <w:r>
        <w:rPr>
          <w:lang w:val="pl-PL"/>
        </w:rPr>
        <w:t xml:space="preserve">ostatnich </w:t>
      </w:r>
      <w:r w:rsidRPr="002C5541">
        <w:rPr>
          <w:lang w:val="pl-PL"/>
        </w:rPr>
        <w:t>ośmiu lat. Podejrzani zostali w tym czasie wypuszczeni. Biorąc pod uwagę brak współpracy między pozwanymi Państwami, Izba doszła do wniosku, że oba Państwa dopuściły się naruszenia art. 2</w:t>
      </w:r>
      <w:r>
        <w:rPr>
          <w:lang w:val="pl-PL"/>
        </w:rPr>
        <w:t xml:space="preserve"> w jego aspekcie proceduralnym</w:t>
      </w:r>
      <w:r w:rsidRPr="002C5541">
        <w:rPr>
          <w:lang w:val="pl-PL"/>
        </w:rPr>
        <w:t>.</w:t>
      </w:r>
    </w:p>
    <w:p w:rsidR="00110FEE" w:rsidRPr="002C5541" w:rsidRDefault="00110FEE" w:rsidP="00F25813">
      <w:pPr>
        <w:pStyle w:val="ECHRHeading3"/>
        <w:rPr>
          <w:lang w:val="pl-PL"/>
        </w:rPr>
      </w:pPr>
      <w:r w:rsidRPr="002C5541">
        <w:rPr>
          <w:lang w:val="pl-PL"/>
        </w:rPr>
        <w:t>2.</w:t>
      </w:r>
      <w:r>
        <w:rPr>
          <w:lang w:val="pl-PL"/>
        </w:rPr>
        <w:t xml:space="preserve"> </w:t>
      </w:r>
      <w:r w:rsidRPr="002C5541">
        <w:rPr>
          <w:lang w:val="pl-PL"/>
        </w:rPr>
        <w:t>Oświadczenia stron przed Wielką Izbą</w:t>
      </w:r>
    </w:p>
    <w:p w:rsidR="00110FEE" w:rsidRPr="002C5541" w:rsidRDefault="00110FEE" w:rsidP="00F25813">
      <w:pPr>
        <w:pStyle w:val="ECHRHeading4"/>
        <w:rPr>
          <w:lang w:val="pl-PL"/>
        </w:rPr>
      </w:pPr>
      <w:r w:rsidRPr="002C5541">
        <w:rPr>
          <w:lang w:val="pl-PL"/>
        </w:rPr>
        <w:t>(a)</w:t>
      </w:r>
      <w:r>
        <w:rPr>
          <w:lang w:val="pl-PL"/>
        </w:rPr>
        <w:t xml:space="preserve"> </w:t>
      </w:r>
      <w:r w:rsidRPr="002C5541">
        <w:rPr>
          <w:lang w:val="pl-PL"/>
        </w:rPr>
        <w:t>Skarżący</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201</w:t>
      </w:r>
      <w:r w:rsidRPr="002C5541">
        <w:rPr>
          <w:lang w:val="pl-PL"/>
        </w:rPr>
        <w:fldChar w:fldCharType="end"/>
      </w:r>
      <w:r w:rsidRPr="002C5541">
        <w:rPr>
          <w:lang w:val="pl-PL"/>
        </w:rPr>
        <w:t>.</w:t>
      </w:r>
      <w:r>
        <w:rPr>
          <w:lang w:val="pl-PL"/>
        </w:rPr>
        <w:t xml:space="preserve"> </w:t>
      </w:r>
      <w:r w:rsidRPr="002C5541">
        <w:rPr>
          <w:lang w:val="pl-PL"/>
        </w:rPr>
        <w:t xml:space="preserve">Skarżący wnieśli, że w przypadku morderstwa obejmującego element transjurysdykcyjny art. 2 Konwencji </w:t>
      </w:r>
      <w:r>
        <w:rPr>
          <w:lang w:val="pl-PL"/>
        </w:rPr>
        <w:t xml:space="preserve">w jego aspekcie proceduralnym </w:t>
      </w:r>
      <w:r w:rsidRPr="002C5541">
        <w:rPr>
          <w:lang w:val="pl-PL"/>
        </w:rPr>
        <w:t xml:space="preserve">nakłada na Umawiające się Państwa odpowiedzialne za zabezpieczenie prawa do życia obowiązek współpracy w celu zabezpieczenia dowodów i realizacji praw człowieka w kontaktach z organami ściągania drugiego państwa. Obowiązek ten wynika bezpośrednio z obowiązku </w:t>
      </w:r>
      <w:r w:rsidRPr="009C2E62">
        <w:rPr>
          <w:lang w:val="pl-PL"/>
        </w:rPr>
        <w:t xml:space="preserve">zabezpieczenia aspektu proceduralnego prawa do życia </w:t>
      </w:r>
      <w:r w:rsidRPr="002C5541">
        <w:rPr>
          <w:lang w:val="pl-PL"/>
        </w:rPr>
        <w:t xml:space="preserve">przez każde z pozwanych Państw w ramach „przestrzeni prawnej Konwencji” na podstawie art. 2 czytanego łącznie z art. 1 Konwencji. Jako że na podstawie art. 15 </w:t>
      </w:r>
      <w:r>
        <w:rPr>
          <w:lang w:val="pl-PL"/>
        </w:rPr>
        <w:t>ust.</w:t>
      </w:r>
      <w:r w:rsidRPr="002C5541">
        <w:rPr>
          <w:lang w:val="pl-PL"/>
        </w:rPr>
        <w:t xml:space="preserve"> 2 Konwencji odstępstwo od art. 2 nie jest dopuszczalne, nie można również odstąpić od obowiązku współpracy. Skarżący dowodzili, że oba Państwa powinny przyjąć podejście </w:t>
      </w:r>
      <w:r>
        <w:rPr>
          <w:lang w:val="pl-PL"/>
        </w:rPr>
        <w:t xml:space="preserve">pragmatyczne </w:t>
      </w:r>
      <w:r w:rsidRPr="002C5541">
        <w:rPr>
          <w:lang w:val="pl-PL"/>
        </w:rPr>
        <w:t>i odłożyć na bok względy polityczne. Uznali, że – ze względów wskazanych w wyroku Izby – oba Państwa nie zrealizowały ciążącego na nich obowiązku współpracy.</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202</w:t>
      </w:r>
      <w:r w:rsidRPr="002C5541">
        <w:rPr>
          <w:lang w:val="pl-PL"/>
        </w:rPr>
        <w:fldChar w:fldCharType="end"/>
      </w:r>
      <w:r w:rsidRPr="002C5541">
        <w:rPr>
          <w:lang w:val="pl-PL"/>
        </w:rPr>
        <w:t>.</w:t>
      </w:r>
      <w:r>
        <w:rPr>
          <w:lang w:val="pl-PL"/>
        </w:rPr>
        <w:t xml:space="preserve"> </w:t>
      </w:r>
      <w:r w:rsidRPr="002C5541">
        <w:rPr>
          <w:lang w:val="pl-PL"/>
        </w:rPr>
        <w:t>Jeśli chodzi o odpowiedzialność Cypru, skarżący stwierdzili, że Trybunał wielokrotnie uznał, iż wejście w interakcję z systemem prawnym faktycznej administracji na północnym Cyprze dla celów ochrony praw człowieka nie oznacza uznania – dorozumianego lub wyraźnego – „TRPC”</w:t>
      </w:r>
      <w:r>
        <w:rPr>
          <w:lang w:val="pl-PL"/>
        </w:rPr>
        <w:t xml:space="preserve"> </w:t>
      </w:r>
      <w:r w:rsidRPr="002C5541">
        <w:rPr>
          <w:lang w:val="pl-PL"/>
        </w:rPr>
        <w:t xml:space="preserve">(w oparciu o </w:t>
      </w:r>
      <w:r w:rsidRPr="002C5541">
        <w:rPr>
          <w:i/>
          <w:iCs/>
          <w:lang w:val="pl-PL"/>
        </w:rPr>
        <w:t>Cypr przeciwko Turcji</w:t>
      </w:r>
      <w:r w:rsidRPr="002C5541">
        <w:rPr>
          <w:lang w:val="pl-PL"/>
        </w:rPr>
        <w:t xml:space="preserve">, </w:t>
      </w:r>
      <w:r>
        <w:rPr>
          <w:snapToGrid w:val="0"/>
          <w:lang w:val="pl-PL"/>
        </w:rPr>
        <w:t xml:space="preserve">wyrok cytowany </w:t>
      </w:r>
      <w:r w:rsidRPr="002C5541">
        <w:rPr>
          <w:snapToGrid w:val="0"/>
          <w:lang w:val="pl-PL"/>
        </w:rPr>
        <w:t>powyżej,</w:t>
      </w:r>
      <w:r w:rsidRPr="002C5541">
        <w:rPr>
          <w:lang w:val="pl-PL"/>
        </w:rPr>
        <w:t xml:space="preserve"> § 238). Również zaangażowanie się w postępowanie karne </w:t>
      </w:r>
      <w:r>
        <w:rPr>
          <w:lang w:val="pl-PL"/>
        </w:rPr>
        <w:t xml:space="preserve">prowadzone przez </w:t>
      </w:r>
      <w:r w:rsidRPr="002C5541">
        <w:rPr>
          <w:lang w:val="pl-PL"/>
        </w:rPr>
        <w:t>nieuznawan</w:t>
      </w:r>
      <w:r>
        <w:rPr>
          <w:lang w:val="pl-PL"/>
        </w:rPr>
        <w:t>y</w:t>
      </w:r>
      <w:r w:rsidRPr="002C5541">
        <w:rPr>
          <w:lang w:val="pl-PL"/>
        </w:rPr>
        <w:t xml:space="preserve"> podmiot nie pociągało za sobą uznania, czego dowodzi współpraca Zjednoczonego Królestwa z systemem </w:t>
      </w:r>
      <w:r>
        <w:rPr>
          <w:lang w:val="pl-PL"/>
        </w:rPr>
        <w:t xml:space="preserve">sądownictwa </w:t>
      </w:r>
      <w:r w:rsidRPr="002C5541">
        <w:rPr>
          <w:lang w:val="pl-PL"/>
        </w:rPr>
        <w:t>karn</w:t>
      </w:r>
      <w:r>
        <w:rPr>
          <w:lang w:val="pl-PL"/>
        </w:rPr>
        <w:t xml:space="preserve">ego </w:t>
      </w:r>
      <w:r w:rsidRPr="002C5541">
        <w:rPr>
          <w:lang w:val="pl-PL"/>
        </w:rPr>
        <w:t xml:space="preserve">„TRPC”. W każdym razie prawo do życia stanowi absolutne prawo na podstawie art. 15 </w:t>
      </w:r>
      <w:r>
        <w:rPr>
          <w:lang w:val="pl-PL"/>
        </w:rPr>
        <w:t xml:space="preserve">ust. </w:t>
      </w:r>
      <w:r w:rsidRPr="002C5541">
        <w:rPr>
          <w:lang w:val="pl-PL"/>
        </w:rPr>
        <w:t xml:space="preserve">2 Konwencji, od którego Państwa nie mogą w żadnym zakresie odstąpić, nawet w dążeniu do </w:t>
      </w:r>
      <w:r>
        <w:rPr>
          <w:lang w:val="pl-PL"/>
        </w:rPr>
        <w:t xml:space="preserve">realizacji obowiązku </w:t>
      </w:r>
      <w:r w:rsidRPr="002C5541">
        <w:rPr>
          <w:lang w:val="pl-PL"/>
        </w:rPr>
        <w:t>nieuznawania. Zdaniem skarżących ochrona praw człowieka społeczności Turków cypryjskich, którzy również są obywatelami Republiki Cypr</w:t>
      </w:r>
      <w:r>
        <w:rPr>
          <w:lang w:val="pl-PL"/>
        </w:rPr>
        <w:t>yjskiej</w:t>
      </w:r>
      <w:r w:rsidRPr="002C5541">
        <w:rPr>
          <w:lang w:val="pl-PL"/>
        </w:rPr>
        <w:t xml:space="preserve">, nie </w:t>
      </w:r>
      <w:r>
        <w:rPr>
          <w:lang w:val="pl-PL"/>
        </w:rPr>
        <w:t>mogła</w:t>
      </w:r>
      <w:r w:rsidRPr="002C5541">
        <w:rPr>
          <w:lang w:val="pl-PL"/>
        </w:rPr>
        <w:t xml:space="preserve"> stanowić naruszenia obowiązku nieuznawania, lecz raczej daje Cyprowi sposobność potwierdzenia swojej jurysdykcji na całym obszarze Cypru w zakresie ochrony praw człowieka na podstawie art. 1 Konwencji. </w:t>
      </w:r>
      <w:r>
        <w:rPr>
          <w:lang w:val="pl-PL"/>
        </w:rPr>
        <w:t>Cel ten mógłby zostać osiągnięty</w:t>
      </w:r>
      <w:r w:rsidRPr="002C5541">
        <w:rPr>
          <w:lang w:val="pl-PL"/>
        </w:rPr>
        <w:t>, gdyby władze cypryjskie zrealizowały ciążący na nich obowiązek współpracy i podjęły w dobrzej wierze negocjacje w celu osiągnięcia kompromisu.</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203</w:t>
      </w:r>
      <w:r w:rsidRPr="002C5541">
        <w:rPr>
          <w:lang w:val="pl-PL"/>
        </w:rPr>
        <w:fldChar w:fldCharType="end"/>
      </w:r>
      <w:r w:rsidRPr="002C5541">
        <w:rPr>
          <w:lang w:val="pl-PL"/>
        </w:rPr>
        <w:t>.</w:t>
      </w:r>
      <w:r>
        <w:rPr>
          <w:lang w:val="pl-PL"/>
        </w:rPr>
        <w:t xml:space="preserve"> </w:t>
      </w:r>
      <w:r w:rsidRPr="002C5541">
        <w:rPr>
          <w:lang w:val="pl-PL"/>
        </w:rPr>
        <w:t xml:space="preserve">Na rozprawie skarżący dodali, że Trybunał w swoim orzecznictwie przewidział odstępstwo od obowiązku nieuznawania w przypadku, gdy chodzi o ochronę praw człowieka (odwołali się m.in. do </w:t>
      </w:r>
      <w:r w:rsidRPr="002C5541">
        <w:rPr>
          <w:i/>
          <w:iCs/>
          <w:lang w:val="pl-PL"/>
        </w:rPr>
        <w:t xml:space="preserve">Cypr przeciwko Turcji, </w:t>
      </w:r>
      <w:r w:rsidRPr="009C2E62">
        <w:rPr>
          <w:lang w:val="pl-PL"/>
        </w:rPr>
        <w:t>wyrok cytowany powyżej</w:t>
      </w:r>
      <w:r w:rsidRPr="002C5541">
        <w:rPr>
          <w:lang w:val="pl-PL"/>
        </w:rPr>
        <w:t xml:space="preserve">, §§ 90-101), w tym znaczeniu, że prawa człowieka przeważają nad tym obowiązkiem. Wyjątek ten będzie obowiązywać </w:t>
      </w:r>
      <w:r>
        <w:rPr>
          <w:lang w:val="pl-PL"/>
        </w:rPr>
        <w:t>z</w:t>
      </w:r>
      <w:r w:rsidRPr="002C5541">
        <w:rPr>
          <w:lang w:val="pl-PL"/>
        </w:rPr>
        <w:t xml:space="preserve"> jeszcze większą mocą, gdy w grę wchodzi prawo do życia. Przekazanie dowodów przez policję cypryjską do </w:t>
      </w:r>
      <w:r w:rsidRPr="002C5541">
        <w:rPr>
          <w:i/>
          <w:iCs/>
          <w:lang w:val="pl-PL"/>
        </w:rPr>
        <w:t xml:space="preserve">de facto </w:t>
      </w:r>
      <w:r w:rsidRPr="002C5541">
        <w:rPr>
          <w:lang w:val="pl-PL"/>
        </w:rPr>
        <w:t>policji „TRPC” dla celów zatrzymania podejrzanych nie stanowiło działania pociągającego za sobą rezygnację z suwerenności lub jurysdykcji. Skarżący wskazali, że nigdy nie twierdzili, iż dowody należy przekazać, żeby proces mógł mieć miejsce w „TRPC”.</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204</w:t>
      </w:r>
      <w:r w:rsidRPr="002C5541">
        <w:rPr>
          <w:lang w:val="pl-PL"/>
        </w:rPr>
        <w:fldChar w:fldCharType="end"/>
      </w:r>
      <w:r w:rsidRPr="002C5541">
        <w:rPr>
          <w:lang w:val="pl-PL"/>
        </w:rPr>
        <w:t>.</w:t>
      </w:r>
      <w:r>
        <w:rPr>
          <w:lang w:val="pl-PL"/>
        </w:rPr>
        <w:t xml:space="preserve"> </w:t>
      </w:r>
      <w:r w:rsidRPr="002C5541">
        <w:rPr>
          <w:lang w:val="pl-PL"/>
        </w:rPr>
        <w:t>W kwestii odpowiedzialności Turcji skarżący dowodzili, że Turcja przyjęła jurysdykcję na podstawie art.</w:t>
      </w:r>
      <w:r>
        <w:rPr>
          <w:lang w:val="pl-PL"/>
        </w:rPr>
        <w:t xml:space="preserve"> </w:t>
      </w:r>
      <w:r w:rsidRPr="002C5541">
        <w:rPr>
          <w:lang w:val="pl-PL"/>
        </w:rPr>
        <w:t>1 Konwencji, jako że sprawowała faktyczną kontrolę nad północnym Cyprem. Turcja zobowiązana była również – jako Państwo okupujące – do „powzięcia wszystkich będących w jej mocy środków, celem przywrócenia i zapewnienia, o ile to jest możliwem, porządku i życia społecznego, przestrzegając, z wyjątkiem bezwzględnych przeszkód, prawa obowiązujące” (odwołanie do art. 43 IV konwencji haskiej z 1907 r. dotyczącej praw i zwyczajów wojny lądowej). Z tego powodu Turcja miała obowiązek współpracy z prawowitym Rządem Cypr</w:t>
      </w:r>
      <w:r>
        <w:rPr>
          <w:lang w:val="pl-PL"/>
        </w:rPr>
        <w:t>yjskim</w:t>
      </w:r>
      <w:r w:rsidRPr="002C5541">
        <w:rPr>
          <w:lang w:val="pl-PL"/>
        </w:rPr>
        <w:t xml:space="preserve"> dla celów zabezpieczenia praw człowieka w przypadkach transgranicznych, zapewniając, że podejrzani o morderstwo, którzy uciekli z obszaru podlegającego skutecznej kontroli Republiki Cypr</w:t>
      </w:r>
      <w:r>
        <w:rPr>
          <w:lang w:val="pl-PL"/>
        </w:rPr>
        <w:t>yjskiej</w:t>
      </w:r>
      <w:r w:rsidRPr="002C5541">
        <w:rPr>
          <w:lang w:val="pl-PL"/>
        </w:rPr>
        <w:t xml:space="preserve">, mogli być skazani. Odmawiając podjęcia jakichkolwiek działań w odniesieniu do wniosków o ekstradycję otrzymanych od Cypru, Turcja nie podjęła nawet minimum współpracy. Ponadto, władze „TRPC” nie były skłonne dojść do jakiegokolwiek kompromisu, nalegając, że proces powinien odbyć się w „TRPC”. Powinny być przynajmniej gotowe podjąć negocjacje w dobrej wierze w sprawie wydania podejrzanych na potrzeby procesu poza „TRPC”, np. przez emerytowanych sędziów ze wspólnoty Turków cypryjskich lub ewentualnie w strefie buforowej ONZ. Takie elastyczne i pragmatyczne podejście załagodziłoby </w:t>
      </w:r>
      <w:r>
        <w:rPr>
          <w:lang w:val="pl-PL"/>
        </w:rPr>
        <w:t>problemy</w:t>
      </w:r>
      <w:r w:rsidRPr="002C5541">
        <w:rPr>
          <w:lang w:val="pl-PL"/>
        </w:rPr>
        <w:t xml:space="preserve"> związane z uznawaniem i ułatwiłoby osiągnięcie kompromisu w zakresie zabezpieczenia dowodów z Cypru.</w:t>
      </w:r>
    </w:p>
    <w:p w:rsidR="00110FEE" w:rsidRPr="002C5541" w:rsidRDefault="00110FEE" w:rsidP="00F25813">
      <w:pPr>
        <w:pStyle w:val="ECHRHeading4"/>
        <w:rPr>
          <w:lang w:val="pl-PL"/>
        </w:rPr>
      </w:pPr>
      <w:r w:rsidRPr="002C5541">
        <w:rPr>
          <w:lang w:val="pl-PL"/>
        </w:rPr>
        <w:t>(b)</w:t>
      </w:r>
      <w:r>
        <w:rPr>
          <w:lang w:val="pl-PL"/>
        </w:rPr>
        <w:t xml:space="preserve"> </w:t>
      </w:r>
      <w:r w:rsidRPr="002C5541">
        <w:rPr>
          <w:lang w:val="pl-PL"/>
        </w:rPr>
        <w:t>Rząd Cypr</w:t>
      </w:r>
      <w:r>
        <w:rPr>
          <w:lang w:val="pl-PL"/>
        </w:rPr>
        <w:t>yjski</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205</w:t>
      </w:r>
      <w:r w:rsidRPr="002C5541">
        <w:rPr>
          <w:lang w:val="pl-PL"/>
        </w:rPr>
        <w:fldChar w:fldCharType="end"/>
      </w:r>
      <w:r w:rsidRPr="002C5541">
        <w:rPr>
          <w:lang w:val="pl-PL"/>
        </w:rPr>
        <w:t>.</w:t>
      </w:r>
      <w:r>
        <w:rPr>
          <w:lang w:val="pl-PL"/>
        </w:rPr>
        <w:t xml:space="preserve"> </w:t>
      </w:r>
      <w:r w:rsidRPr="002C5541">
        <w:rPr>
          <w:lang w:val="pl-PL"/>
        </w:rPr>
        <w:t>Rząd Cypr</w:t>
      </w:r>
      <w:r>
        <w:rPr>
          <w:lang w:val="pl-PL"/>
        </w:rPr>
        <w:t>yjski</w:t>
      </w:r>
      <w:r w:rsidRPr="002C5541">
        <w:rPr>
          <w:lang w:val="pl-PL"/>
        </w:rPr>
        <w:t xml:space="preserve"> wskazał, że podjął kroki, których można było zasadnie od niego oczekiwać, w celu zabezpieczenia praw skarżących na podstawie art. 2, biorąc pod uwagę nadzwyczajnie okoliczności </w:t>
      </w:r>
      <w:r>
        <w:rPr>
          <w:lang w:val="pl-PL"/>
        </w:rPr>
        <w:t>dotyczące</w:t>
      </w:r>
      <w:r w:rsidRPr="002C5541">
        <w:rPr>
          <w:lang w:val="pl-PL"/>
        </w:rPr>
        <w:t xml:space="preserve"> nielegalnej okupacji. Władze zrealizowały swój obowiązek na podstawie art. 2, bowiem przeprowadziły skuteczne śledztwo, które doprowadziło do zidentyfikowania domniemanych sprawców morderstwa (zob. pkt 265-66 i 281 wyroku Izby); w śledztwie </w:t>
      </w:r>
      <w:r w:rsidRPr="009C2E62">
        <w:rPr>
          <w:lang w:val="pl-PL"/>
        </w:rPr>
        <w:t xml:space="preserve">skarżący </w:t>
      </w:r>
      <w:r w:rsidRPr="002C5541">
        <w:rPr>
          <w:lang w:val="pl-PL"/>
        </w:rPr>
        <w:t>brali udział. Fakt, że nie doszło do skazania, nie podważa adekwatności śledztwa, ponieważ obowiązek proceduralny na podstawie art. 2 jest obowiązkiem dotyczącym środków, nie rezultatu. Ten obowiązek proceduralny wymaga jedynie, żeby Państwo podjęło zasadne działania w konkretnych okolicznościach. Cypr podjął wszelkie zasadnie możliwe kroki w celu zabezpieczenia dostępu do podejrzanych, lecz nie miał żadnego wpływu na odmowę spełnienia wniosku władz cypryjskich przez Turcję i „TRPC”.</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206</w:t>
      </w:r>
      <w:r w:rsidRPr="002C5541">
        <w:rPr>
          <w:lang w:val="pl-PL"/>
        </w:rPr>
        <w:fldChar w:fldCharType="end"/>
      </w:r>
      <w:r w:rsidRPr="002C5541">
        <w:rPr>
          <w:lang w:val="pl-PL"/>
        </w:rPr>
        <w:t>.</w:t>
      </w:r>
      <w:r>
        <w:rPr>
          <w:lang w:val="pl-PL"/>
        </w:rPr>
        <w:t xml:space="preserve"> </w:t>
      </w:r>
      <w:r w:rsidRPr="002C5541">
        <w:rPr>
          <w:lang w:val="pl-PL"/>
        </w:rPr>
        <w:t>Jeśli chodzi o obowiązek współpracy, Rząd Cypr</w:t>
      </w:r>
      <w:r>
        <w:rPr>
          <w:lang w:val="pl-PL"/>
        </w:rPr>
        <w:t>yjski</w:t>
      </w:r>
      <w:r w:rsidRPr="002C5541">
        <w:rPr>
          <w:lang w:val="pl-PL"/>
        </w:rPr>
        <w:t xml:space="preserve"> podniósł, że decyzja w sprawie </w:t>
      </w:r>
      <w:r w:rsidRPr="002C5541">
        <w:rPr>
          <w:i/>
          <w:iCs/>
          <w:lang w:val="pl-PL"/>
        </w:rPr>
        <w:t xml:space="preserve">O’Loughlin </w:t>
      </w:r>
      <w:r w:rsidRPr="002C5541">
        <w:rPr>
          <w:lang w:val="pl-PL"/>
        </w:rPr>
        <w:t>(</w:t>
      </w:r>
      <w:r>
        <w:rPr>
          <w:lang w:val="pl-PL"/>
        </w:rPr>
        <w:t>wyrok cytowany</w:t>
      </w:r>
      <w:r w:rsidRPr="002C5541">
        <w:rPr>
          <w:lang w:val="pl-PL"/>
        </w:rPr>
        <w:t xml:space="preserve"> powyżej) nie implikowała ogólnego obowiązku współpracy. Art. 2 w wykładni wynikającej z tej decyzji nie nakłada żadnego obowiązku na Cypr, który był jurysdykcją, gdzie morderstwa miały miejsce. </w:t>
      </w:r>
      <w:r>
        <w:rPr>
          <w:lang w:val="pl-PL"/>
        </w:rPr>
        <w:t>Nakłada</w:t>
      </w:r>
      <w:r w:rsidRPr="002C5541">
        <w:rPr>
          <w:lang w:val="pl-PL"/>
        </w:rPr>
        <w:t xml:space="preserve"> on jednak obowiązek współpracy na Państwo, do którego domniemani sprawcy zbiegli, tj. w tym przypadku na Turcję, która kontrolowała terytorium „TRPC”. Nawet gdyby Trybunał uznał, że art. 2 wymaga, aby Państwo, w którym doszło do ataku ze skutkiem śmiertelnym, współpracowało z innym Państwem, Cypr podjął wszelkie działania, jakie mogą być od niego zasadnie wymagane, składając do Turcji wniosek o ekstradycję. Zrobił nawet więcej, jako że zaoferował dostarczenie dowodów na potrzeby niezależnej oceny przez UNFICYP w celu wykazania, że wnioski o wydanie lub ekstradycję podejrzanych były poparte dowodami.</w:t>
      </w:r>
    </w:p>
    <w:p w:rsidR="00110FEE" w:rsidRPr="002C5541" w:rsidRDefault="00110FEE" w:rsidP="00624608">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207</w:t>
      </w:r>
      <w:r w:rsidRPr="002C5541">
        <w:rPr>
          <w:lang w:val="pl-PL"/>
        </w:rPr>
        <w:fldChar w:fldCharType="end"/>
      </w:r>
      <w:r w:rsidRPr="002C5541">
        <w:rPr>
          <w:lang w:val="pl-PL"/>
        </w:rPr>
        <w:t>.</w:t>
      </w:r>
      <w:r>
        <w:rPr>
          <w:lang w:val="pl-PL"/>
        </w:rPr>
        <w:t xml:space="preserve"> </w:t>
      </w:r>
      <w:r w:rsidRPr="002C5541">
        <w:rPr>
          <w:lang w:val="pl-PL"/>
        </w:rPr>
        <w:t>Ponadto, zakres obowiązku współpracy spoczywającego na Cyprze na podstawie art. 2 powinien uwzględniać to, co jest zasadne w kontekście okoliczności sprawy, a także obowiązujące zasady prawa międzynarodowego. Po pierwsze, wynikający z art. 2 wymóg, żeby Cypr przekazał wszystkie swoje dowod</w:t>
      </w:r>
      <w:r>
        <w:rPr>
          <w:lang w:val="pl-PL"/>
        </w:rPr>
        <w:t>y</w:t>
      </w:r>
      <w:r w:rsidRPr="002C5541">
        <w:rPr>
          <w:lang w:val="pl-PL"/>
        </w:rPr>
        <w:t xml:space="preserve"> do „TRPC”</w:t>
      </w:r>
      <w:r>
        <w:rPr>
          <w:lang w:val="pl-PL"/>
        </w:rPr>
        <w:t>,</w:t>
      </w:r>
      <w:r w:rsidRPr="002C5541">
        <w:rPr>
          <w:lang w:val="pl-PL"/>
        </w:rPr>
        <w:t xml:space="preserve"> naruszałby zwyczajowy obowiązek nieuznawania wynikający z prawa międzynarodowego, skodyfikowany w artykułach Komisji Prawa Międzynarodowego (KPM) w sprawie odpowiedzialności państwa za czyny niedozwolone z 2001 r. (art. 41 ust. 2) i potwierdzony przez Międzynarodowy Trybunał Sprawiedliwości (odwołanie do opinii doradczej dotyczącej Namibii</w:t>
      </w:r>
      <w:r w:rsidRPr="002C5541">
        <w:rPr>
          <w:rStyle w:val="FootnoteReference"/>
          <w:lang w:val="pl-PL"/>
        </w:rPr>
        <w:footnoteReference w:id="2"/>
      </w:r>
      <w:r w:rsidRPr="002C5541">
        <w:rPr>
          <w:lang w:val="pl-PL"/>
        </w:rPr>
        <w:t>). Jako że sytuacja, jaka miała miejsce na północnym Cyprze, pociągała za sobą rzekomo bezprawne przejęcie terytorium, zrzeczenie się jurysdykcji karnej na rzecz „TRPC” w przypadku przestępstwa popełnionego poza okupowanym terytorium służyłoby wzmocnieniu roszczenia „TRPC” do tego terytorium i kontroli nad nim. Różnił</w:t>
      </w:r>
      <w:r>
        <w:rPr>
          <w:lang w:val="pl-PL"/>
        </w:rPr>
        <w:t>o</w:t>
      </w:r>
      <w:r w:rsidRPr="002C5541">
        <w:rPr>
          <w:lang w:val="pl-PL"/>
        </w:rPr>
        <w:t xml:space="preserve"> się </w:t>
      </w:r>
      <w:r>
        <w:rPr>
          <w:lang w:val="pl-PL"/>
        </w:rPr>
        <w:t xml:space="preserve">to </w:t>
      </w:r>
      <w:r w:rsidRPr="002C5541">
        <w:rPr>
          <w:lang w:val="pl-PL"/>
        </w:rPr>
        <w:t xml:space="preserve">również od „uznania” aktów administracyjnych „TRPC” w zakresie koniecznym do pociągnięcia Turcji do odpowiedzialności za naruszenia Konwencji na okupowanym terytorium lub umożliwienia Turcji naprawienia krzywd, które można jej przypisać (odwołanie do </w:t>
      </w:r>
      <w:r w:rsidRPr="002C5541">
        <w:rPr>
          <w:i/>
          <w:iCs/>
          <w:lang w:val="pl-PL"/>
        </w:rPr>
        <w:t>Foka przeciwko Turcji</w:t>
      </w:r>
      <w:r w:rsidRPr="002C5541">
        <w:rPr>
          <w:lang w:val="pl-PL"/>
        </w:rPr>
        <w:t xml:space="preserve">, nr 28940/95, §§ 83-84, 24 czerwca 2008 r. oraz </w:t>
      </w:r>
      <w:r w:rsidRPr="002C5541">
        <w:rPr>
          <w:i/>
          <w:iCs/>
          <w:lang w:val="pl-PL"/>
        </w:rPr>
        <w:t>Demopoulos i inni</w:t>
      </w:r>
      <w:r w:rsidRPr="002C5541">
        <w:rPr>
          <w:lang w:val="pl-PL"/>
        </w:rPr>
        <w:t>,</w:t>
      </w:r>
      <w:r w:rsidRPr="002C5541">
        <w:rPr>
          <w:i/>
          <w:iCs/>
          <w:lang w:val="pl-PL"/>
        </w:rPr>
        <w:t xml:space="preserve"> </w:t>
      </w:r>
      <w:r w:rsidRPr="004E3E9E">
        <w:rPr>
          <w:lang w:val="pl-PL"/>
        </w:rPr>
        <w:t>wyrok cytowany powyżej</w:t>
      </w:r>
      <w:r w:rsidRPr="002C5541">
        <w:rPr>
          <w:lang w:val="pl-PL"/>
        </w:rPr>
        <w:t xml:space="preserve">). Sam fakt, że Zjednoczone Królestwo współpracowało z „TRPC” sam w sobie nie sprawia, że współpraca jest zgodna z prawem; to, czego można zasadnie oczekiwać od okupowanego Państwa, nieodłącznie będzie różnić się od tego, czego można oczekiwać od Państwa trzeciego. Po drugie, art. 2 nie może nakładać na Cypr, który ma najsilniejsze roszczenie do jurysdykcji (morderstwo obywatela Cypru na terytorium pod kontrolą Cypru), obowiązku przekazania dowodów do „TRPC”, która – nie będąc Państwem-stroną Konwencji – nie mogła zrealizować obowiązków wynikających z art. 2. Ponadto, przekazanie dowodów do „TRPC” miałoby ten skutek, że bezprawne „sądy” prowadziłyby proces podejrzanych, którzy byliby nielegalnie zatrzymani (w oparciu o </w:t>
      </w:r>
      <w:r w:rsidRPr="002C5541">
        <w:rPr>
          <w:i/>
          <w:iCs/>
          <w:lang w:val="pl-PL"/>
        </w:rPr>
        <w:t>Mitrović</w:t>
      </w:r>
      <w:r w:rsidRPr="002C5541">
        <w:rPr>
          <w:lang w:val="pl-PL"/>
        </w:rPr>
        <w:t xml:space="preserve"> </w:t>
      </w:r>
      <w:r w:rsidRPr="002C5541">
        <w:rPr>
          <w:i/>
          <w:iCs/>
          <w:lang w:val="pl-PL"/>
        </w:rPr>
        <w:t xml:space="preserve">przeciwko Serbii, </w:t>
      </w:r>
      <w:r w:rsidRPr="002C5541">
        <w:rPr>
          <w:lang w:val="pl-PL"/>
        </w:rPr>
        <w:t xml:space="preserve">nr 52142/12, 21 marca 2017 r.). Nie mogło być mowy o obowiązku przekazania dowodów </w:t>
      </w:r>
      <w:r w:rsidRPr="00D24E48">
        <w:rPr>
          <w:lang w:val="pl-PL"/>
        </w:rPr>
        <w:t xml:space="preserve">na podstawie art. 2 </w:t>
      </w:r>
      <w:r w:rsidRPr="002C5541">
        <w:rPr>
          <w:lang w:val="pl-PL"/>
        </w:rPr>
        <w:t>w okolicznościach, w których</w:t>
      </w:r>
      <w:r>
        <w:rPr>
          <w:lang w:val="pl-PL"/>
        </w:rPr>
        <w:t xml:space="preserve"> </w:t>
      </w:r>
      <w:r w:rsidRPr="002C5541">
        <w:rPr>
          <w:lang w:val="pl-PL"/>
        </w:rPr>
        <w:t>można było zasadnie przewidzieć, że przekazanie takich dowodów prowadziłoby do naruszenia Konwencji.</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208</w:t>
      </w:r>
      <w:r w:rsidRPr="002C5541">
        <w:rPr>
          <w:lang w:val="pl-PL"/>
        </w:rPr>
        <w:fldChar w:fldCharType="end"/>
      </w:r>
      <w:r w:rsidRPr="002C5541">
        <w:rPr>
          <w:lang w:val="pl-PL"/>
        </w:rPr>
        <w:t>.</w:t>
      </w:r>
      <w:r>
        <w:rPr>
          <w:lang w:val="pl-PL"/>
        </w:rPr>
        <w:t xml:space="preserve"> </w:t>
      </w:r>
      <w:r w:rsidRPr="002C5541">
        <w:rPr>
          <w:lang w:val="pl-PL"/>
        </w:rPr>
        <w:t>Na rozprawie przed Trybunałem Rząd Cypr</w:t>
      </w:r>
      <w:r>
        <w:rPr>
          <w:lang w:val="pl-PL"/>
        </w:rPr>
        <w:t>yjski</w:t>
      </w:r>
      <w:r w:rsidRPr="002C5541">
        <w:rPr>
          <w:lang w:val="pl-PL"/>
        </w:rPr>
        <w:t xml:space="preserve"> podniósł, że cel zasady nieuznawania nie był mniej istotny niż cele Konwencji. Nieuznawanie w prawie zwyczajowym i zgodnie z Artykułami KPM służyło karaniu naruszenia norm peremptoryjnych zakazujących agresji Państwowej, okupacji i przejęcia terytorium drogą zbrojną, a zatem mających zapobiec śmierciom i zniszczeniom, z którymi sytuacje te się wiążą. Błędny był również wniosek, że wynikający z Konwencji wymóg, by indywidualni skarżący mieli możliwość skorzystania ze środków odwoławczych zapewnionych w „TRPC” (odwołanie do </w:t>
      </w:r>
      <w:r w:rsidRPr="002C5541">
        <w:rPr>
          <w:i/>
          <w:iCs/>
          <w:lang w:val="pl-PL"/>
        </w:rPr>
        <w:t>Demopoulos i inni</w:t>
      </w:r>
      <w:r w:rsidRPr="002C5541">
        <w:rPr>
          <w:lang w:val="pl-PL"/>
        </w:rPr>
        <w:t xml:space="preserve">, </w:t>
      </w:r>
      <w:r w:rsidRPr="00152F12">
        <w:rPr>
          <w:lang w:val="pl-PL"/>
        </w:rPr>
        <w:t>wyrok cytowany powyżej</w:t>
      </w:r>
      <w:r w:rsidRPr="002C5541">
        <w:rPr>
          <w:lang w:val="pl-PL"/>
        </w:rPr>
        <w:t>), nakłada na Republikę Cypr</w:t>
      </w:r>
      <w:r>
        <w:rPr>
          <w:lang w:val="pl-PL"/>
        </w:rPr>
        <w:t>yjską</w:t>
      </w:r>
      <w:r w:rsidRPr="002C5541">
        <w:rPr>
          <w:lang w:val="pl-PL"/>
        </w:rPr>
        <w:t xml:space="preserve"> analogiczny obowiązek. To Państwa, nie osoby fizyczne, są związane zasadą nieuznawania.</w:t>
      </w:r>
    </w:p>
    <w:p w:rsidR="00110FEE" w:rsidRPr="002C5541" w:rsidRDefault="00110FEE" w:rsidP="00F25813">
      <w:pPr>
        <w:pStyle w:val="ECHRPara"/>
        <w:tabs>
          <w:tab w:val="left" w:pos="5529"/>
        </w:tabs>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209</w:t>
      </w:r>
      <w:r w:rsidRPr="002C5541">
        <w:rPr>
          <w:lang w:val="pl-PL"/>
        </w:rPr>
        <w:fldChar w:fldCharType="end"/>
      </w:r>
      <w:r w:rsidRPr="002C5541">
        <w:rPr>
          <w:lang w:val="pl-PL"/>
        </w:rPr>
        <w:t>.</w:t>
      </w:r>
      <w:r>
        <w:rPr>
          <w:lang w:val="pl-PL"/>
        </w:rPr>
        <w:t xml:space="preserve"> </w:t>
      </w:r>
      <w:r w:rsidRPr="002C5541">
        <w:rPr>
          <w:lang w:val="pl-PL"/>
        </w:rPr>
        <w:t>Jeśli chodzi o Turcję, Rząd Cypr</w:t>
      </w:r>
      <w:r>
        <w:rPr>
          <w:lang w:val="pl-PL"/>
        </w:rPr>
        <w:t>yjski</w:t>
      </w:r>
      <w:r w:rsidRPr="002C5541">
        <w:rPr>
          <w:lang w:val="pl-PL"/>
        </w:rPr>
        <w:t xml:space="preserve"> podniósł, że fakt, iż Turcja nie przeprowadziła ekstradycji ani nie wydała podejrzanych do Cypru, naruszył art. 2. Na rozprawie dodano również, że wbrew argumentom Rządu </w:t>
      </w:r>
      <w:r>
        <w:rPr>
          <w:lang w:val="pl-PL"/>
        </w:rPr>
        <w:t>Tureckiego</w:t>
      </w:r>
      <w:r w:rsidRPr="002C5541">
        <w:rPr>
          <w:lang w:val="pl-PL"/>
        </w:rPr>
        <w:t xml:space="preserve"> obowiązek proceduralny na podstawie art. 2 można odczytywać jako wymóg współpracy </w:t>
      </w:r>
      <w:r w:rsidRPr="002C5541">
        <w:rPr>
          <w:i/>
          <w:iCs/>
          <w:lang w:val="pl-PL"/>
        </w:rPr>
        <w:t xml:space="preserve">ad hoc </w:t>
      </w:r>
      <w:r w:rsidRPr="002C5541">
        <w:rPr>
          <w:lang w:val="pl-PL"/>
        </w:rPr>
        <w:t>wykraczający poza obecne obowiązki traktatowe (zob. pkt 211 poniżej).</w:t>
      </w:r>
    </w:p>
    <w:p w:rsidR="00110FEE" w:rsidRPr="002C5541" w:rsidRDefault="00110FEE" w:rsidP="00F25813">
      <w:pPr>
        <w:pStyle w:val="ECHRHeading4"/>
        <w:rPr>
          <w:lang w:val="pl-PL"/>
        </w:rPr>
      </w:pPr>
      <w:r w:rsidRPr="002C5541">
        <w:rPr>
          <w:lang w:val="pl-PL"/>
        </w:rPr>
        <w:t>(c)</w:t>
      </w:r>
      <w:r>
        <w:rPr>
          <w:lang w:val="pl-PL"/>
        </w:rPr>
        <w:t xml:space="preserve"> </w:t>
      </w:r>
      <w:r w:rsidRPr="002C5541">
        <w:rPr>
          <w:lang w:val="pl-PL"/>
        </w:rPr>
        <w:t xml:space="preserve">Rząd </w:t>
      </w:r>
      <w:r w:rsidRPr="00D9678A">
        <w:rPr>
          <w:lang w:val="pl-PL"/>
        </w:rPr>
        <w:t>Turecki</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210</w:t>
      </w:r>
      <w:r w:rsidRPr="002C5541">
        <w:rPr>
          <w:lang w:val="pl-PL"/>
        </w:rPr>
        <w:fldChar w:fldCharType="end"/>
      </w:r>
      <w:r w:rsidRPr="002C5541">
        <w:rPr>
          <w:lang w:val="pl-PL"/>
        </w:rPr>
        <w:t>.</w:t>
      </w:r>
      <w:r>
        <w:rPr>
          <w:lang w:val="pl-PL"/>
        </w:rPr>
        <w:t xml:space="preserve"> </w:t>
      </w:r>
      <w:r w:rsidRPr="002C5541">
        <w:rPr>
          <w:lang w:val="pl-PL"/>
        </w:rPr>
        <w:t xml:space="preserve">Rząd </w:t>
      </w:r>
      <w:r w:rsidRPr="00D9678A">
        <w:rPr>
          <w:lang w:val="pl-PL"/>
        </w:rPr>
        <w:t xml:space="preserve">Turecki </w:t>
      </w:r>
      <w:r w:rsidRPr="002C5541">
        <w:rPr>
          <w:lang w:val="pl-PL"/>
        </w:rPr>
        <w:t>podniósł, że władze tureckie i władze „TRPC” od samego początku wyrażały chęć osądzenia podejrzanych. „TRPC” przeprowadziła dogłębne śledztwo w sprawie morderstw</w:t>
      </w:r>
      <w:r>
        <w:rPr>
          <w:lang w:val="pl-PL"/>
        </w:rPr>
        <w:t>a</w:t>
      </w:r>
      <w:r w:rsidRPr="002C5541">
        <w:rPr>
          <w:lang w:val="pl-PL"/>
        </w:rPr>
        <w:t>, a wszyscy sprawcy zostali aresztowani i byli przetrzymywani do momentu, aż trzeba było ich wypuścić zgodnie z prawem krajowym, biorąc pod uwagę, że władze cypryjskie nie przekazały żadnych dowodów, dzięki którym można by ich powiązać z przestępstwem. Działania te pozwoliły Izbie na wyciągnięcie wniosku, że samo śledztwo nie rodziło problemów. Turcja udzieliła odpowiedzi na wniosek złożony przez władze cypryjskie w sprawie aresztowania i przesłuchania piątego podejrzanego po jego powrocie do Turcji. Władze „TRPC” wielokrotnie spotkały się z UNFICYP w dążeniu do zapewnienia wymiany informacji w sprawie morderstw. Zarówno Turcja, jak i władze „TRPC” wskazały, że zgodnie z obowiązującym prawem krajowym nie są w stanie przeprowadzić ekstradycji swoich obywateli.</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211</w:t>
      </w:r>
      <w:r w:rsidRPr="002C5541">
        <w:rPr>
          <w:lang w:val="pl-PL"/>
        </w:rPr>
        <w:fldChar w:fldCharType="end"/>
      </w:r>
      <w:r w:rsidRPr="002C5541">
        <w:rPr>
          <w:lang w:val="pl-PL"/>
        </w:rPr>
        <w:t>.</w:t>
      </w:r>
      <w:r>
        <w:rPr>
          <w:lang w:val="pl-PL"/>
        </w:rPr>
        <w:t xml:space="preserve"> </w:t>
      </w:r>
      <w:r w:rsidRPr="002C5541">
        <w:rPr>
          <w:lang w:val="pl-PL"/>
        </w:rPr>
        <w:t xml:space="preserve">Jeśli chodzi o zakres </w:t>
      </w:r>
      <w:r w:rsidRPr="001A7985">
        <w:rPr>
          <w:lang w:val="pl-PL"/>
        </w:rPr>
        <w:t xml:space="preserve">proceduralnego </w:t>
      </w:r>
      <w:r w:rsidRPr="002C5541">
        <w:rPr>
          <w:lang w:val="pl-PL"/>
        </w:rPr>
        <w:t xml:space="preserve">obowiązku współpracy na potrzeby śledztwa karnego prowadzonego poza jurysdykcją </w:t>
      </w:r>
      <w:r>
        <w:rPr>
          <w:lang w:val="pl-PL"/>
        </w:rPr>
        <w:t>danego</w:t>
      </w:r>
      <w:r w:rsidRPr="002C5541">
        <w:rPr>
          <w:lang w:val="pl-PL"/>
        </w:rPr>
        <w:t xml:space="preserve"> Państwa, Rząd </w:t>
      </w:r>
      <w:r>
        <w:rPr>
          <w:lang w:val="pl-PL"/>
        </w:rPr>
        <w:t>Turecki</w:t>
      </w:r>
      <w:r w:rsidRPr="002C5541">
        <w:rPr>
          <w:lang w:val="pl-PL"/>
        </w:rPr>
        <w:t xml:space="preserve"> przyznał, że zakres ten należy ustalić poprzez odniesienie do istniejących praw i obowiązków prawnych tego Państwa w obszarze pomocy prawnej w sprawach karnych. Państwo powinno podjąć działania prawnie możliwe lub prawnie dostępne. We wszystkich sprawach transgranicznych Trybunał wyraźnie odwoływał się do wiążących Państwa obowiązujących instrumentów dopuszczających wzajemną pomoc w sprawach karnych (odwołanie do </w:t>
      </w:r>
      <w:r w:rsidRPr="002C5541">
        <w:rPr>
          <w:i/>
          <w:iCs/>
          <w:lang w:val="pl-PL"/>
        </w:rPr>
        <w:t xml:space="preserve">Rantsev, </w:t>
      </w:r>
      <w:r>
        <w:rPr>
          <w:lang w:val="pl-PL"/>
        </w:rPr>
        <w:t>wyrok cytowany</w:t>
      </w:r>
      <w:r w:rsidRPr="002C5541">
        <w:rPr>
          <w:lang w:val="pl-PL"/>
        </w:rPr>
        <w:t xml:space="preserve"> powyżej,</w:t>
      </w:r>
      <w:r w:rsidRPr="002C5541">
        <w:rPr>
          <w:i/>
          <w:iCs/>
          <w:lang w:val="pl-PL"/>
        </w:rPr>
        <w:t xml:space="preserve"> </w:t>
      </w:r>
      <w:r w:rsidRPr="002C5541">
        <w:rPr>
          <w:lang w:val="pl-PL"/>
        </w:rPr>
        <w:t xml:space="preserve">241 oraz </w:t>
      </w:r>
      <w:r w:rsidRPr="002C5541">
        <w:rPr>
          <w:i/>
          <w:iCs/>
          <w:lang w:val="pl-PL"/>
        </w:rPr>
        <w:t xml:space="preserve">Huseynova przeciwko Azerbejdżanowi, </w:t>
      </w:r>
      <w:r w:rsidRPr="002C5541">
        <w:rPr>
          <w:lang w:val="pl-PL"/>
        </w:rPr>
        <w:t xml:space="preserve">nr 10653/10, § 111, 13 kwietnia 2017 r.). Obowiązek współpracy na podstawie art. 2 </w:t>
      </w:r>
      <w:r>
        <w:rPr>
          <w:lang w:val="pl-PL"/>
        </w:rPr>
        <w:t xml:space="preserve">w jego aspektach proceduralnych </w:t>
      </w:r>
      <w:r w:rsidRPr="002C5541">
        <w:rPr>
          <w:lang w:val="pl-PL"/>
        </w:rPr>
        <w:t>wymaga zatem, żeby Państwo wyczerpało w dobrej wierze wszystkie możliwości, jakie są dostępne na podstawie obowiązujących instrumentów między- i ponadnarodowych dotyczących wzajemnej pomocy prawnej w sprawach karnych lub na podstawie ogólnego prawa międzynarodowego. Jakkolwiek Trybunał nie był uprawniony do oceny, czy Państwo spełniło swoje obowiązki wynikające z takich umów, powinien zweryfikować, czy Państwo wyczerpało możliwości przewidziane w takich instrumentach.</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212</w:t>
      </w:r>
      <w:r w:rsidRPr="002C5541">
        <w:rPr>
          <w:lang w:val="pl-PL"/>
        </w:rPr>
        <w:fldChar w:fldCharType="end"/>
      </w:r>
      <w:r w:rsidRPr="002C5541">
        <w:rPr>
          <w:lang w:val="pl-PL"/>
        </w:rPr>
        <w:t>.</w:t>
      </w:r>
      <w:r>
        <w:rPr>
          <w:lang w:val="pl-PL"/>
        </w:rPr>
        <w:t xml:space="preserve"> </w:t>
      </w:r>
      <w:r w:rsidRPr="002C5541">
        <w:rPr>
          <w:lang w:val="pl-PL"/>
        </w:rPr>
        <w:t xml:space="preserve">Nawet zakładając, że skarga złożona przez skarżących była zgodna </w:t>
      </w:r>
      <w:r w:rsidRPr="002C5541">
        <w:rPr>
          <w:i/>
          <w:iCs/>
          <w:lang w:val="pl-PL"/>
        </w:rPr>
        <w:t xml:space="preserve">ratione loci </w:t>
      </w:r>
      <w:r>
        <w:rPr>
          <w:lang w:val="pl-PL"/>
        </w:rPr>
        <w:t>w stosunku do</w:t>
      </w:r>
      <w:r w:rsidRPr="002C5541">
        <w:rPr>
          <w:lang w:val="pl-PL"/>
        </w:rPr>
        <w:t xml:space="preserve"> Turcji, Rząd Tur</w:t>
      </w:r>
      <w:r>
        <w:rPr>
          <w:lang w:val="pl-PL"/>
        </w:rPr>
        <w:t xml:space="preserve">ecki </w:t>
      </w:r>
      <w:r w:rsidRPr="002C5541">
        <w:rPr>
          <w:lang w:val="pl-PL"/>
        </w:rPr>
        <w:t xml:space="preserve">utrzymywał, że Turcja nie była w obowiązku przeprowadzić ekstradycji ani wydać podejrzanych na podstawie wiążących ją obowiązków prawa międzynarodowego. Konwencja o ekstradycji dotyczy wyłącznie metropolii Turcji, czyli nie odnosi się do „TRPC”. Konwencja mogłaby stosować się tylko do piątego podejrzanego, który przebywał w Turcji. Nie złożono </w:t>
      </w:r>
      <w:r>
        <w:rPr>
          <w:lang w:val="pl-PL"/>
        </w:rPr>
        <w:t xml:space="preserve">jednak </w:t>
      </w:r>
      <w:r w:rsidRPr="002C5541">
        <w:rPr>
          <w:lang w:val="pl-PL"/>
        </w:rPr>
        <w:t xml:space="preserve">ważnego wniosku o ekstradycję na podstawie tej Konwencji, która wymaga, żeby wniosek tego rodzaju był przesyłany „w drodze dyplomatycznej” (art. 12 Konwencji o ekstradycji). Trybunał otrzymał jedynie informację od władz cypryjskich, że woźny ambasady cypryjskiej w Atenach przekazał ochroniarzowi w ambasadzie tureckiej w Atenach pewną kopertę. Na rozprawie Rząd </w:t>
      </w:r>
      <w:r w:rsidRPr="005B4673">
        <w:rPr>
          <w:lang w:val="pl-PL"/>
        </w:rPr>
        <w:t xml:space="preserve">Turecki </w:t>
      </w:r>
      <w:r w:rsidRPr="002C5541">
        <w:rPr>
          <w:lang w:val="pl-PL"/>
        </w:rPr>
        <w:t>przyznał jednak, że zwykła droga dyplomatyczna nie był</w:t>
      </w:r>
      <w:r>
        <w:rPr>
          <w:lang w:val="pl-PL"/>
        </w:rPr>
        <w:t>a</w:t>
      </w:r>
      <w:r w:rsidRPr="002C5541">
        <w:rPr>
          <w:lang w:val="pl-PL"/>
        </w:rPr>
        <w:t xml:space="preserve"> dostępna dla Cypru, jako że Turcja i Cypr nie </w:t>
      </w:r>
      <w:r>
        <w:rPr>
          <w:lang w:val="pl-PL"/>
        </w:rPr>
        <w:t>utrzymują</w:t>
      </w:r>
      <w:r w:rsidRPr="002C5541">
        <w:rPr>
          <w:lang w:val="pl-PL"/>
        </w:rPr>
        <w:t xml:space="preserve"> stosunków dyplomatycznych. Zwrócił także uwagę na fakt, że Turcja do wielu traktatów Rady Europy dołączała oświadczenia wskazujące, że podpisanie danego traktatu nie może rodzić żadnych obowiązków prawnych między Turcją a Cyprem.</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213</w:t>
      </w:r>
      <w:r w:rsidRPr="002C5541">
        <w:rPr>
          <w:lang w:val="pl-PL"/>
        </w:rPr>
        <w:fldChar w:fldCharType="end"/>
      </w:r>
      <w:r w:rsidRPr="002C5541">
        <w:rPr>
          <w:lang w:val="pl-PL"/>
        </w:rPr>
        <w:t>.</w:t>
      </w:r>
      <w:r>
        <w:rPr>
          <w:lang w:val="pl-PL"/>
        </w:rPr>
        <w:t xml:space="preserve"> </w:t>
      </w:r>
      <w:r w:rsidRPr="002C5541">
        <w:rPr>
          <w:lang w:val="pl-PL"/>
        </w:rPr>
        <w:t>W każdym razie Turcja miała praw</w:t>
      </w:r>
      <w:r>
        <w:rPr>
          <w:lang w:val="pl-PL"/>
        </w:rPr>
        <w:t>o</w:t>
      </w:r>
      <w:r w:rsidRPr="002C5541">
        <w:rPr>
          <w:lang w:val="pl-PL"/>
        </w:rPr>
        <w:t xml:space="preserve"> odmówić ekstradycji na podstawie art. 6 ust. 1 lit. a) Konwencji o ekstradycji, jako że piąty podejrzany był obywatelem tureckim. Na Turcji nie spoczywał także żaden wynikający z zwyczajowego prawa międzynarodowego obowiązek ekstradycji osób przebywających w Turcji lub na północnym Cyprze. Prawo krajowe w Turcji i w „TRPC” zakazuje ekstradycji obywateli. Co więcej, sugestia Izby w sprawie „porozumienia </w:t>
      </w:r>
      <w:r w:rsidRPr="002C5541">
        <w:rPr>
          <w:i/>
          <w:iCs/>
          <w:lang w:val="pl-PL"/>
        </w:rPr>
        <w:t>ad hoc</w:t>
      </w:r>
      <w:r w:rsidRPr="002C5541">
        <w:rPr>
          <w:lang w:val="pl-PL"/>
        </w:rPr>
        <w:t xml:space="preserve"> lub procesu sądowego na neutralnym obszarze” byłaby nie tylko sprzeczna z turecką Konstytucją i Konstytucją „TRPC”, ale także była niezgodna z art. 6 Konwencji, który gwarantuje prawo do rzetelnego procesu sądowego przez „sąd ustanowiony ustawą”. Zgodnie z prawem Turcji lub prawem „TRPC” nie było podstawy prawne</w:t>
      </w:r>
      <w:r>
        <w:rPr>
          <w:lang w:val="pl-PL"/>
        </w:rPr>
        <w:t>j</w:t>
      </w:r>
      <w:r w:rsidRPr="002C5541">
        <w:rPr>
          <w:lang w:val="pl-PL"/>
        </w:rPr>
        <w:t xml:space="preserve"> do zatrzymania i przekazania osób do strefy buforowej ONZ ani zmuszenia ich do przesłuchania przez władze obcego Państwa.</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214</w:t>
      </w:r>
      <w:r w:rsidRPr="002C5541">
        <w:rPr>
          <w:lang w:val="pl-PL"/>
        </w:rPr>
        <w:fldChar w:fldCharType="end"/>
      </w:r>
      <w:r w:rsidRPr="002C5541">
        <w:rPr>
          <w:lang w:val="pl-PL"/>
        </w:rPr>
        <w:t>.</w:t>
      </w:r>
      <w:r>
        <w:rPr>
          <w:lang w:val="pl-PL"/>
        </w:rPr>
        <w:t xml:space="preserve"> </w:t>
      </w:r>
      <w:r w:rsidRPr="002C5541">
        <w:rPr>
          <w:lang w:val="pl-PL"/>
        </w:rPr>
        <w:t xml:space="preserve">Wreszcie, Rząd </w:t>
      </w:r>
      <w:r>
        <w:rPr>
          <w:lang w:val="pl-PL"/>
        </w:rPr>
        <w:t>Turecki</w:t>
      </w:r>
      <w:r w:rsidRPr="002C5541">
        <w:rPr>
          <w:lang w:val="pl-PL"/>
        </w:rPr>
        <w:t xml:space="preserve"> podniósł, że władze cypryjskie miały sposobność przekazania Turcji dowodów wynikających z przeprowadzonego przez nich śledztwa w ramach istniejących praw i obowiązków na podstawie Konwencji o pomocy prawnej. Ponadto, policja cypryjska mogła przekazać dowody organom policyjnym „TRPC”, nie naruszając jednocześnie jakichkolwiek obowiązków na podstawie zwyczajowego prawa międzynarodowego. Praktyka Państw pokazuje, że inne Państwa współpracowały z „TRPC” w sprawach karnych i że taka współpraca nie sprowadza się do dorozumianego uznania „TRPC” jako Państwa. Odwołał się do niedawnej sprawy, w której Wysoki Sąd Anglii i Walii odrzucił argument, że współpraca policyjna z władzami północnego Cypru oznaczała dorozumiane uznanie (</w:t>
      </w:r>
      <w:r w:rsidRPr="002C5541">
        <w:rPr>
          <w:i/>
          <w:iCs/>
          <w:lang w:val="pl-PL"/>
        </w:rPr>
        <w:t>R. (</w:t>
      </w:r>
      <w:r>
        <w:rPr>
          <w:i/>
          <w:iCs/>
          <w:lang w:val="pl-PL"/>
        </w:rPr>
        <w:t>w wykonaniu</w:t>
      </w:r>
      <w:r w:rsidRPr="002C5541">
        <w:rPr>
          <w:i/>
          <w:iCs/>
          <w:lang w:val="pl-PL"/>
        </w:rPr>
        <w:t xml:space="preserve"> Akarcay) </w:t>
      </w:r>
      <w:r>
        <w:rPr>
          <w:i/>
          <w:iCs/>
          <w:lang w:val="pl-PL"/>
        </w:rPr>
        <w:t>przeciwko</w:t>
      </w:r>
      <w:r w:rsidRPr="002C5541">
        <w:rPr>
          <w:i/>
          <w:iCs/>
          <w:lang w:val="pl-PL"/>
        </w:rPr>
        <w:t xml:space="preserve"> </w:t>
      </w:r>
      <w:r>
        <w:rPr>
          <w:i/>
          <w:iCs/>
          <w:lang w:val="pl-PL"/>
        </w:rPr>
        <w:t>komendantowi policji</w:t>
      </w:r>
      <w:r w:rsidRPr="002C5541">
        <w:rPr>
          <w:i/>
          <w:iCs/>
          <w:lang w:val="pl-PL"/>
        </w:rPr>
        <w:t xml:space="preserve"> West Yorkshire</w:t>
      </w:r>
      <w:r w:rsidRPr="002C5541">
        <w:rPr>
          <w:lang w:val="pl-PL"/>
        </w:rPr>
        <w:t>,</w:t>
      </w:r>
      <w:r w:rsidRPr="002C5541">
        <w:rPr>
          <w:rFonts w:ascii="Arial" w:hAnsi="Arial" w:cs="Arial"/>
          <w:color w:val="444444"/>
          <w:lang w:val="pl-PL"/>
        </w:rPr>
        <w:t xml:space="preserve"> </w:t>
      </w:r>
      <w:r w:rsidRPr="002C5541">
        <w:rPr>
          <w:lang w:val="pl-PL"/>
        </w:rPr>
        <w:t xml:space="preserve">[2017] EWHC 159). Przywołał także sprawę </w:t>
      </w:r>
      <w:r w:rsidRPr="002C5541">
        <w:rPr>
          <w:i/>
          <w:iCs/>
          <w:lang w:val="pl-PL"/>
        </w:rPr>
        <w:t xml:space="preserve">Ilaşcu i inni </w:t>
      </w:r>
      <w:r w:rsidRPr="002C5541">
        <w:rPr>
          <w:lang w:val="pl-PL"/>
        </w:rPr>
        <w:t>(</w:t>
      </w:r>
      <w:r>
        <w:rPr>
          <w:lang w:val="pl-PL"/>
        </w:rPr>
        <w:t>wyrok cytowany</w:t>
      </w:r>
      <w:r w:rsidRPr="002C5541">
        <w:rPr>
          <w:lang w:val="pl-PL"/>
        </w:rPr>
        <w:t xml:space="preserve"> powyżej, §§ 177, 225 i 345), w której Trybunał przyjął pogląd, że nieoficjalne stosunki między Republiką Mołdawii a faktycznym reżimem naddniestrzańskim w sprawach sądowych i bezpieczeństwa nie można uznawać </w:t>
      </w:r>
      <w:r>
        <w:rPr>
          <w:lang w:val="pl-PL"/>
        </w:rPr>
        <w:t>za</w:t>
      </w:r>
      <w:r w:rsidRPr="002C5541">
        <w:rPr>
          <w:lang w:val="pl-PL"/>
        </w:rPr>
        <w:t xml:space="preserve"> poparcie tego reżimu.</w:t>
      </w:r>
    </w:p>
    <w:p w:rsidR="00110FEE" w:rsidRPr="002C5541" w:rsidRDefault="00110FEE" w:rsidP="00F25813">
      <w:pPr>
        <w:pStyle w:val="ECHRHeading4"/>
        <w:rPr>
          <w:lang w:val="pl-PL"/>
        </w:rPr>
      </w:pPr>
      <w:r w:rsidRPr="002C5541">
        <w:rPr>
          <w:lang w:val="pl-PL"/>
        </w:rPr>
        <w:t>(d)</w:t>
      </w:r>
      <w:r>
        <w:rPr>
          <w:lang w:val="pl-PL"/>
        </w:rPr>
        <w:t xml:space="preserve"> </w:t>
      </w:r>
      <w:r w:rsidRPr="002C5541">
        <w:rPr>
          <w:lang w:val="pl-PL"/>
        </w:rPr>
        <w:t>Stanowiska stron trzecich (Centrum AIRE)</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215</w:t>
      </w:r>
      <w:r w:rsidRPr="002C5541">
        <w:rPr>
          <w:lang w:val="pl-PL"/>
        </w:rPr>
        <w:fldChar w:fldCharType="end"/>
      </w:r>
      <w:r w:rsidRPr="002C5541">
        <w:rPr>
          <w:lang w:val="pl-PL"/>
        </w:rPr>
        <w:t>.</w:t>
      </w:r>
      <w:r>
        <w:rPr>
          <w:lang w:val="pl-PL"/>
        </w:rPr>
        <w:t xml:space="preserve"> </w:t>
      </w:r>
      <w:r w:rsidRPr="002C5541">
        <w:rPr>
          <w:lang w:val="pl-PL"/>
        </w:rPr>
        <w:t>Centrum AIRE powołało się na swoją interwencję prze</w:t>
      </w:r>
      <w:r>
        <w:rPr>
          <w:lang w:val="pl-PL"/>
        </w:rPr>
        <w:t>d</w:t>
      </w:r>
      <w:r w:rsidRPr="002C5541">
        <w:rPr>
          <w:lang w:val="pl-PL"/>
        </w:rPr>
        <w:t xml:space="preserve"> Izbą zgodnie z wyrokiem Izby (zob. pkt 252-56 wyroku Izby). Przedłożyła dodatkowe stanowiska dotyczące ETPC </w:t>
      </w:r>
      <w:r>
        <w:rPr>
          <w:lang w:val="pl-PL"/>
        </w:rPr>
        <w:t xml:space="preserve">i </w:t>
      </w:r>
      <w:r w:rsidRPr="002C5541">
        <w:rPr>
          <w:lang w:val="pl-PL"/>
        </w:rPr>
        <w:t>prawa Rady Europy, prawa międzynarodowego i prawa unijnego.</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216</w:t>
      </w:r>
      <w:r w:rsidRPr="002C5541">
        <w:rPr>
          <w:lang w:val="pl-PL"/>
        </w:rPr>
        <w:fldChar w:fldCharType="end"/>
      </w:r>
      <w:r w:rsidRPr="002C5541">
        <w:rPr>
          <w:lang w:val="pl-PL"/>
        </w:rPr>
        <w:t>.</w:t>
      </w:r>
      <w:r>
        <w:rPr>
          <w:lang w:val="pl-PL"/>
        </w:rPr>
        <w:t xml:space="preserve"> </w:t>
      </w:r>
      <w:r w:rsidRPr="002C5541">
        <w:rPr>
          <w:lang w:val="pl-PL"/>
        </w:rPr>
        <w:t xml:space="preserve">Po pierwsze, szczególny charakter Konwencji jako traktatu w sprawie zbiorowego egzekwowania prawa wymagał uznania – w stosownych przypadkach – </w:t>
      </w:r>
      <w:r>
        <w:rPr>
          <w:lang w:val="pl-PL"/>
        </w:rPr>
        <w:t>że</w:t>
      </w:r>
      <w:r w:rsidRPr="002C5541">
        <w:rPr>
          <w:lang w:val="pl-PL"/>
        </w:rPr>
        <w:t xml:space="preserve"> Umawiając</w:t>
      </w:r>
      <w:r>
        <w:rPr>
          <w:lang w:val="pl-PL"/>
        </w:rPr>
        <w:t>e</w:t>
      </w:r>
      <w:r w:rsidRPr="002C5541">
        <w:rPr>
          <w:lang w:val="pl-PL"/>
        </w:rPr>
        <w:t xml:space="preserve"> się Państw</w:t>
      </w:r>
      <w:r>
        <w:rPr>
          <w:lang w:val="pl-PL"/>
        </w:rPr>
        <w:t>a są zobowiązane</w:t>
      </w:r>
      <w:r w:rsidRPr="002C5541">
        <w:rPr>
          <w:lang w:val="pl-PL"/>
        </w:rPr>
        <w:t xml:space="preserve"> do </w:t>
      </w:r>
      <w:r>
        <w:rPr>
          <w:lang w:val="pl-PL"/>
        </w:rPr>
        <w:t xml:space="preserve">wspólnego </w:t>
      </w:r>
      <w:r w:rsidRPr="002C5541">
        <w:rPr>
          <w:lang w:val="pl-PL"/>
        </w:rPr>
        <w:t xml:space="preserve">działania w celu ochrony praw, które Państwa te zobowiązały się </w:t>
      </w:r>
      <w:r>
        <w:rPr>
          <w:lang w:val="pl-PL"/>
        </w:rPr>
        <w:t>chronić</w:t>
      </w:r>
      <w:r w:rsidRPr="002C5541">
        <w:rPr>
          <w:lang w:val="pl-PL"/>
        </w:rPr>
        <w:t>. Innymi słowy, powinny one współpracować, jeśli jest konieczne</w:t>
      </w:r>
      <w:r>
        <w:rPr>
          <w:lang w:val="pl-PL"/>
        </w:rPr>
        <w:t>,</w:t>
      </w:r>
      <w:r w:rsidRPr="002C5541">
        <w:rPr>
          <w:lang w:val="pl-PL"/>
        </w:rPr>
        <w:t xml:space="preserve"> d</w:t>
      </w:r>
      <w:r>
        <w:rPr>
          <w:lang w:val="pl-PL"/>
        </w:rPr>
        <w:t>la</w:t>
      </w:r>
      <w:r w:rsidRPr="002C5541">
        <w:rPr>
          <w:lang w:val="pl-PL"/>
        </w:rPr>
        <w:t xml:space="preserve"> celów zabezpieczenia tych praw. Jakkolwiek można było stwierdzić, że Trybunał nie miał kompetencji orzekać o przestrzeganiu innych instrumentów prawa międzynarodowego przez Państwa (zob. pkt 288 wyroku Izby), Centrum AIRE przypomniało Wielkiej Izbie art. 53 Konwencji, który stanowi, że „Żadne z postanowień niniejszej konwencji nie będzie interpretowane jako ograniczające lub wyłączające jakiekolwiek prawa człowieka (…), które mogą być zagwarantowane przez (…) jakąkolwiek inną umowę, której państwo to jest Stroną”. W związku z tym w przypadku gdy inne umowy międzynarodowe nakładają obowiązek zbiorowej współpracy dla celów zapewnienia odpowiedniej realizacji praw wynikających z Konwencji, art. 53 może wymagać, aby sposób wykonania tych obowiązków umożliwiał stwierdzenie zgodności z samą Konwencją (</w:t>
      </w:r>
      <w:r w:rsidRPr="002C5541">
        <w:rPr>
          <w:i/>
          <w:iCs/>
          <w:lang w:val="pl-PL"/>
        </w:rPr>
        <w:t xml:space="preserve">M.S.S. przeciwko Belgii i Grecji </w:t>
      </w:r>
      <w:r w:rsidRPr="002C5541">
        <w:rPr>
          <w:lang w:val="pl-PL"/>
        </w:rPr>
        <w:t xml:space="preserve">[GC], nr 30696/09, §§ 249-50, ETPC 2011). W temacie obowiązków proceduralnych na podstawie art. 2 w kontekście transgranicznym lub transjurysdykcyjnym strona trzecia wezwała Wielką Izbę do przyjęcia podejścia określonego w sprawie </w:t>
      </w:r>
      <w:r w:rsidRPr="002C5541">
        <w:rPr>
          <w:i/>
          <w:iCs/>
          <w:lang w:val="pl-PL"/>
        </w:rPr>
        <w:t>Rantsev</w:t>
      </w:r>
      <w:r w:rsidRPr="002C5541">
        <w:rPr>
          <w:lang w:val="pl-PL"/>
        </w:rPr>
        <w:t xml:space="preserve"> (§§ 241-42, 245-47), które zobowiązuje Trybunał do przeprowadzenia oceny adekwatności realizacji obowiązków Umawiających się Stron w zakresie wzajemnej współpracy dla celów zapewnienia, że śledztwo będzie w pełni skuteczne i zgodne z art. 2.</w:t>
      </w:r>
    </w:p>
    <w:p w:rsidR="00110FEE" w:rsidRPr="002C5541" w:rsidRDefault="00110FEE" w:rsidP="00F25813">
      <w:pPr>
        <w:pStyle w:val="ECHRPara"/>
        <w:rPr>
          <w:snapToGrid w:val="0"/>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217</w:t>
      </w:r>
      <w:r w:rsidRPr="002C5541">
        <w:rPr>
          <w:lang w:val="pl-PL"/>
        </w:rPr>
        <w:fldChar w:fldCharType="end"/>
      </w:r>
      <w:r w:rsidRPr="002C5541">
        <w:rPr>
          <w:lang w:val="pl-PL"/>
        </w:rPr>
        <w:t>.</w:t>
      </w:r>
      <w:r>
        <w:rPr>
          <w:lang w:val="pl-PL"/>
        </w:rPr>
        <w:t xml:space="preserve"> </w:t>
      </w:r>
      <w:r w:rsidRPr="002C5541">
        <w:rPr>
          <w:lang w:val="pl-PL"/>
        </w:rPr>
        <w:t>Po drugie, Centrum AIRE zwróciło uwagę na rozwój prawa UE (np. na europejski nakaz aresztowania) w dążeniu do wzmocnienia współpracy między państwami członkowski</w:t>
      </w:r>
      <w:r>
        <w:rPr>
          <w:lang w:val="pl-PL"/>
        </w:rPr>
        <w:t>mi</w:t>
      </w:r>
      <w:r w:rsidRPr="002C5541">
        <w:rPr>
          <w:lang w:val="pl-PL"/>
        </w:rPr>
        <w:t xml:space="preserve">. W Europie pojawił się trend – zarówno w prawie Rady Europy, jak i prawie UE – wiodący do obowiązku współpracy transgranicznej w przypadku, gdy przestępstwo dotyczy art. 2, 3 lub 4 Konwencji. Zgodnie z tym trendem zobowiązano Państwa do pełnej współpracy w zakresie czynności dochodzeniowych dotyczących działań naruszających powyższe artykuły, jeśli działania te miały miejsce poza ich jurysdykcją, a współpraca była konieczna w celu przeprowadzenia skutecznego śledztwa w sprawie tych działań (odwołanie, </w:t>
      </w:r>
      <w:r w:rsidRPr="002C5541">
        <w:rPr>
          <w:i/>
          <w:iCs/>
          <w:lang w:val="pl-PL"/>
        </w:rPr>
        <w:t>mutatis mutandis</w:t>
      </w:r>
      <w:r>
        <w:rPr>
          <w:i/>
          <w:iCs/>
          <w:lang w:val="pl-PL"/>
        </w:rPr>
        <w:t xml:space="preserve">, </w:t>
      </w:r>
      <w:r w:rsidRPr="00E37536">
        <w:rPr>
          <w:lang w:val="pl-PL"/>
        </w:rPr>
        <w:t>do</w:t>
      </w:r>
      <w:r w:rsidRPr="002C5541">
        <w:rPr>
          <w:i/>
          <w:iCs/>
          <w:lang w:val="pl-PL"/>
        </w:rPr>
        <w:t xml:space="preserve"> Šilih, </w:t>
      </w:r>
      <w:r>
        <w:rPr>
          <w:lang w:val="pl-PL"/>
        </w:rPr>
        <w:t>wyrok cytowany powyżej</w:t>
      </w:r>
      <w:r w:rsidRPr="002C5541">
        <w:rPr>
          <w:lang w:val="pl-PL"/>
        </w:rPr>
        <w:t>, § 159</w:t>
      </w:r>
      <w:r w:rsidRPr="002C5541">
        <w:rPr>
          <w:snapToGrid w:val="0"/>
          <w:lang w:val="pl-PL"/>
        </w:rPr>
        <w:t>, w zakresie niezależnego obowiązku proceduralnego na podstawie art. 2).</w:t>
      </w:r>
    </w:p>
    <w:p w:rsidR="00110FEE" w:rsidRPr="002C5541" w:rsidRDefault="00110FEE" w:rsidP="00F25813">
      <w:pPr>
        <w:pStyle w:val="ECHRHeading3"/>
        <w:rPr>
          <w:lang w:val="pl-PL"/>
        </w:rPr>
      </w:pPr>
      <w:r w:rsidRPr="002C5541">
        <w:rPr>
          <w:lang w:val="pl-PL"/>
        </w:rPr>
        <w:t>3.</w:t>
      </w:r>
      <w:r>
        <w:rPr>
          <w:lang w:val="pl-PL"/>
        </w:rPr>
        <w:t xml:space="preserve"> </w:t>
      </w:r>
      <w:r w:rsidRPr="002C5541">
        <w:rPr>
          <w:lang w:val="pl-PL"/>
        </w:rPr>
        <w:t>Ocena Trybunału</w:t>
      </w:r>
    </w:p>
    <w:p w:rsidR="00110FEE" w:rsidRPr="002C5541" w:rsidRDefault="00110FEE" w:rsidP="00F25813">
      <w:pPr>
        <w:pStyle w:val="ECHRHeading4"/>
        <w:rPr>
          <w:lang w:val="pl-PL"/>
        </w:rPr>
      </w:pPr>
      <w:r w:rsidRPr="002C5541">
        <w:rPr>
          <w:lang w:val="pl-PL"/>
        </w:rPr>
        <w:t>(a)</w:t>
      </w:r>
      <w:r>
        <w:rPr>
          <w:lang w:val="pl-PL"/>
        </w:rPr>
        <w:t xml:space="preserve"> </w:t>
      </w:r>
      <w:r w:rsidRPr="002C5541">
        <w:rPr>
          <w:lang w:val="pl-PL"/>
        </w:rPr>
        <w:t>Obowiązek proceduralny na podstawie art. 2 i śledztwa przeprowadzone pod jurysdykcją pozwanych Państw</w:t>
      </w:r>
    </w:p>
    <w:p w:rsidR="00110FEE" w:rsidRPr="002C5541" w:rsidRDefault="00110FEE" w:rsidP="00F25813">
      <w:pPr>
        <w:pStyle w:val="ECHRHeading5"/>
        <w:outlineLvl w:val="5"/>
        <w:rPr>
          <w:lang w:val="pl-PL"/>
        </w:rPr>
      </w:pPr>
      <w:bookmarkStart w:id="2" w:name="_Toc430944101"/>
      <w:r w:rsidRPr="002C5541">
        <w:rPr>
          <w:lang w:val="pl-PL"/>
        </w:rPr>
        <w:t>(i)</w:t>
      </w:r>
      <w:r>
        <w:rPr>
          <w:lang w:val="pl-PL"/>
        </w:rPr>
        <w:t xml:space="preserve"> </w:t>
      </w:r>
      <w:bookmarkEnd w:id="2"/>
      <w:r w:rsidRPr="002C5541">
        <w:rPr>
          <w:lang w:val="pl-PL"/>
        </w:rPr>
        <w:t>Zasady ogólne</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218</w:t>
      </w:r>
      <w:r w:rsidRPr="002C5541">
        <w:rPr>
          <w:lang w:val="pl-PL"/>
        </w:rPr>
        <w:fldChar w:fldCharType="end"/>
      </w:r>
      <w:r w:rsidRPr="002C5541">
        <w:rPr>
          <w:lang w:val="pl-PL"/>
        </w:rPr>
        <w:t>.</w:t>
      </w:r>
      <w:r>
        <w:rPr>
          <w:lang w:val="pl-PL"/>
        </w:rPr>
        <w:t xml:space="preserve"> </w:t>
      </w:r>
      <w:r w:rsidRPr="002C5541">
        <w:rPr>
          <w:lang w:val="pl-PL"/>
        </w:rPr>
        <w:t xml:space="preserve">Trybunał po pierwsze przypomniał, że prawo do życia gwarantowane na podstawie art. 2 Konwencji należy do </w:t>
      </w:r>
      <w:r>
        <w:rPr>
          <w:lang w:val="pl-PL"/>
        </w:rPr>
        <w:t>najważniejszych</w:t>
      </w:r>
      <w:r w:rsidRPr="002C5541">
        <w:rPr>
          <w:lang w:val="pl-PL"/>
        </w:rPr>
        <w:t xml:space="preserve"> </w:t>
      </w:r>
      <w:r>
        <w:rPr>
          <w:lang w:val="pl-PL"/>
        </w:rPr>
        <w:t>postanowień</w:t>
      </w:r>
      <w:r w:rsidRPr="002C5541">
        <w:rPr>
          <w:lang w:val="pl-PL"/>
        </w:rPr>
        <w:t xml:space="preserve"> całej Konwencji, gwarantując jedną z najbardziej podstawowych wartości w społeczeństwach demokratycznych </w:t>
      </w:r>
      <w:r>
        <w:rPr>
          <w:lang w:val="pl-PL"/>
        </w:rPr>
        <w:t>tworzących</w:t>
      </w:r>
      <w:r w:rsidRPr="002C5541">
        <w:rPr>
          <w:lang w:val="pl-PL"/>
        </w:rPr>
        <w:t xml:space="preserve"> Radę Europy (zob. m.in. </w:t>
      </w:r>
      <w:r w:rsidRPr="002C5541">
        <w:rPr>
          <w:i/>
          <w:iCs/>
          <w:lang w:val="pl-PL"/>
        </w:rPr>
        <w:t>Lopes de Sousa Fernandes przeciwko Portugalii</w:t>
      </w:r>
      <w:r w:rsidRPr="002C5541">
        <w:rPr>
          <w:lang w:val="pl-PL"/>
        </w:rPr>
        <w:t xml:space="preserve"> [GC], nr 56080/13, § 164, 19 grudnia 2017 r.). Co więcej, obowiązek ochrony życia na podstawie art. 2 Konwencji, czytany łącznie z ogólnym obowiązkiem Państw na podstawie art. 1 Konwencji („Układające się Strony zapewniają każdemu człowiekowi, podlegającemu ich jurysdykcji, prawa i wolności określone w (…) niniejszej konwencji”), pośrednio wymaga przeprowadzenia skutecznego śledztwa </w:t>
      </w:r>
      <w:r>
        <w:rPr>
          <w:lang w:val="pl-PL"/>
        </w:rPr>
        <w:t xml:space="preserve">o </w:t>
      </w:r>
      <w:r w:rsidRPr="00E92FB7">
        <w:rPr>
          <w:lang w:val="pl-PL"/>
        </w:rPr>
        <w:t xml:space="preserve">charakterze </w:t>
      </w:r>
      <w:r>
        <w:rPr>
          <w:lang w:val="pl-PL"/>
        </w:rPr>
        <w:t xml:space="preserve">oficjalnym </w:t>
      </w:r>
      <w:r w:rsidRPr="002C5541">
        <w:rPr>
          <w:lang w:val="pl-PL"/>
        </w:rPr>
        <w:t xml:space="preserve">w przypadku, gdy w wyniku użycia przemocy pozbawiono życia osoby fizyczne (zob. </w:t>
      </w:r>
      <w:r w:rsidRPr="002C5541">
        <w:rPr>
          <w:i/>
          <w:iCs/>
          <w:lang w:val="pl-PL"/>
        </w:rPr>
        <w:t>Mustafa Tunç i Fecire Tunç</w:t>
      </w:r>
      <w:r w:rsidRPr="002C5541">
        <w:rPr>
          <w:lang w:val="pl-PL"/>
        </w:rPr>
        <w:t xml:space="preserve"> </w:t>
      </w:r>
      <w:r w:rsidRPr="002C5541">
        <w:rPr>
          <w:i/>
          <w:iCs/>
          <w:lang w:val="pl-PL"/>
        </w:rPr>
        <w:t xml:space="preserve">przeciwko Turcji </w:t>
      </w:r>
      <w:r w:rsidRPr="002C5541">
        <w:rPr>
          <w:lang w:val="pl-PL"/>
        </w:rPr>
        <w:t>[GC], nr 24014/05</w:t>
      </w:r>
      <w:r w:rsidRPr="002C5541">
        <w:rPr>
          <w:snapToGrid w:val="0"/>
          <w:lang w:val="pl-PL"/>
        </w:rPr>
        <w:t xml:space="preserve">, § 169, </w:t>
      </w:r>
      <w:r w:rsidRPr="002C5541">
        <w:rPr>
          <w:lang w:val="pl-PL"/>
        </w:rPr>
        <w:t>14</w:t>
      </w:r>
      <w:r w:rsidRPr="002C5541">
        <w:rPr>
          <w:snapToGrid w:val="0"/>
          <w:lang w:val="pl-PL"/>
        </w:rPr>
        <w:t xml:space="preserve"> kwietnia 2015 r.)</w:t>
      </w:r>
      <w:r w:rsidRPr="002C5541">
        <w:rPr>
          <w:lang w:val="pl-PL"/>
        </w:rPr>
        <w:t>.</w:t>
      </w:r>
    </w:p>
    <w:p w:rsidR="00110FEE" w:rsidRPr="002C5541" w:rsidRDefault="00110FEE" w:rsidP="00F25813">
      <w:pPr>
        <w:pStyle w:val="ECHRPara"/>
        <w:rPr>
          <w:snapToGrid w:val="0"/>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219</w:t>
      </w:r>
      <w:r w:rsidRPr="002C5541">
        <w:rPr>
          <w:lang w:val="pl-PL"/>
        </w:rPr>
        <w:fldChar w:fldCharType="end"/>
      </w:r>
      <w:r w:rsidRPr="002C5541">
        <w:rPr>
          <w:lang w:val="pl-PL"/>
        </w:rPr>
        <w:t>.</w:t>
      </w:r>
      <w:r>
        <w:rPr>
          <w:lang w:val="pl-PL"/>
        </w:rPr>
        <w:t xml:space="preserve"> </w:t>
      </w:r>
      <w:r w:rsidRPr="002C5541">
        <w:rPr>
          <w:lang w:val="pl-PL"/>
        </w:rPr>
        <w:t xml:space="preserve">Ogólne zasady dotyczące proceduralnego obowiązku przeprowadzenia śledztwa, wynikające z art. 2, powtórzono w sprawie </w:t>
      </w:r>
      <w:r w:rsidRPr="002C5541">
        <w:rPr>
          <w:i/>
          <w:iCs/>
          <w:lang w:val="pl-PL"/>
        </w:rPr>
        <w:t>Mustafa Tunç i Fecire Tunç</w:t>
      </w:r>
      <w:r w:rsidRPr="002C5541">
        <w:rPr>
          <w:snapToGrid w:val="0"/>
          <w:lang w:val="pl-PL"/>
        </w:rPr>
        <w:t xml:space="preserve"> (</w:t>
      </w:r>
      <w:r w:rsidRPr="00152F12">
        <w:rPr>
          <w:snapToGrid w:val="0"/>
          <w:lang w:val="pl-PL"/>
        </w:rPr>
        <w:t>wyrok cytowany powyżej</w:t>
      </w:r>
      <w:r w:rsidRPr="002C5541">
        <w:rPr>
          <w:snapToGrid w:val="0"/>
          <w:lang w:val="pl-PL"/>
        </w:rPr>
        <w:t>, §§ 169-81), w sposób następujący:</w:t>
      </w:r>
    </w:p>
    <w:p w:rsidR="00110FEE" w:rsidRPr="002C5541" w:rsidRDefault="00110FEE" w:rsidP="00A936F2">
      <w:pPr>
        <w:pStyle w:val="JuQuotSub"/>
        <w:rPr>
          <w:lang w:val="pl-PL"/>
        </w:rPr>
      </w:pPr>
      <w:r w:rsidRPr="002C5541">
        <w:rPr>
          <w:lang w:val="pl-PL"/>
        </w:rPr>
        <w:t>“169.</w:t>
      </w:r>
      <w:r>
        <w:rPr>
          <w:lang w:val="pl-PL"/>
        </w:rPr>
        <w:t xml:space="preserve"> </w:t>
      </w:r>
      <w:r w:rsidRPr="002C5541">
        <w:rPr>
          <w:lang w:val="pl-PL"/>
        </w:rPr>
        <w:t xml:space="preserve">... Śledztwo musi być m.in. wyczerpujące, bezstronne i </w:t>
      </w:r>
      <w:r>
        <w:rPr>
          <w:lang w:val="pl-PL"/>
        </w:rPr>
        <w:t>staranne</w:t>
      </w:r>
      <w:r w:rsidRPr="002C5541">
        <w:rPr>
          <w:lang w:val="pl-PL"/>
        </w:rPr>
        <w:t xml:space="preserve"> (zob. </w:t>
      </w:r>
      <w:r w:rsidRPr="002C5541">
        <w:rPr>
          <w:i/>
          <w:iCs/>
          <w:lang w:val="pl-PL"/>
        </w:rPr>
        <w:t>McCann i inni przeciwko Zjednoczonemu Królestwu</w:t>
      </w:r>
      <w:r w:rsidRPr="002C5541">
        <w:rPr>
          <w:lang w:val="pl-PL"/>
        </w:rPr>
        <w:t>, 27 września 1995 r., §§ 161-163, Seria A 324).</w:t>
      </w:r>
    </w:p>
    <w:p w:rsidR="00110FEE" w:rsidRPr="002C5541" w:rsidRDefault="00110FEE" w:rsidP="00A936F2">
      <w:pPr>
        <w:pStyle w:val="JuQuotSub"/>
        <w:rPr>
          <w:lang w:val="pl-PL"/>
        </w:rPr>
      </w:pPr>
      <w:r w:rsidRPr="002C5541">
        <w:rPr>
          <w:lang w:val="pl-PL"/>
        </w:rPr>
        <w:t>170.</w:t>
      </w:r>
      <w:r>
        <w:rPr>
          <w:lang w:val="pl-PL"/>
        </w:rPr>
        <w:t xml:space="preserve"> Forma </w:t>
      </w:r>
      <w:r w:rsidRPr="002C5541">
        <w:rPr>
          <w:lang w:val="pl-PL"/>
        </w:rPr>
        <w:t>śledztw</w:t>
      </w:r>
      <w:r>
        <w:rPr>
          <w:lang w:val="pl-PL"/>
        </w:rPr>
        <w:t>a</w:t>
      </w:r>
      <w:r w:rsidRPr="002C5541">
        <w:rPr>
          <w:lang w:val="pl-PL"/>
        </w:rPr>
        <w:t xml:space="preserve"> wymagane</w:t>
      </w:r>
      <w:r>
        <w:rPr>
          <w:lang w:val="pl-PL"/>
        </w:rPr>
        <w:t>go</w:t>
      </w:r>
      <w:r w:rsidRPr="002C5541">
        <w:rPr>
          <w:lang w:val="pl-PL"/>
        </w:rPr>
        <w:t xml:space="preserve"> </w:t>
      </w:r>
      <w:r>
        <w:rPr>
          <w:lang w:val="pl-PL"/>
        </w:rPr>
        <w:t xml:space="preserve">w ramach tego obowiązku różnić się </w:t>
      </w:r>
      <w:r w:rsidRPr="002C5541">
        <w:rPr>
          <w:lang w:val="pl-PL"/>
        </w:rPr>
        <w:t xml:space="preserve">będzie </w:t>
      </w:r>
      <w:r>
        <w:rPr>
          <w:lang w:val="pl-PL"/>
        </w:rPr>
        <w:t>w zależności</w:t>
      </w:r>
      <w:r w:rsidRPr="002C5541">
        <w:rPr>
          <w:lang w:val="pl-PL"/>
        </w:rPr>
        <w:t xml:space="preserve"> od charakteru naruszenia życia: jakkolwiek śledztwo karne jest co do zasady konieczne, gdy śmierć zostanie spowodowana umyślnie, wymóg ten może być zaspokojony również przez postępowanie cywilne lub nawet dyscyplinarne, jeśli śmierć miała miejsce na skutek zaniedbania </w:t>
      </w:r>
      <w:r w:rsidRPr="002C5541">
        <w:rPr>
          <w:rFonts w:eastAsia="Times New Roman"/>
          <w:lang w:val="pl-PL"/>
        </w:rPr>
        <w:t xml:space="preserve">(zob. m.in. </w:t>
      </w:r>
      <w:r w:rsidRPr="002C5541">
        <w:rPr>
          <w:rFonts w:eastAsia="Times New Roman"/>
          <w:i/>
          <w:iCs/>
          <w:lang w:val="pl-PL"/>
        </w:rPr>
        <w:t>Calvelli i Ciglio przeciwko Włochom,</w:t>
      </w:r>
      <w:r w:rsidRPr="002C5541">
        <w:rPr>
          <w:rFonts w:eastAsia="Times New Roman"/>
          <w:lang w:val="pl-PL"/>
        </w:rPr>
        <w:t xml:space="preserve"> </w:t>
      </w:r>
      <w:r>
        <w:rPr>
          <w:rFonts w:eastAsia="Times New Roman"/>
          <w:lang w:val="pl-PL"/>
        </w:rPr>
        <w:t>wyrok cytowany powyżej</w:t>
      </w:r>
      <w:r w:rsidRPr="002C5541">
        <w:rPr>
          <w:rFonts w:eastAsia="Times New Roman"/>
          <w:lang w:val="pl-PL"/>
        </w:rPr>
        <w:t xml:space="preserve">, § 51; </w:t>
      </w:r>
      <w:r w:rsidRPr="002C5541">
        <w:rPr>
          <w:rFonts w:eastAsia="Times New Roman"/>
          <w:i/>
          <w:iCs/>
          <w:lang w:val="pl-PL"/>
        </w:rPr>
        <w:t xml:space="preserve">Mastromatteo przeciwko Włochom </w:t>
      </w:r>
      <w:r w:rsidRPr="002C5541">
        <w:rPr>
          <w:rFonts w:eastAsia="Times New Roman"/>
          <w:lang w:val="pl-PL"/>
        </w:rPr>
        <w:t>[GC], nr 37703/97, § 90, ETPC 2002</w:t>
      </w:r>
      <w:r w:rsidRPr="002C5541">
        <w:rPr>
          <w:rFonts w:eastAsia="Times New Roman"/>
          <w:lang w:val="pl-PL"/>
        </w:rPr>
        <w:noBreakHyphen/>
        <w:t xml:space="preserve">VIII; oraz </w:t>
      </w:r>
      <w:r w:rsidRPr="002C5541">
        <w:rPr>
          <w:rFonts w:eastAsia="Times New Roman"/>
          <w:i/>
          <w:iCs/>
          <w:lang w:val="pl-PL"/>
        </w:rPr>
        <w:t>Vo przeciwko Francji</w:t>
      </w:r>
      <w:r w:rsidRPr="002C5541">
        <w:rPr>
          <w:rFonts w:eastAsia="Times New Roman"/>
          <w:lang w:val="pl-PL"/>
        </w:rPr>
        <w:t xml:space="preserve">, </w:t>
      </w:r>
      <w:r w:rsidRPr="00E92FB7">
        <w:rPr>
          <w:rFonts w:eastAsia="Times New Roman"/>
          <w:lang w:val="pl-PL"/>
        </w:rPr>
        <w:t>wyrok cytowany powyżej</w:t>
      </w:r>
      <w:r w:rsidRPr="002C5541">
        <w:rPr>
          <w:rFonts w:eastAsia="Times New Roman"/>
          <w:lang w:val="pl-PL"/>
        </w:rPr>
        <w:t>, § 90).</w:t>
      </w:r>
    </w:p>
    <w:p w:rsidR="00110FEE" w:rsidRPr="002C5541" w:rsidRDefault="00110FEE" w:rsidP="00A936F2">
      <w:pPr>
        <w:pStyle w:val="JuQuotSub"/>
        <w:rPr>
          <w:i/>
          <w:iCs/>
          <w:lang w:val="pl-PL"/>
        </w:rPr>
      </w:pPr>
      <w:r w:rsidRPr="002C5541">
        <w:rPr>
          <w:rFonts w:eastAsia="MS Gothic"/>
          <w:lang w:val="pl-PL"/>
        </w:rPr>
        <w:t>171.</w:t>
      </w:r>
      <w:r>
        <w:rPr>
          <w:rFonts w:eastAsia="MS Gothic"/>
          <w:lang w:val="pl-PL"/>
        </w:rPr>
        <w:t xml:space="preserve"> </w:t>
      </w:r>
      <w:r w:rsidRPr="002C5541">
        <w:rPr>
          <w:rFonts w:eastAsia="MS Gothic"/>
          <w:lang w:val="pl-PL"/>
        </w:rPr>
        <w:t>Nakładając na Państwo obowiązek podjęcia odpowiednich działań zmierzających do ochrony życia osób pozostających pod jego jurysdykcją, art. 2</w:t>
      </w:r>
      <w:r>
        <w:rPr>
          <w:rFonts w:eastAsia="MS Gothic"/>
          <w:lang w:val="pl-PL"/>
        </w:rPr>
        <w:t xml:space="preserve"> </w:t>
      </w:r>
      <w:r w:rsidRPr="002C5541">
        <w:rPr>
          <w:rFonts w:eastAsia="MS Gothic"/>
          <w:lang w:val="pl-PL"/>
        </w:rPr>
        <w:t xml:space="preserve">zobowiązuje to Państwo do zabezpieczenia prawa do życia poprzez wdrożenie skutecznych przepisów prawa karnego zapobiegających przestępstwom przeciwko osobie, wspartych całym systemem organów ściągania na rzecz zapobiegania, </w:t>
      </w:r>
      <w:r>
        <w:rPr>
          <w:rFonts w:eastAsia="MS Gothic"/>
          <w:lang w:val="pl-PL"/>
        </w:rPr>
        <w:t>powstrzymywania</w:t>
      </w:r>
      <w:r w:rsidRPr="002C5541">
        <w:rPr>
          <w:rFonts w:eastAsia="MS Gothic"/>
          <w:lang w:val="pl-PL"/>
        </w:rPr>
        <w:t xml:space="preserve"> i karania naruszeń takich przepisów. Obowiązek ten wymaga również pośrednio przeprowadzenia pewnej formy oficjalnego śledztwa, gdy istnieją powody sądzić, że osoba fizyczna odniosła zagrażające życiu obrażenia w podejrzanych okolicznościach, nawet gdy domniemanym sprawcą ataku ze skutkiem śmiertelnym nie jest przedstawiciel Państwa (zob. </w:t>
      </w:r>
      <w:r w:rsidRPr="002C5541">
        <w:rPr>
          <w:rFonts w:eastAsia="MS Gothic"/>
          <w:i/>
          <w:iCs/>
          <w:lang w:val="pl-PL"/>
        </w:rPr>
        <w:t>Menson przeciwko Zjednoczonemu Królestwu</w:t>
      </w:r>
      <w:r w:rsidRPr="002C5541">
        <w:rPr>
          <w:rFonts w:eastAsia="MS Gothic"/>
          <w:lang w:val="pl-PL"/>
        </w:rPr>
        <w:t xml:space="preserve"> (dec.), nr 47916/99, ETPC 2003-V; </w:t>
      </w:r>
      <w:r w:rsidRPr="002C5541">
        <w:rPr>
          <w:rFonts w:eastAsia="MS Gothic"/>
          <w:i/>
          <w:iCs/>
          <w:lang w:val="pl-PL"/>
        </w:rPr>
        <w:t>Pereira Henriques przeciwko Luksemburgowi</w:t>
      </w:r>
      <w:r w:rsidRPr="002C5541">
        <w:rPr>
          <w:rFonts w:eastAsia="MS Gothic"/>
          <w:lang w:val="pl-PL"/>
        </w:rPr>
        <w:t xml:space="preserve">, nr 60255/00, § 56, 9 maja 2006 r.; oraz </w:t>
      </w:r>
      <w:r w:rsidRPr="002C5541">
        <w:rPr>
          <w:rFonts w:eastAsia="MS Gothic"/>
          <w:i/>
          <w:iCs/>
          <w:lang w:val="pl-PL"/>
        </w:rPr>
        <w:t>Yotova przeciwko Bułgarii</w:t>
      </w:r>
      <w:r w:rsidRPr="002C5541">
        <w:rPr>
          <w:i/>
          <w:iCs/>
          <w:lang w:val="pl-PL"/>
        </w:rPr>
        <w:t xml:space="preserve">, </w:t>
      </w:r>
      <w:r w:rsidRPr="002C5541">
        <w:rPr>
          <w:lang w:val="pl-PL"/>
        </w:rPr>
        <w:t xml:space="preserve">nr </w:t>
      </w:r>
      <w:r w:rsidRPr="002C5541">
        <w:rPr>
          <w:rFonts w:eastAsia="MS Gothic"/>
          <w:lang w:val="pl-PL"/>
        </w:rPr>
        <w:t>43606/04</w:t>
      </w:r>
      <w:r w:rsidRPr="002C5541">
        <w:rPr>
          <w:lang w:val="pl-PL"/>
        </w:rPr>
        <w:t>, § 68, 23 października 2012 r.).</w:t>
      </w:r>
    </w:p>
    <w:p w:rsidR="00110FEE" w:rsidRPr="002C5541" w:rsidRDefault="00110FEE" w:rsidP="00A936F2">
      <w:pPr>
        <w:pStyle w:val="JuQuotSub"/>
        <w:rPr>
          <w:lang w:val="pl-PL"/>
        </w:rPr>
      </w:pPr>
      <w:r w:rsidRPr="002C5541">
        <w:rPr>
          <w:lang w:val="pl-PL"/>
        </w:rPr>
        <w:t>172.</w:t>
      </w:r>
      <w:r>
        <w:rPr>
          <w:lang w:val="pl-PL"/>
        </w:rPr>
        <w:t xml:space="preserve"> </w:t>
      </w:r>
      <w:r w:rsidRPr="002C5541">
        <w:rPr>
          <w:lang w:val="pl-PL"/>
        </w:rPr>
        <w:t xml:space="preserve">Żeby zapewnić „skuteczność” – w znaczeniu, w jakim termin ten jest rozumiany w kontekście art. 2 Konwencji – śledztwo musi być przede wszystkim adekwatne (zob. </w:t>
      </w:r>
      <w:r w:rsidRPr="002C5541">
        <w:rPr>
          <w:rFonts w:eastAsia="Times New Roman"/>
          <w:i/>
          <w:iCs/>
          <w:lang w:val="pl-PL"/>
        </w:rPr>
        <w:t xml:space="preserve">Ramsahai i inni przeciwko Holandii </w:t>
      </w:r>
      <w:r w:rsidRPr="002C5541">
        <w:rPr>
          <w:lang w:val="pl-PL"/>
        </w:rPr>
        <w:t xml:space="preserve">[GC], nr </w:t>
      </w:r>
      <w:r w:rsidRPr="002C5541">
        <w:rPr>
          <w:rFonts w:eastAsia="Times New Roman"/>
          <w:lang w:val="pl-PL"/>
        </w:rPr>
        <w:t>52391/99</w:t>
      </w:r>
      <w:r w:rsidRPr="002C5541">
        <w:rPr>
          <w:lang w:val="pl-PL"/>
        </w:rPr>
        <w:t>, § 324, ETPC 2007</w:t>
      </w:r>
      <w:r w:rsidRPr="002C5541">
        <w:rPr>
          <w:lang w:val="pl-PL"/>
        </w:rPr>
        <w:noBreakHyphen/>
        <w:t>II). Oznacza to, że śledztwo musi być w stanie prowadzić do ustalenia faktów i w zależności od przypadku identyfikacji i ukarania osób odpowiedzialnych.</w:t>
      </w:r>
    </w:p>
    <w:p w:rsidR="00110FEE" w:rsidRPr="002C5541" w:rsidRDefault="00110FEE" w:rsidP="00A936F2">
      <w:pPr>
        <w:pStyle w:val="JuQuotSub"/>
        <w:rPr>
          <w:i/>
          <w:iCs/>
          <w:lang w:val="pl-PL"/>
        </w:rPr>
      </w:pPr>
      <w:r w:rsidRPr="002C5541">
        <w:rPr>
          <w:rFonts w:eastAsia="Times New Roman"/>
          <w:lang w:val="pl-PL"/>
        </w:rPr>
        <w:t>173.</w:t>
      </w:r>
      <w:r>
        <w:rPr>
          <w:rFonts w:eastAsia="Times New Roman"/>
          <w:lang w:val="pl-PL"/>
        </w:rPr>
        <w:t xml:space="preserve"> </w:t>
      </w:r>
      <w:r w:rsidRPr="002C5541">
        <w:rPr>
          <w:lang w:val="pl-PL"/>
        </w:rPr>
        <w:t xml:space="preserve">Obowiązek przeprowadzenia skutecznego śledztwa jest obowiązkiem środków, nie rezultatu: władze muszą podjąć zasadne działania, jakie są </w:t>
      </w:r>
      <w:r>
        <w:rPr>
          <w:lang w:val="pl-PL"/>
        </w:rPr>
        <w:t>dla nich</w:t>
      </w:r>
      <w:r w:rsidRPr="002C5541">
        <w:rPr>
          <w:lang w:val="pl-PL"/>
        </w:rPr>
        <w:t xml:space="preserve"> dostępne, w celu zabezpieczenia dowodów dotyczących </w:t>
      </w:r>
      <w:r>
        <w:rPr>
          <w:lang w:val="pl-PL"/>
        </w:rPr>
        <w:t>przedmiotowego</w:t>
      </w:r>
      <w:r w:rsidRPr="002C5541">
        <w:rPr>
          <w:lang w:val="pl-PL"/>
        </w:rPr>
        <w:t xml:space="preserve"> zdarzenia (zob. </w:t>
      </w:r>
      <w:r w:rsidRPr="002C5541">
        <w:rPr>
          <w:i/>
          <w:iCs/>
          <w:lang w:val="pl-PL"/>
        </w:rPr>
        <w:t xml:space="preserve">Jaloud </w:t>
      </w:r>
      <w:r w:rsidRPr="002C5541">
        <w:rPr>
          <w:i/>
          <w:iCs/>
          <w:snapToGrid w:val="0"/>
          <w:lang w:val="pl-PL"/>
        </w:rPr>
        <w:t xml:space="preserve">przeciwko Holandii </w:t>
      </w:r>
      <w:r w:rsidRPr="002C5541">
        <w:rPr>
          <w:lang w:val="pl-PL"/>
        </w:rPr>
        <w:t>[GC]</w:t>
      </w:r>
      <w:r w:rsidRPr="002C5541">
        <w:rPr>
          <w:snapToGrid w:val="0"/>
          <w:lang w:val="pl-PL"/>
        </w:rPr>
        <w:t xml:space="preserve">, </w:t>
      </w:r>
      <w:r w:rsidRPr="002C5541">
        <w:rPr>
          <w:lang w:val="pl-PL"/>
        </w:rPr>
        <w:t xml:space="preserve">nr 47708/08, § 186, ETPC 2014; </w:t>
      </w:r>
      <w:r>
        <w:rPr>
          <w:lang w:val="pl-PL"/>
        </w:rPr>
        <w:t>oraz</w:t>
      </w:r>
      <w:r w:rsidRPr="002C5541">
        <w:rPr>
          <w:lang w:val="pl-PL"/>
        </w:rPr>
        <w:t xml:space="preserve"> </w:t>
      </w:r>
      <w:r w:rsidRPr="002C5541">
        <w:rPr>
          <w:i/>
          <w:iCs/>
          <w:lang w:val="pl-PL"/>
        </w:rPr>
        <w:t>Nachova i inni przeciwko Bułgarii</w:t>
      </w:r>
      <w:r w:rsidRPr="002C5541">
        <w:rPr>
          <w:lang w:val="pl-PL"/>
        </w:rPr>
        <w:t xml:space="preserve"> [GC], nr 43577/98 i 43579/98, § 160, ETPC 2005</w:t>
      </w:r>
      <w:r w:rsidRPr="002C5541">
        <w:rPr>
          <w:lang w:val="pl-PL"/>
        </w:rPr>
        <w:noBreakHyphen/>
        <w:t>VII).</w:t>
      </w:r>
    </w:p>
    <w:p w:rsidR="00110FEE" w:rsidRPr="002C5541" w:rsidRDefault="00110FEE" w:rsidP="00A936F2">
      <w:pPr>
        <w:pStyle w:val="JuQuotSub"/>
        <w:rPr>
          <w:lang w:val="pl-PL"/>
        </w:rPr>
      </w:pPr>
      <w:r w:rsidRPr="002C5541">
        <w:rPr>
          <w:rFonts w:eastAsia="Times New Roman"/>
          <w:lang w:val="pl-PL"/>
        </w:rPr>
        <w:t>174.</w:t>
      </w:r>
      <w:r>
        <w:rPr>
          <w:rFonts w:eastAsia="Times New Roman"/>
          <w:lang w:val="pl-PL"/>
        </w:rPr>
        <w:t xml:space="preserve"> </w:t>
      </w:r>
      <w:r w:rsidRPr="002C5541">
        <w:rPr>
          <w:rFonts w:eastAsia="Times New Roman"/>
          <w:lang w:val="pl-PL"/>
        </w:rPr>
        <w:t xml:space="preserve">W każdym razie władze muszą podjąć wszelkie możliwe </w:t>
      </w:r>
      <w:r>
        <w:rPr>
          <w:rFonts w:eastAsia="Times New Roman"/>
          <w:lang w:val="pl-PL"/>
        </w:rPr>
        <w:t xml:space="preserve">i </w:t>
      </w:r>
      <w:r w:rsidRPr="002C5541">
        <w:rPr>
          <w:rFonts w:eastAsia="Times New Roman"/>
          <w:lang w:val="pl-PL"/>
        </w:rPr>
        <w:t>zasadne kroki, żeby zabezpieczyć dowody dotyczące incydentów, w tym m.in. dowód ze świadków, dowody kryminalistyczne, a także w zależności od przypadku sekcję zwłok, która zapewnia pełne i dokładne informacje na temat urazu i obiektywną analizę ustaleń klinicznych, w tym w kwestii przyczyny śmierci</w:t>
      </w:r>
      <w:r w:rsidRPr="002C5541">
        <w:rPr>
          <w:lang w:val="pl-PL"/>
        </w:rPr>
        <w:t>. Wszelkie braki w śledztwie, które uniemożliwiają ustalenie przyczyny śmierci lub osób odpowiedzialnych, stoją</w:t>
      </w:r>
      <w:r>
        <w:rPr>
          <w:lang w:val="pl-PL"/>
        </w:rPr>
        <w:t xml:space="preserve"> </w:t>
      </w:r>
      <w:r w:rsidRPr="002C5541">
        <w:rPr>
          <w:lang w:val="pl-PL"/>
        </w:rPr>
        <w:t xml:space="preserve">przed ryzykiem naruszenia tego standardu (zob. </w:t>
      </w:r>
      <w:r w:rsidRPr="002C5541">
        <w:rPr>
          <w:rFonts w:eastAsia="Times New Roman"/>
          <w:i/>
          <w:iCs/>
          <w:lang w:val="pl-PL"/>
        </w:rPr>
        <w:t>Giuliani i Gaggio przeciwko Włochom</w:t>
      </w:r>
      <w:r w:rsidRPr="002C5541">
        <w:rPr>
          <w:lang w:val="pl-PL"/>
        </w:rPr>
        <w:t xml:space="preserve"> [GC], skarga nr </w:t>
      </w:r>
      <w:r w:rsidRPr="002C5541">
        <w:rPr>
          <w:rFonts w:eastAsia="Times New Roman"/>
          <w:lang w:val="pl-PL"/>
        </w:rPr>
        <w:t>23458/02</w:t>
      </w:r>
      <w:r w:rsidRPr="002C5541">
        <w:rPr>
          <w:lang w:val="pl-PL"/>
        </w:rPr>
        <w:t>, § 301, ETPC 2011).</w:t>
      </w:r>
    </w:p>
    <w:p w:rsidR="00110FEE" w:rsidRPr="002C5541" w:rsidRDefault="00110FEE" w:rsidP="00A936F2">
      <w:pPr>
        <w:pStyle w:val="JuQuotSub"/>
        <w:rPr>
          <w:lang w:val="pl-PL"/>
        </w:rPr>
      </w:pPr>
      <w:r w:rsidRPr="002C5541">
        <w:rPr>
          <w:lang w:val="pl-PL"/>
        </w:rPr>
        <w:t>175.</w:t>
      </w:r>
      <w:r>
        <w:rPr>
          <w:lang w:val="pl-PL"/>
        </w:rPr>
        <w:t xml:space="preserve"> </w:t>
      </w:r>
      <w:r w:rsidRPr="002C5541">
        <w:rPr>
          <w:lang w:val="pl-PL"/>
        </w:rPr>
        <w:t xml:space="preserve">W szczególności wnioski ze śledztwa muszą być oparte na wyczerpującej, obiektywnej i bezstronnej analizie wszystkich istotnych elementów. Fakt, że nie przeprowadzono oczywistych czynności dochodzeniowych, w znaczącym stopniu podaje w wątpliwość zdolność śledztwa do ustalenia okoliczności sprawy i w zależności od przypadku tożsamości osób odpowiedzialnych (zob. </w:t>
      </w:r>
      <w:r w:rsidRPr="002C5541">
        <w:rPr>
          <w:i/>
          <w:iCs/>
          <w:lang w:val="pl-PL"/>
        </w:rPr>
        <w:t>Kolevi przeciwko Bułgarii</w:t>
      </w:r>
      <w:r w:rsidRPr="002C5541">
        <w:rPr>
          <w:lang w:val="pl-PL"/>
        </w:rPr>
        <w:t>, nr 1108/02, § 201, 5 listopada 2009 r.).</w:t>
      </w:r>
    </w:p>
    <w:p w:rsidR="00110FEE" w:rsidRPr="002C5541" w:rsidRDefault="00110FEE" w:rsidP="00A936F2">
      <w:pPr>
        <w:pStyle w:val="JuQuotSub"/>
        <w:rPr>
          <w:lang w:val="pl-PL"/>
        </w:rPr>
      </w:pPr>
      <w:r w:rsidRPr="002C5541">
        <w:rPr>
          <w:lang w:val="pl-PL"/>
        </w:rPr>
        <w:t>176.</w:t>
      </w:r>
      <w:r>
        <w:rPr>
          <w:lang w:val="pl-PL"/>
        </w:rPr>
        <w:t xml:space="preserve"> </w:t>
      </w:r>
      <w:r w:rsidRPr="002C5541">
        <w:rPr>
          <w:lang w:val="pl-PL"/>
        </w:rPr>
        <w:t xml:space="preserve">Niemniej jednak charakter i zakres kontroli, która </w:t>
      </w:r>
      <w:r>
        <w:rPr>
          <w:lang w:val="pl-PL"/>
        </w:rPr>
        <w:t>spełniałaby</w:t>
      </w:r>
      <w:r w:rsidRPr="002C5541">
        <w:rPr>
          <w:lang w:val="pl-PL"/>
        </w:rPr>
        <w:t xml:space="preserve"> minimalny próg skuteczności śledztwa</w:t>
      </w:r>
      <w:r>
        <w:rPr>
          <w:lang w:val="pl-PL"/>
        </w:rPr>
        <w:t>,</w:t>
      </w:r>
      <w:r w:rsidRPr="002C5541">
        <w:rPr>
          <w:lang w:val="pl-PL"/>
        </w:rPr>
        <w:t xml:space="preserve"> zależeć będzie od konkretnych okoliczności sprawy. Nie da się sprowadzić możliwych sytuacji, jakie mogą mieć miejsce, do zwykłej listy czynności dochodzeniowych lub innych uproszczonych kryteriów (zob. </w:t>
      </w:r>
      <w:r w:rsidRPr="002C5541">
        <w:rPr>
          <w:i/>
          <w:iCs/>
          <w:lang w:val="pl-PL"/>
        </w:rPr>
        <w:t xml:space="preserve">Tanrıkulu przeciwko Turcji </w:t>
      </w:r>
      <w:r w:rsidRPr="002C5541">
        <w:rPr>
          <w:lang w:val="pl-PL"/>
        </w:rPr>
        <w:t xml:space="preserve">[GC], nr 23763/94, §§ 101-110, ETPC 1999-IV; oraz </w:t>
      </w:r>
      <w:r w:rsidRPr="002C5541">
        <w:rPr>
          <w:i/>
          <w:iCs/>
          <w:lang w:val="pl-PL"/>
        </w:rPr>
        <w:t>Velikova przeciwko Bułgarii</w:t>
      </w:r>
      <w:r w:rsidRPr="002C5541">
        <w:rPr>
          <w:lang w:val="pl-PL"/>
        </w:rPr>
        <w:t>, nr 41488/98, § 80, ETPC 2000</w:t>
      </w:r>
      <w:r w:rsidRPr="002C5541">
        <w:rPr>
          <w:lang w:val="pl-PL"/>
        </w:rPr>
        <w:noBreakHyphen/>
        <w:t>VI).</w:t>
      </w:r>
    </w:p>
    <w:p w:rsidR="00110FEE" w:rsidRPr="002C5541" w:rsidRDefault="00110FEE" w:rsidP="00A936F2">
      <w:pPr>
        <w:pStyle w:val="JuQuotSub"/>
        <w:rPr>
          <w:lang w:val="pl-PL"/>
        </w:rPr>
      </w:pPr>
      <w:r w:rsidRPr="002C5541">
        <w:rPr>
          <w:lang w:val="pl-PL"/>
        </w:rPr>
        <w:t>177.</w:t>
      </w:r>
      <w:r>
        <w:rPr>
          <w:lang w:val="pl-PL"/>
        </w:rPr>
        <w:t xml:space="preserve"> </w:t>
      </w:r>
      <w:r w:rsidRPr="002C5541">
        <w:rPr>
          <w:lang w:val="pl-PL"/>
        </w:rPr>
        <w:t>Ponadto, osoby odpowiedzialne za śledztwo powinny być niezależne od osób, które są lub mogą być zamieszane w dane zdarzenie. Oznacza to nie tylko brak związku hierarchicznego lub instytucjonalnego, lecz także niezależność</w:t>
      </w:r>
      <w:r>
        <w:rPr>
          <w:lang w:val="pl-PL"/>
        </w:rPr>
        <w:t xml:space="preserve"> o charakterze praktycznym</w:t>
      </w:r>
      <w:r w:rsidRPr="002C5541">
        <w:rPr>
          <w:lang w:val="pl-PL"/>
        </w:rPr>
        <w:t xml:space="preserve"> (zob. </w:t>
      </w:r>
      <w:r w:rsidRPr="002C5541">
        <w:rPr>
          <w:i/>
          <w:iCs/>
          <w:lang w:val="pl-PL"/>
        </w:rPr>
        <w:t>Anguelova przeciwko Bułgarii</w:t>
      </w:r>
      <w:r w:rsidRPr="002C5541">
        <w:rPr>
          <w:lang w:val="pl-PL"/>
        </w:rPr>
        <w:t>, nr 38361/97, § 138, ETPC 2002</w:t>
      </w:r>
      <w:r w:rsidRPr="002C5541">
        <w:rPr>
          <w:lang w:val="pl-PL"/>
        </w:rPr>
        <w:noBreakHyphen/>
        <w:t>IV).</w:t>
      </w:r>
    </w:p>
    <w:p w:rsidR="00110FEE" w:rsidRPr="002C5541" w:rsidRDefault="00110FEE" w:rsidP="00A936F2">
      <w:pPr>
        <w:pStyle w:val="JuQuotSub"/>
        <w:rPr>
          <w:rFonts w:eastAsia="Times New Roman"/>
          <w:lang w:val="pl-PL"/>
        </w:rPr>
      </w:pPr>
      <w:r w:rsidRPr="002C5541">
        <w:rPr>
          <w:rFonts w:eastAsia="Times New Roman"/>
          <w:lang w:val="pl-PL"/>
        </w:rPr>
        <w:t>178.</w:t>
      </w:r>
      <w:r>
        <w:rPr>
          <w:rFonts w:eastAsia="Times New Roman"/>
          <w:lang w:val="pl-PL"/>
        </w:rPr>
        <w:t xml:space="preserve"> </w:t>
      </w:r>
      <w:r w:rsidRPr="002C5541">
        <w:rPr>
          <w:rFonts w:eastAsia="Times New Roman"/>
          <w:lang w:val="pl-PL"/>
        </w:rPr>
        <w:t xml:space="preserve">W tym kontekście dorozumiany jest wymóg </w:t>
      </w:r>
      <w:r w:rsidRPr="002C5541">
        <w:rPr>
          <w:lang w:val="pl-PL"/>
        </w:rPr>
        <w:t xml:space="preserve">szybkości i rozsądnego czasu trwania postępowania (zob. </w:t>
      </w:r>
      <w:r w:rsidRPr="002C5541">
        <w:rPr>
          <w:rFonts w:eastAsia="Times New Roman"/>
          <w:i/>
          <w:iCs/>
          <w:lang w:val="pl-PL"/>
        </w:rPr>
        <w:t>Al-Skeini i inni</w:t>
      </w:r>
      <w:r w:rsidRPr="002C5541">
        <w:rPr>
          <w:lang w:val="pl-PL"/>
        </w:rPr>
        <w:t xml:space="preserve">, </w:t>
      </w:r>
      <w:r>
        <w:rPr>
          <w:lang w:val="pl-PL"/>
        </w:rPr>
        <w:t>wyrok cytowany</w:t>
      </w:r>
      <w:r w:rsidRPr="002C5541">
        <w:rPr>
          <w:lang w:val="pl-PL"/>
        </w:rPr>
        <w:t xml:space="preserve"> powyżej, § 167).</w:t>
      </w:r>
    </w:p>
    <w:p w:rsidR="00110FEE" w:rsidRPr="002C5541" w:rsidRDefault="00110FEE" w:rsidP="00A936F2">
      <w:pPr>
        <w:pStyle w:val="JuQuotSub"/>
        <w:rPr>
          <w:rFonts w:eastAsia="Times New Roman"/>
          <w:lang w:val="pl-PL"/>
        </w:rPr>
      </w:pPr>
      <w:r w:rsidRPr="002C5541">
        <w:rPr>
          <w:rFonts w:eastAsia="Times New Roman"/>
          <w:lang w:val="pl-PL"/>
        </w:rPr>
        <w:t>179.</w:t>
      </w:r>
      <w:r>
        <w:rPr>
          <w:rFonts w:eastAsia="Times New Roman"/>
          <w:lang w:val="pl-PL"/>
        </w:rPr>
        <w:t xml:space="preserve"> </w:t>
      </w:r>
      <w:r w:rsidRPr="002C5541">
        <w:rPr>
          <w:lang w:val="pl-PL"/>
        </w:rPr>
        <w:t>W dodatku</w:t>
      </w:r>
      <w:r>
        <w:rPr>
          <w:lang w:val="pl-PL"/>
        </w:rPr>
        <w:t>,</w:t>
      </w:r>
      <w:r w:rsidRPr="002C5541">
        <w:rPr>
          <w:lang w:val="pl-PL"/>
        </w:rPr>
        <w:t xml:space="preserve"> do śledztwa dostęp musi mieć rodzina ofiary w zakresie koniecznym do zabezpieczenia jej </w:t>
      </w:r>
      <w:r>
        <w:rPr>
          <w:lang w:val="pl-PL"/>
        </w:rPr>
        <w:t>uzasadnionych</w:t>
      </w:r>
      <w:r w:rsidRPr="002C5541">
        <w:rPr>
          <w:lang w:val="pl-PL"/>
        </w:rPr>
        <w:t xml:space="preserve"> interesów. Należy zapewnić również możliwość dostatecznej kontroli publicznej w zakresie śledztwa, której stopień może być różny w zależności od przypadku (zob. </w:t>
      </w:r>
      <w:r w:rsidRPr="002C5541">
        <w:rPr>
          <w:rFonts w:eastAsia="Times New Roman"/>
          <w:i/>
          <w:iCs/>
          <w:lang w:val="pl-PL"/>
        </w:rPr>
        <w:t>Hugh Jordan przeciwko Zjednoczonemu Królestwu</w:t>
      </w:r>
      <w:r w:rsidRPr="002C5541">
        <w:rPr>
          <w:lang w:val="pl-PL"/>
        </w:rPr>
        <w:t xml:space="preserve">, nr </w:t>
      </w:r>
      <w:r w:rsidRPr="002C5541">
        <w:rPr>
          <w:rFonts w:eastAsia="Times New Roman"/>
          <w:lang w:val="pl-PL"/>
        </w:rPr>
        <w:t>24746/94</w:t>
      </w:r>
      <w:r w:rsidRPr="002C5541">
        <w:rPr>
          <w:lang w:val="pl-PL"/>
        </w:rPr>
        <w:t>, § 109, ETPC 2001</w:t>
      </w:r>
      <w:r w:rsidRPr="002C5541">
        <w:rPr>
          <w:lang w:val="pl-PL"/>
        </w:rPr>
        <w:noBreakHyphen/>
        <w:t xml:space="preserve">III). Wymagany dostęp ze strony społeczeństwa lub krewnych ofiary </w:t>
      </w:r>
      <w:r>
        <w:rPr>
          <w:lang w:val="pl-PL"/>
        </w:rPr>
        <w:t xml:space="preserve">można zapewnić jednak także </w:t>
      </w:r>
      <w:r w:rsidRPr="002C5541">
        <w:rPr>
          <w:lang w:val="pl-PL"/>
        </w:rPr>
        <w:t xml:space="preserve">na innych etapach procedury (zob. m.in. </w:t>
      </w:r>
      <w:r w:rsidRPr="002C5541">
        <w:rPr>
          <w:i/>
          <w:iCs/>
          <w:lang w:val="pl-PL"/>
        </w:rPr>
        <w:t>Giuliani i Gaggio</w:t>
      </w:r>
      <w:r w:rsidRPr="002C5541">
        <w:rPr>
          <w:lang w:val="pl-PL"/>
        </w:rPr>
        <w:t xml:space="preserve">, </w:t>
      </w:r>
      <w:r w:rsidRPr="00E92FB7">
        <w:rPr>
          <w:lang w:val="pl-PL"/>
        </w:rPr>
        <w:t>wyrok cytowany powyżej</w:t>
      </w:r>
      <w:r w:rsidRPr="002C5541">
        <w:rPr>
          <w:lang w:val="pl-PL"/>
        </w:rPr>
        <w:t xml:space="preserve">, § 304; oraz </w:t>
      </w:r>
      <w:r w:rsidRPr="002C5541">
        <w:rPr>
          <w:rFonts w:eastAsia="Times New Roman"/>
          <w:i/>
          <w:iCs/>
          <w:lang w:val="pl-PL"/>
        </w:rPr>
        <w:t>McKerr przeciwko Zjednoczonemu Królestwu</w:t>
      </w:r>
      <w:r w:rsidRPr="002C5541">
        <w:rPr>
          <w:lang w:val="pl-PL"/>
        </w:rPr>
        <w:t xml:space="preserve">, nr </w:t>
      </w:r>
      <w:r w:rsidRPr="002C5541">
        <w:rPr>
          <w:rFonts w:eastAsia="Times New Roman"/>
          <w:lang w:val="pl-PL"/>
        </w:rPr>
        <w:t>28883/95</w:t>
      </w:r>
      <w:r w:rsidRPr="002C5541">
        <w:rPr>
          <w:lang w:val="pl-PL"/>
        </w:rPr>
        <w:t>, § 129, ETPC 2001</w:t>
      </w:r>
      <w:r w:rsidRPr="002C5541">
        <w:rPr>
          <w:lang w:val="pl-PL"/>
        </w:rPr>
        <w:noBreakHyphen/>
        <w:t>III).</w:t>
      </w:r>
    </w:p>
    <w:p w:rsidR="00110FEE" w:rsidRPr="002C5541" w:rsidRDefault="00110FEE" w:rsidP="00A936F2">
      <w:pPr>
        <w:pStyle w:val="JuQuotSub"/>
        <w:rPr>
          <w:lang w:val="pl-PL"/>
        </w:rPr>
      </w:pPr>
      <w:r w:rsidRPr="002C5541">
        <w:rPr>
          <w:lang w:val="pl-PL"/>
        </w:rPr>
        <w:t>180.</w:t>
      </w:r>
      <w:r>
        <w:rPr>
          <w:lang w:val="pl-PL"/>
        </w:rPr>
        <w:t xml:space="preserve"> </w:t>
      </w:r>
      <w:r w:rsidRPr="002C5541">
        <w:rPr>
          <w:lang w:val="pl-PL"/>
        </w:rPr>
        <w:t xml:space="preserve">Art. 2 nie nakłada na organy dochodzeniowe obowiązku uwzględnienia każdego wniosku o podjęcie danej czynności dochodzeniowej, złożonego przez krewnego w trakcie prowadzenia śledztwa (zob. </w:t>
      </w:r>
      <w:r w:rsidRPr="002C5541">
        <w:rPr>
          <w:i/>
          <w:iCs/>
          <w:lang w:val="pl-PL"/>
        </w:rPr>
        <w:t>Ramsahai i inni</w:t>
      </w:r>
      <w:r w:rsidRPr="002C5541">
        <w:rPr>
          <w:lang w:val="pl-PL"/>
        </w:rPr>
        <w:t xml:space="preserve">, </w:t>
      </w:r>
      <w:r w:rsidRPr="00E92FB7">
        <w:rPr>
          <w:lang w:val="pl-PL"/>
        </w:rPr>
        <w:t>wyrok cytowany powyżej</w:t>
      </w:r>
      <w:r w:rsidRPr="002C5541">
        <w:rPr>
          <w:lang w:val="pl-PL"/>
        </w:rPr>
        <w:t xml:space="preserve">, § 348; oraz </w:t>
      </w:r>
      <w:r w:rsidRPr="002C5541">
        <w:rPr>
          <w:i/>
          <w:iCs/>
          <w:lang w:val="pl-PL"/>
        </w:rPr>
        <w:t>Velcea i Mazăre przeciwko Rumunii</w:t>
      </w:r>
      <w:r w:rsidRPr="002C5541">
        <w:rPr>
          <w:lang w:val="pl-PL"/>
        </w:rPr>
        <w:t>, nr 64301/01</w:t>
      </w:r>
      <w:r w:rsidRPr="002C5541">
        <w:rPr>
          <w:snapToGrid w:val="0"/>
          <w:lang w:val="pl-PL"/>
        </w:rPr>
        <w:t xml:space="preserve">, § 113, </w:t>
      </w:r>
      <w:r w:rsidRPr="002C5541">
        <w:rPr>
          <w:lang w:val="pl-PL"/>
        </w:rPr>
        <w:t>1 grudnia</w:t>
      </w:r>
      <w:r w:rsidRPr="002C5541">
        <w:rPr>
          <w:snapToGrid w:val="0"/>
          <w:lang w:val="pl-PL"/>
        </w:rPr>
        <w:t xml:space="preserve"> 2009 r.)</w:t>
      </w:r>
      <w:r w:rsidRPr="002C5541">
        <w:rPr>
          <w:lang w:val="pl-PL"/>
        </w:rPr>
        <w:t>.</w:t>
      </w:r>
    </w:p>
    <w:p w:rsidR="00110FEE" w:rsidRPr="002C5541" w:rsidRDefault="00110FEE" w:rsidP="00A936F2">
      <w:pPr>
        <w:pStyle w:val="JuQuotSub"/>
        <w:rPr>
          <w:snapToGrid w:val="0"/>
          <w:lang w:val="pl-PL"/>
        </w:rPr>
      </w:pPr>
      <w:r w:rsidRPr="002C5541">
        <w:rPr>
          <w:lang w:val="pl-PL"/>
        </w:rPr>
        <w:t>181.</w:t>
      </w:r>
      <w:r>
        <w:rPr>
          <w:lang w:val="pl-PL"/>
        </w:rPr>
        <w:t xml:space="preserve"> </w:t>
      </w:r>
      <w:r w:rsidRPr="002C5541">
        <w:rPr>
          <w:lang w:val="pl-PL"/>
        </w:rPr>
        <w:t xml:space="preserve">Kwestię tego, czy śledztwo było dostatecznie skuteczne, należy ocenić na podstawie wszystkich istotnych </w:t>
      </w:r>
      <w:r>
        <w:rPr>
          <w:lang w:val="pl-PL"/>
        </w:rPr>
        <w:t>f</w:t>
      </w:r>
      <w:r w:rsidRPr="002C5541">
        <w:rPr>
          <w:lang w:val="pl-PL"/>
        </w:rPr>
        <w:t xml:space="preserve">aktów i z uwzględnieniem praktycznych realiów pracy dochodzeniowej (zob. </w:t>
      </w:r>
      <w:r w:rsidRPr="002C5541">
        <w:rPr>
          <w:i/>
          <w:iCs/>
          <w:snapToGrid w:val="0"/>
          <w:lang w:val="pl-PL"/>
        </w:rPr>
        <w:t>Dobriyeva i inni przeciwko Rosji</w:t>
      </w:r>
      <w:r w:rsidRPr="002C5541">
        <w:rPr>
          <w:snapToGrid w:val="0"/>
          <w:lang w:val="pl-PL"/>
        </w:rPr>
        <w:t xml:space="preserve">, nr 18407/10, § 72, 19 grudnia 2013 r.; oraz </w:t>
      </w:r>
      <w:r w:rsidRPr="002C5541">
        <w:rPr>
          <w:i/>
          <w:iCs/>
          <w:lang w:val="pl-PL"/>
        </w:rPr>
        <w:t xml:space="preserve">Centre for Legal Resources w imieniu Valentin Câmpeanu przeciwko Rumunii </w:t>
      </w:r>
      <w:r w:rsidRPr="002C5541">
        <w:rPr>
          <w:lang w:val="pl-PL"/>
        </w:rPr>
        <w:t>[GC], nr</w:t>
      </w:r>
      <w:r>
        <w:rPr>
          <w:lang w:val="pl-PL"/>
        </w:rPr>
        <w:t xml:space="preserve"> </w:t>
      </w:r>
      <w:r w:rsidRPr="002C5541">
        <w:rPr>
          <w:lang w:val="pl-PL"/>
        </w:rPr>
        <w:t>47848/08</w:t>
      </w:r>
      <w:r w:rsidRPr="002C5541">
        <w:rPr>
          <w:snapToGrid w:val="0"/>
          <w:lang w:val="pl-PL"/>
        </w:rPr>
        <w:t>, § 147, 17 </w:t>
      </w:r>
      <w:r w:rsidRPr="002C5541">
        <w:rPr>
          <w:lang w:val="pl-PL"/>
        </w:rPr>
        <w:t>lipca</w:t>
      </w:r>
      <w:r w:rsidRPr="002C5541">
        <w:rPr>
          <w:snapToGrid w:val="0"/>
          <w:lang w:val="pl-PL"/>
        </w:rPr>
        <w:t xml:space="preserve"> 2014 r.)</w:t>
      </w:r>
      <w:r>
        <w:rPr>
          <w:snapToGrid w:val="0"/>
          <w:lang w:val="pl-PL"/>
        </w:rPr>
        <w:t>”</w:t>
      </w:r>
      <w:r w:rsidRPr="002C5541">
        <w:rPr>
          <w:lang w:val="pl-PL"/>
        </w:rPr>
        <w:t>.</w:t>
      </w:r>
    </w:p>
    <w:p w:rsidR="00110FEE" w:rsidRPr="002C5541" w:rsidRDefault="00110FEE" w:rsidP="00F25813">
      <w:pPr>
        <w:pStyle w:val="ECHRHeading5"/>
        <w:outlineLvl w:val="5"/>
        <w:rPr>
          <w:lang w:val="pl-PL"/>
        </w:rPr>
      </w:pPr>
      <w:r w:rsidRPr="002C5541">
        <w:rPr>
          <w:lang w:val="pl-PL"/>
        </w:rPr>
        <w:t>(ii)</w:t>
      </w:r>
      <w:r>
        <w:rPr>
          <w:lang w:val="pl-PL"/>
        </w:rPr>
        <w:t xml:space="preserve"> </w:t>
      </w:r>
      <w:r w:rsidRPr="002C5541">
        <w:rPr>
          <w:lang w:val="pl-PL"/>
        </w:rPr>
        <w:t>Zastosowanie zasad ogólnych do niniejszej sprawy</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220</w:t>
      </w:r>
      <w:r w:rsidRPr="002C5541">
        <w:rPr>
          <w:lang w:val="pl-PL"/>
        </w:rPr>
        <w:fldChar w:fldCharType="end"/>
      </w:r>
      <w:r w:rsidRPr="002C5541">
        <w:rPr>
          <w:lang w:val="pl-PL"/>
        </w:rPr>
        <w:t>.</w:t>
      </w:r>
      <w:r>
        <w:rPr>
          <w:lang w:val="pl-PL"/>
        </w:rPr>
        <w:t xml:space="preserve"> </w:t>
      </w:r>
      <w:r w:rsidRPr="002C5541">
        <w:rPr>
          <w:lang w:val="pl-PL"/>
        </w:rPr>
        <w:t>Izba zaznaczyła na początku, że proceduralny obowiązek przeprowadzenia śledztwa powstał po stronie obu Państw, zważywszy, że</w:t>
      </w:r>
      <w:r>
        <w:rPr>
          <w:lang w:val="pl-PL"/>
        </w:rPr>
        <w:t xml:space="preserve"> </w:t>
      </w:r>
      <w:r w:rsidRPr="002C5541">
        <w:rPr>
          <w:lang w:val="pl-PL"/>
        </w:rPr>
        <w:t>śmierć miała miejsce na terytorium kontrolowanym przez Cypr, i na wniosek</w:t>
      </w:r>
      <w:r>
        <w:rPr>
          <w:lang w:val="pl-PL"/>
        </w:rPr>
        <w:t>, do jakiego Izba doszła,</w:t>
      </w:r>
      <w:r w:rsidRPr="002C5541">
        <w:rPr>
          <w:lang w:val="pl-PL"/>
        </w:rPr>
        <w:t xml:space="preserve"> dotyczący jurysdykcji </w:t>
      </w:r>
      <w:r w:rsidRPr="002C5541">
        <w:rPr>
          <w:i/>
          <w:iCs/>
          <w:lang w:val="pl-PL"/>
        </w:rPr>
        <w:t xml:space="preserve">ratione loci </w:t>
      </w:r>
      <w:r w:rsidRPr="002C5541">
        <w:rPr>
          <w:lang w:val="pl-PL"/>
        </w:rPr>
        <w:t>w odniesieniu do Turcji (zob. pkt 262 wyroku Izby). Następnie przyjrzała się śledztwom i zaważyła, że władze pozwanych Państw niezwłocznie podjęły liczne czynności dochodzeniowe. Nie dostrzegła żadnych innych niedomagań, które mogłyby podać w wątpliwość ogólną adekwatność samych śledztw (zob. pkt 281 wyroku Izby). Strony przed Wielką Izbą nie podważyły tych ustaleń i w swoich stanowiskach skupiły się na rzekomym braku współpracy ze strony pozwanych Państw.</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221</w:t>
      </w:r>
      <w:r w:rsidRPr="002C5541">
        <w:rPr>
          <w:lang w:val="pl-PL"/>
        </w:rPr>
        <w:fldChar w:fldCharType="end"/>
      </w:r>
      <w:r w:rsidRPr="002C5541">
        <w:rPr>
          <w:lang w:val="pl-PL"/>
        </w:rPr>
        <w:t>.</w:t>
      </w:r>
      <w:r>
        <w:rPr>
          <w:lang w:val="pl-PL"/>
        </w:rPr>
        <w:t xml:space="preserve"> </w:t>
      </w:r>
      <w:r w:rsidRPr="002C5541">
        <w:rPr>
          <w:lang w:val="pl-PL"/>
        </w:rPr>
        <w:t>Wielka Izba potwierdza ustalenia dokonane przez Izbę w zakresie ogólnej adekwatności równoległych śledztw prowadzonych przez władze każdego pozwanego Państwa. Uznaje również, że rdzeniem problem w niniejszej sprawie jest istnienie i zakres obowiązku współpracy jako elementu obowiązku proceduralnego na podstawie art. 2. Z tego powodu będzie musiała rozważyć, w jakim zakresie pozwane Państwa wypełniły ten obowiązek.</w:t>
      </w:r>
    </w:p>
    <w:p w:rsidR="00110FEE" w:rsidRPr="002C5541" w:rsidRDefault="00110FEE" w:rsidP="00F25813">
      <w:pPr>
        <w:pStyle w:val="ECHRHeading4"/>
        <w:rPr>
          <w:lang w:val="pl-PL"/>
        </w:rPr>
      </w:pPr>
      <w:r w:rsidRPr="002C5541">
        <w:rPr>
          <w:lang w:val="pl-PL"/>
        </w:rPr>
        <w:t>(b)</w:t>
      </w:r>
      <w:r>
        <w:rPr>
          <w:lang w:val="pl-PL"/>
        </w:rPr>
        <w:t xml:space="preserve"> </w:t>
      </w:r>
      <w:r w:rsidRPr="002C5541">
        <w:rPr>
          <w:lang w:val="pl-PL"/>
        </w:rPr>
        <w:t>Obowiązek współpracy jako element obowiązku proceduralnego na podstawie art. 2</w:t>
      </w:r>
    </w:p>
    <w:p w:rsidR="00110FEE" w:rsidRPr="002C5541" w:rsidRDefault="00110FEE" w:rsidP="00F25813">
      <w:pPr>
        <w:pStyle w:val="ECHRHeading5"/>
        <w:outlineLvl w:val="5"/>
        <w:rPr>
          <w:lang w:val="pl-PL"/>
        </w:rPr>
      </w:pPr>
      <w:r w:rsidRPr="002C5541">
        <w:rPr>
          <w:lang w:val="pl-PL"/>
        </w:rPr>
        <w:t>(i)</w:t>
      </w:r>
      <w:r>
        <w:rPr>
          <w:lang w:val="pl-PL"/>
        </w:rPr>
        <w:t xml:space="preserve"> Streszczenie</w:t>
      </w:r>
      <w:r w:rsidRPr="002C5541">
        <w:rPr>
          <w:lang w:val="pl-PL"/>
        </w:rPr>
        <w:t xml:space="preserve"> orzecznictwa</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222</w:t>
      </w:r>
      <w:r w:rsidRPr="002C5541">
        <w:rPr>
          <w:lang w:val="pl-PL"/>
        </w:rPr>
        <w:fldChar w:fldCharType="end"/>
      </w:r>
      <w:r w:rsidRPr="002C5541">
        <w:rPr>
          <w:lang w:val="pl-PL"/>
        </w:rPr>
        <w:t>.</w:t>
      </w:r>
      <w:r>
        <w:rPr>
          <w:lang w:val="pl-PL"/>
        </w:rPr>
        <w:t xml:space="preserve"> </w:t>
      </w:r>
      <w:r w:rsidRPr="002C5541">
        <w:rPr>
          <w:lang w:val="pl-PL"/>
        </w:rPr>
        <w:t>Było bardzo niewiele spraw, w których Trybunał został wezwany do rozpatrzenia kwestii zakresu obowiązku proceduralnego na podstawie art. 2 w kontekście transgranicznym lub ponadnarodowym oraz tego, czy obowiązek ten pociąga za sobą obowiązek współpracy z innymi Państwami.</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223</w:t>
      </w:r>
      <w:r w:rsidRPr="002C5541">
        <w:rPr>
          <w:lang w:val="pl-PL"/>
        </w:rPr>
        <w:fldChar w:fldCharType="end"/>
      </w:r>
      <w:r w:rsidRPr="002C5541">
        <w:rPr>
          <w:lang w:val="pl-PL"/>
        </w:rPr>
        <w:t xml:space="preserve">. W sprawie </w:t>
      </w:r>
      <w:r w:rsidRPr="002C5541">
        <w:rPr>
          <w:i/>
          <w:iCs/>
          <w:lang w:val="pl-PL"/>
        </w:rPr>
        <w:t xml:space="preserve">O’Loughlin </w:t>
      </w:r>
      <w:r w:rsidRPr="002C5541">
        <w:rPr>
          <w:lang w:val="pl-PL"/>
        </w:rPr>
        <w:t>(</w:t>
      </w:r>
      <w:r>
        <w:rPr>
          <w:lang w:val="pl-PL"/>
        </w:rPr>
        <w:t>wyrok cytowany</w:t>
      </w:r>
      <w:r w:rsidRPr="002C5541">
        <w:rPr>
          <w:lang w:val="pl-PL"/>
        </w:rPr>
        <w:t xml:space="preserve"> powyżej) skarżący zarzucili na podstawie art. 2 Konwencji, że władze Zjednoczonego Królestwa nie wsparły dochodzenia przeprowadzanego w Irlandii w sprawie śmierci w wyniku zamachów bombowych w Dublinie i Monaghan w dniu 17 maja 1974 r. Podejrzani przebywali w Irlandii Północnej. Trybunał stwierdził, że nie musi decydować, czy i w jakim zakresie art. 2 może nałożyć na jedno z Umawiających się Państw obowiązek współpracy w zakresie dochodzeń i </w:t>
      </w:r>
      <w:r>
        <w:rPr>
          <w:lang w:val="pl-PL"/>
        </w:rPr>
        <w:t>postępowań</w:t>
      </w:r>
      <w:r w:rsidRPr="002C5541">
        <w:rPr>
          <w:lang w:val="pl-PL"/>
        </w:rPr>
        <w:t xml:space="preserve"> przeprowadzanych pod jurysdykcją innego Umawiającego się Państwa w sprawie bezprawnego użycia siły, której skutkiem jest śmierć, jako że skarga została złożona po upływie sześciomiesięcznego terminu. W sprawie </w:t>
      </w:r>
      <w:r w:rsidRPr="002C5541">
        <w:rPr>
          <w:i/>
          <w:iCs/>
          <w:lang w:val="pl-PL"/>
        </w:rPr>
        <w:t xml:space="preserve">Cummins </w:t>
      </w:r>
      <w:r w:rsidRPr="002C5541">
        <w:rPr>
          <w:lang w:val="pl-PL"/>
        </w:rPr>
        <w:t>(</w:t>
      </w:r>
      <w:r w:rsidRPr="00BA7007">
        <w:rPr>
          <w:lang w:val="pl-PL"/>
        </w:rPr>
        <w:t>wyrok cytowany powyżej</w:t>
      </w:r>
      <w:r w:rsidRPr="002C5541">
        <w:rPr>
          <w:lang w:val="pl-PL"/>
        </w:rPr>
        <w:t>), któr</w:t>
      </w:r>
      <w:r>
        <w:rPr>
          <w:lang w:val="pl-PL"/>
        </w:rPr>
        <w:t>a</w:t>
      </w:r>
      <w:r w:rsidRPr="002C5541">
        <w:rPr>
          <w:lang w:val="pl-PL"/>
        </w:rPr>
        <w:t xml:space="preserve"> dotyczyła zamachów bombowych w Dublinie w grudniu 1972 r. i styczniu 1973 r., Trybunał przyjrzał się kwestii, czy władze Zjednoczonego Królestwa podjęły skuteczną współpracę w zakresie śledztwa przeprowadzanego przez Irlandię, lecz stwierdził ostatecznie, że skarga była oczywiście bezpodstawna, jako że nie udowodniono braku współpracy.</w:t>
      </w:r>
    </w:p>
    <w:p w:rsidR="00110FEE" w:rsidRPr="002C5541" w:rsidRDefault="00110FEE" w:rsidP="00F25813">
      <w:pPr>
        <w:pStyle w:val="ECHRPara"/>
        <w:rPr>
          <w:snapToGrid w:val="0"/>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224</w:t>
      </w:r>
      <w:r w:rsidRPr="002C5541">
        <w:rPr>
          <w:lang w:val="pl-PL"/>
        </w:rPr>
        <w:fldChar w:fldCharType="end"/>
      </w:r>
      <w:r w:rsidRPr="002C5541">
        <w:rPr>
          <w:lang w:val="pl-PL"/>
        </w:rPr>
        <w:t>.</w:t>
      </w:r>
      <w:r>
        <w:rPr>
          <w:lang w:val="pl-PL"/>
        </w:rPr>
        <w:t xml:space="preserve"> </w:t>
      </w:r>
      <w:r w:rsidRPr="002C5541">
        <w:rPr>
          <w:lang w:val="pl-PL"/>
        </w:rPr>
        <w:t xml:space="preserve">W sprawie </w:t>
      </w:r>
      <w:r w:rsidRPr="002C5541">
        <w:rPr>
          <w:i/>
          <w:iCs/>
          <w:lang w:val="pl-PL"/>
        </w:rPr>
        <w:t>Agache i inni przeciwko Rumunii</w:t>
      </w:r>
      <w:r w:rsidRPr="002C5541">
        <w:rPr>
          <w:lang w:val="pl-PL"/>
        </w:rPr>
        <w:t xml:space="preserve"> (nr 2712/02</w:t>
      </w:r>
      <w:r w:rsidRPr="002C5541">
        <w:rPr>
          <w:snapToGrid w:val="0"/>
          <w:lang w:val="pl-PL"/>
        </w:rPr>
        <w:t xml:space="preserve">, </w:t>
      </w:r>
      <w:r w:rsidRPr="002C5541">
        <w:rPr>
          <w:lang w:val="pl-PL"/>
        </w:rPr>
        <w:t>20</w:t>
      </w:r>
      <w:r w:rsidRPr="002C5541">
        <w:rPr>
          <w:snapToGrid w:val="0"/>
          <w:lang w:val="pl-PL"/>
        </w:rPr>
        <w:t xml:space="preserve"> października 2009 r.) Trybunał – stwierdzając proceduralne naruszenie art. 2 – wziął m.in. pod uwagę fakt, że władze rumuńskie nie podjęły koniecznych działań w celu zabezpieczenia ekstradycji trzech skazanych za atak prowadzący do śmierci ofiary (tamże, § 83; zob. </w:t>
      </w:r>
      <w:r w:rsidRPr="002C5541">
        <w:rPr>
          <w:i/>
          <w:iCs/>
          <w:snapToGrid w:val="0"/>
          <w:lang w:val="pl-PL"/>
        </w:rPr>
        <w:t xml:space="preserve">mutatis mutandis Nasr i Ghali przeciwko Włochom, </w:t>
      </w:r>
      <w:r w:rsidRPr="002C5541">
        <w:rPr>
          <w:snapToGrid w:val="0"/>
          <w:lang w:val="pl-PL"/>
        </w:rPr>
        <w:t>nr 44883/09, §§ 270 i 272, 23 lutego 2006 r., w odniesieniu do aspektu proceduralnego art. 3 i niewystąpienia o ekstradycję ze Stanów Zjednoczonych).</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225</w:t>
      </w:r>
      <w:r w:rsidRPr="002C5541">
        <w:rPr>
          <w:lang w:val="pl-PL"/>
        </w:rPr>
        <w:fldChar w:fldCharType="end"/>
      </w:r>
      <w:r w:rsidRPr="002C5541">
        <w:rPr>
          <w:lang w:val="pl-PL"/>
        </w:rPr>
        <w:t>.</w:t>
      </w:r>
      <w:r>
        <w:rPr>
          <w:lang w:val="pl-PL"/>
        </w:rPr>
        <w:t xml:space="preserve"> </w:t>
      </w:r>
      <w:r w:rsidRPr="002C5541">
        <w:rPr>
          <w:lang w:val="pl-PL"/>
        </w:rPr>
        <w:t xml:space="preserve">W sprawie </w:t>
      </w:r>
      <w:r w:rsidRPr="002C5541">
        <w:rPr>
          <w:i/>
          <w:iCs/>
          <w:lang w:val="pl-PL"/>
        </w:rPr>
        <w:t xml:space="preserve">Rantsev </w:t>
      </w:r>
      <w:r w:rsidRPr="002C5541">
        <w:rPr>
          <w:lang w:val="pl-PL"/>
        </w:rPr>
        <w:t>(</w:t>
      </w:r>
      <w:r w:rsidRPr="00BA7007">
        <w:rPr>
          <w:lang w:val="pl-PL"/>
        </w:rPr>
        <w:t>wyrok cytowany powyżej</w:t>
      </w:r>
      <w:r w:rsidRPr="002C5541">
        <w:rPr>
          <w:lang w:val="pl-PL"/>
        </w:rPr>
        <w:t>) Trybunał zauważył, że obowiązek proceduralny na podstawie art. 2 wymaga od Umawiających się Państw podjęcia kroków, jakie są koniecznie i dostępne, w celu zabezpieczenia stosownych dowodów, niezależnie od tego, czy dowody te znajdowały się na terytorium Państwa prowadzącego śledztwo. Uznał, że władze cypryjskie powinny były poprosić Rosję o pomoc prawną mającą na celu zbadani</w:t>
      </w:r>
      <w:r>
        <w:rPr>
          <w:lang w:val="pl-PL"/>
        </w:rPr>
        <w:t>e</w:t>
      </w:r>
      <w:r w:rsidRPr="002C5541">
        <w:rPr>
          <w:lang w:val="pl-PL"/>
        </w:rPr>
        <w:t xml:space="preserve"> okoliczności śmierci ofiary na Cyprze, składając wniosek o uzyskanie zeznań dwóch świadków, którzy </w:t>
      </w:r>
      <w:r>
        <w:rPr>
          <w:lang w:val="pl-PL"/>
        </w:rPr>
        <w:t>przebywali</w:t>
      </w:r>
      <w:r w:rsidRPr="002C5541">
        <w:rPr>
          <w:lang w:val="pl-PL"/>
        </w:rPr>
        <w:t xml:space="preserve"> w Rosji. Wziął pod uwagę, że zarówno Cypr, jak i Rosja były stronami Europejskiej Konwencji pomocy prawnej w sprawach karnych z 1959 r. i dodatkowo zawarły dwustronne porozumienie w sprawie pomocy prawnej. Zważywszy m.in. na fakt, że Cypr nie starał się nawiązać współpracy z Rosją, Trybunał uznał, że Cypr dopuścił się proceduralnego naruszenia art. 2 (tamże, §§ 241-42). Stwierdził następnie, że koniecznym następstwem obowiązku zabezpieczenia przez Państwo prowadzące śledztwo dowodów znajdujących się w innych jurysdykcjach jest obowiązek udzielenia przez Państwo, w którym znajdują się dowody, wszelkiej pomocy, jaka znajduje się w zakresie jego kompetencji, oraz podjęcia wszelkich działań żądanych we wniosku o pomoc prawną. Trybunał przyznał, że biorąc pod uwagę, iż Cypr nie skierował żadnego wniosku tego rodzaju, Rosja nie była w obowiązku przesłuchać dwóch świadków, którzy znajdowali się na jej terytorium, czego żądali skarżący. Zauważył także, że władze rosyjskie w znacznym zakresie wykorzystały możliwości wynikające z umów o wzajemnej pomocy prawnej, żeby naciskać władze cypryjskie na podjęcie działań, w tym składając konkretny wniosek o wszczęcie postępowania karnego. Trybunał uznał zatem, że Rosja nie popełniła proceduralnego naruszenia art. 2 (tamże, §§ 245-47).</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226</w:t>
      </w:r>
      <w:r w:rsidRPr="002C5541">
        <w:rPr>
          <w:lang w:val="pl-PL"/>
        </w:rPr>
        <w:fldChar w:fldCharType="end"/>
      </w:r>
      <w:r w:rsidRPr="002C5541">
        <w:rPr>
          <w:lang w:val="pl-PL"/>
        </w:rPr>
        <w:t>.</w:t>
      </w:r>
      <w:r>
        <w:rPr>
          <w:lang w:val="pl-PL"/>
        </w:rPr>
        <w:t xml:space="preserve"> </w:t>
      </w:r>
      <w:r w:rsidRPr="002C5541">
        <w:rPr>
          <w:lang w:val="pl-PL"/>
        </w:rPr>
        <w:t xml:space="preserve">W sprawie </w:t>
      </w:r>
      <w:r w:rsidRPr="002C5541">
        <w:rPr>
          <w:i/>
          <w:iCs/>
          <w:lang w:val="pl-PL"/>
        </w:rPr>
        <w:t xml:space="preserve">Palić przeciwko Bośni i Hercegowinie </w:t>
      </w:r>
      <w:r w:rsidRPr="002C5541">
        <w:rPr>
          <w:lang w:val="pl-PL"/>
        </w:rPr>
        <w:t xml:space="preserve">(nr 4704/04, 15 lutego 2011 r.) oraz w sprawie </w:t>
      </w:r>
      <w:r w:rsidRPr="002C5541">
        <w:rPr>
          <w:i/>
          <w:iCs/>
          <w:lang w:val="pl-PL"/>
        </w:rPr>
        <w:t>Nježić i Štimac przeciwko Chorwacji</w:t>
      </w:r>
      <w:r w:rsidRPr="002C5541">
        <w:rPr>
          <w:lang w:val="pl-PL"/>
        </w:rPr>
        <w:t xml:space="preserve"> (nr 29823/13, 9 kwietnia 2015 r.) Trybunał uznał, że oba pozwane Państwa spełniły ciążący na nich obowiązek proceduralny na podstawie art. 2 w sprawie zniknięcia i śmierci krewnych skarżących. W sprawie </w:t>
      </w:r>
      <w:r w:rsidRPr="002C5541">
        <w:rPr>
          <w:i/>
          <w:iCs/>
          <w:lang w:val="pl-PL"/>
        </w:rPr>
        <w:t>Palić</w:t>
      </w:r>
      <w:r w:rsidRPr="002C5541">
        <w:rPr>
          <w:lang w:val="pl-PL"/>
        </w:rPr>
        <w:t xml:space="preserve"> Trybunał zauważył, że władze krajowe wydały międzynarodowe nakazy aresztowania, lecz śledztwo utknęło w martwym punkcie, gdyż podejrzani uciekli do Serbii i jako obywatele serbscy nie podlegali ekstradycji. W sprawie </w:t>
      </w:r>
      <w:r w:rsidRPr="002C5541">
        <w:rPr>
          <w:i/>
          <w:iCs/>
          <w:lang w:val="pl-PL"/>
        </w:rPr>
        <w:t>Nježić i Štimac</w:t>
      </w:r>
      <w:r w:rsidRPr="002C5541">
        <w:rPr>
          <w:lang w:val="pl-PL"/>
        </w:rPr>
        <w:t>, mimo braku jakichkolwiek międzynarodowych nakazów aresztowania, ekstradycja większości podejrzanych nie była możliwa, ponieważ uzyskali oni serbskie obywatelstwo i nie mog</w:t>
      </w:r>
      <w:r>
        <w:rPr>
          <w:lang w:val="pl-PL"/>
        </w:rPr>
        <w:t>li</w:t>
      </w:r>
      <w:r w:rsidRPr="002C5541">
        <w:rPr>
          <w:lang w:val="pl-PL"/>
        </w:rPr>
        <w:t xml:space="preserve"> podlegać ekstradycji z Serbii. Trybunał orzekł, że pozwane Państwa (odpowiednio Bośnia i Hercegowina oraz Chorwacja) nie ponosiły odpowiedzialności za tę sytuację. Zważył także, że nie było potrzeby ustalania, czy Państwa te miały obowiązek zażądać, żeby Ser</w:t>
      </w:r>
      <w:r>
        <w:rPr>
          <w:lang w:val="pl-PL"/>
        </w:rPr>
        <w:t>b</w:t>
      </w:r>
      <w:r w:rsidRPr="002C5541">
        <w:rPr>
          <w:lang w:val="pl-PL"/>
        </w:rPr>
        <w:t xml:space="preserve">ia wszczęła postępowanie, bowiem sami skarżący mogli zgłosić sprawę do władz serbskich, które były właściwe w kwestiach dotyczących poważnych naruszeń międzynarodowego prawa człowieka popełnionych gdziekolwiek na terytorium byłej Jugosławii. Ponadto, skarżący </w:t>
      </w:r>
      <w:r>
        <w:rPr>
          <w:lang w:val="pl-PL"/>
        </w:rPr>
        <w:t>mogli byli złożyć skargę</w:t>
      </w:r>
      <w:r w:rsidRPr="002C5541">
        <w:rPr>
          <w:lang w:val="pl-PL"/>
        </w:rPr>
        <w:t xml:space="preserve"> przeciwko Serbii, gdyby uznali, że byli ofiarami naruszenia przez Serbię ich praw na podstawie Konwencji (tamże, §§ 65 i 68).</w:t>
      </w:r>
    </w:p>
    <w:p w:rsidR="00110FEE" w:rsidRPr="002C5541" w:rsidRDefault="00110FEE" w:rsidP="00F25813">
      <w:pPr>
        <w:pStyle w:val="ECHRPara"/>
        <w:rPr>
          <w:rFonts w:eastAsia="MS Gothic"/>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227</w:t>
      </w:r>
      <w:r w:rsidRPr="002C5541">
        <w:rPr>
          <w:lang w:val="pl-PL"/>
        </w:rPr>
        <w:fldChar w:fldCharType="end"/>
      </w:r>
      <w:r w:rsidRPr="002C5541">
        <w:rPr>
          <w:lang w:val="pl-PL"/>
        </w:rPr>
        <w:t>.</w:t>
      </w:r>
      <w:r>
        <w:rPr>
          <w:lang w:val="pl-PL"/>
        </w:rPr>
        <w:t xml:space="preserve"> </w:t>
      </w:r>
      <w:r w:rsidRPr="002C5541">
        <w:rPr>
          <w:lang w:val="pl-PL"/>
        </w:rPr>
        <w:t xml:space="preserve">W sprawie </w:t>
      </w:r>
      <w:r w:rsidRPr="002C5541">
        <w:rPr>
          <w:i/>
          <w:iCs/>
          <w:lang w:val="pl-PL"/>
        </w:rPr>
        <w:t xml:space="preserve">Aliyeva i Aliyev </w:t>
      </w:r>
      <w:r w:rsidRPr="002C5541">
        <w:rPr>
          <w:lang w:val="pl-PL"/>
        </w:rPr>
        <w:t>(</w:t>
      </w:r>
      <w:r>
        <w:rPr>
          <w:lang w:val="pl-PL"/>
        </w:rPr>
        <w:t>wyrok cytowany powyżej</w:t>
      </w:r>
      <w:r w:rsidRPr="002C5541">
        <w:rPr>
          <w:lang w:val="pl-PL"/>
        </w:rPr>
        <w:t xml:space="preserve">) władze Azerbejdżanu przeprowadziły śledztwo w sprawie zabójstwa syna skarżącego, które miało miejsce na Ukrainie, po przekazaniu sprawy na podstawie Konwencji o pomocy prawnej i stosunkach prawnych w sprawach cywilnych, rodzinnych i karnych z 1993 r. (Konwencja Mińska) Wspólnoty Niepodległych Państw, której oba Państwa były stronami. Trybunał uznał, że Azerbejdżan dopuścił się proceduralnego naruszenia art. 2, gdyż m.in. pracownik odpowiedzialny za sprawę </w:t>
      </w:r>
      <w:r w:rsidRPr="004D7C4B">
        <w:rPr>
          <w:lang w:val="pl-PL"/>
        </w:rPr>
        <w:t xml:space="preserve">przez ponad rok i dwa miesiące od momentu wszczęcia śledztwa karnego </w:t>
      </w:r>
      <w:r w:rsidRPr="002C5541">
        <w:rPr>
          <w:lang w:val="pl-PL"/>
        </w:rPr>
        <w:t>nie poprosił władz ukraińskich o pomoc (tamże, § 78). Przyznał jednak, że w niektórych sytuacjach, jak np. w tamtej sprawie, gdy przestępstwo zostało popełnione na terytorium innego Państwa, istnieć mogą szczególne przeszkody, które utrudnia</w:t>
      </w:r>
      <w:r>
        <w:rPr>
          <w:lang w:val="pl-PL"/>
        </w:rPr>
        <w:t xml:space="preserve">łyby </w:t>
      </w:r>
      <w:r w:rsidRPr="002C5541">
        <w:rPr>
          <w:lang w:val="pl-PL"/>
        </w:rPr>
        <w:t>postępy śledztwa karnego</w:t>
      </w:r>
      <w:r w:rsidRPr="002C5541">
        <w:rPr>
          <w:rFonts w:eastAsia="MS Gothic"/>
          <w:lang w:val="pl-PL"/>
        </w:rPr>
        <w:t xml:space="preserve"> (tamże, § 75).</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228</w:t>
      </w:r>
      <w:r w:rsidRPr="002C5541">
        <w:rPr>
          <w:lang w:val="pl-PL"/>
        </w:rPr>
        <w:fldChar w:fldCharType="end"/>
      </w:r>
      <w:r w:rsidRPr="002C5541">
        <w:rPr>
          <w:lang w:val="pl-PL"/>
        </w:rPr>
        <w:t xml:space="preserve">. Niedawno w sprawie </w:t>
      </w:r>
      <w:r w:rsidRPr="002C5541">
        <w:rPr>
          <w:i/>
          <w:iCs/>
          <w:lang w:val="pl-PL"/>
        </w:rPr>
        <w:t xml:space="preserve">Huseynova </w:t>
      </w:r>
      <w:r w:rsidRPr="002C5541">
        <w:rPr>
          <w:lang w:val="pl-PL"/>
        </w:rPr>
        <w:t>(</w:t>
      </w:r>
      <w:r w:rsidRPr="007C05D9">
        <w:rPr>
          <w:lang w:val="pl-PL"/>
        </w:rPr>
        <w:t>wyrok cytowany powyżej</w:t>
      </w:r>
      <w:r w:rsidRPr="002C5541">
        <w:rPr>
          <w:lang w:val="pl-PL"/>
        </w:rPr>
        <w:t>) władze Azerbejdżanu wszczęły śledztwo karne w spawie zabójstwa męża skarżącej i wskazały dwóch obywateli gruziński jako podejrzanych. Władze Gruzji odmówiły ekstradycji, podając, że są oni obywatelami gruzińskimi, którzy nie podlegają ekstradycji do obcego państwa. Trybunał przypomniał, że w niektórych sytuacjach, gdy podejrzani przebywają na terytorium innego Państwa odmawiającego ekstradycji, istnieć mogą szczególne przeszkody, które utrudniają postępy śledztwa karnego; Azerbejdżan nie może zostać pociągnięty do odpowiedzialności za decyzję innego Państwa odmawiającego ekstradycji jego obywateli (tamże, § 110). Zauważył jednak, że odmowa nie uniemożliwiła władzom Azerbejdżanu rozważenia możliwości przekazania sprawy karne</w:t>
      </w:r>
      <w:r>
        <w:rPr>
          <w:lang w:val="pl-PL"/>
        </w:rPr>
        <w:t>j</w:t>
      </w:r>
      <w:r w:rsidRPr="002C5541">
        <w:rPr>
          <w:lang w:val="pl-PL"/>
        </w:rPr>
        <w:t xml:space="preserve"> do władz gruzińskich. Trybunał zwrócił uwagę, że w związku z różnymi instrumentami prawa międzynarodowego, takimi jak Europejska Konwencja o ekstradycji, Konwencja Mińska z 1993 r. i traktat bilateralny, którego stronami są oba Państwa, w sposób wyraźny przewidywały taką możliwość. Ponadto władze gruzińskie jasno wspomniały o takiej możliwości w odpowiedzi na wniosek ekstradycyjny władz Azerbejdżanu. Nie było jednak żadnych dowodów, które wskazywałyby, że władze Azerbejdżanu rozważyły możliwość ścigania domniemanych sprawców morderstwa w Gruzji poprzez przekazanie sprawy karnej do Gruzji (tamże, § 111). Zdaniem Trybunału sprawa ta różni się od </w:t>
      </w:r>
      <w:r w:rsidRPr="002C5541">
        <w:rPr>
          <w:i/>
          <w:iCs/>
          <w:lang w:val="pl-PL"/>
        </w:rPr>
        <w:t xml:space="preserve">Palić </w:t>
      </w:r>
      <w:r w:rsidRPr="002C5541">
        <w:rPr>
          <w:lang w:val="pl-PL"/>
        </w:rPr>
        <w:t xml:space="preserve">oraz od </w:t>
      </w:r>
      <w:r w:rsidRPr="002C5541">
        <w:rPr>
          <w:i/>
          <w:iCs/>
          <w:lang w:val="pl-PL"/>
        </w:rPr>
        <w:t>Nježić i Štimac</w:t>
      </w:r>
      <w:r w:rsidRPr="002C5541">
        <w:rPr>
          <w:lang w:val="pl-PL"/>
        </w:rPr>
        <w:t xml:space="preserve"> (</w:t>
      </w:r>
      <w:r w:rsidRPr="004D7C4B">
        <w:rPr>
          <w:lang w:val="pl-PL"/>
        </w:rPr>
        <w:t>wyrok</w:t>
      </w:r>
      <w:r>
        <w:rPr>
          <w:lang w:val="pl-PL"/>
        </w:rPr>
        <w:t>i</w:t>
      </w:r>
      <w:r w:rsidRPr="004D7C4B">
        <w:rPr>
          <w:lang w:val="pl-PL"/>
        </w:rPr>
        <w:t xml:space="preserve"> cytowan</w:t>
      </w:r>
      <w:r>
        <w:rPr>
          <w:lang w:val="pl-PL"/>
        </w:rPr>
        <w:t>e</w:t>
      </w:r>
      <w:r w:rsidRPr="004D7C4B">
        <w:rPr>
          <w:lang w:val="pl-PL"/>
        </w:rPr>
        <w:t xml:space="preserve"> powyżej</w:t>
      </w:r>
      <w:r w:rsidRPr="002C5541">
        <w:rPr>
          <w:lang w:val="pl-PL"/>
        </w:rPr>
        <w:t xml:space="preserve">), bowiem w tamtym sprawach skarżący mogli samodzielnie zgłosić sprawę do władz serbskich, które były właściwe w kwestiach dotyczących poważnych naruszeń międzynarodowego prawa człowieka popełnionych gdziekolwiek na terytorium byłej Jugosławii. W sprawie </w:t>
      </w:r>
      <w:r w:rsidRPr="002C5541">
        <w:rPr>
          <w:i/>
          <w:iCs/>
          <w:lang w:val="pl-PL"/>
        </w:rPr>
        <w:t xml:space="preserve">Huseynova </w:t>
      </w:r>
      <w:r w:rsidRPr="002C5541">
        <w:rPr>
          <w:lang w:val="pl-PL"/>
        </w:rPr>
        <w:t>skarżący nie miał możliwości skontaktowania się bezpośrednio z władzami gruzińskimi i domniemani sprawcy morderstwa mogli być ścigani w Gruzji wyłącznie na wniosek władz Azerbejdżanu po przekazaniu sprawy karnej (tamże, § 112). Trybunał uwzględnił fakt, że władze Azerbejdżanu nie wzięły pod uwagę możliwości przekazania sprawy, jako jedną z podstaw do uznania, że doszło do naruszenia aspektu proceduralnego art. 2.</w:t>
      </w:r>
    </w:p>
    <w:p w:rsidR="00110FEE" w:rsidRPr="002C5541" w:rsidRDefault="00110FEE" w:rsidP="00F25813">
      <w:pPr>
        <w:pStyle w:val="ECHRHeading5"/>
        <w:outlineLvl w:val="5"/>
        <w:rPr>
          <w:lang w:val="pl-PL"/>
        </w:rPr>
      </w:pPr>
      <w:r w:rsidRPr="002C5541">
        <w:rPr>
          <w:lang w:val="pl-PL"/>
        </w:rPr>
        <w:t>(ii)</w:t>
      </w:r>
      <w:r>
        <w:rPr>
          <w:lang w:val="pl-PL"/>
        </w:rPr>
        <w:t xml:space="preserve"> </w:t>
      </w:r>
      <w:r w:rsidRPr="002C5541">
        <w:rPr>
          <w:lang w:val="pl-PL"/>
        </w:rPr>
        <w:t>Podejście Trybunały do obowiązku Umawiających się Państw w zakresie współpracy w sprawach ponadnarodowych na podstawie art. 2</w:t>
      </w:r>
      <w:r>
        <w:rPr>
          <w:lang w:val="pl-PL"/>
        </w:rPr>
        <w:t xml:space="preserve"> w jego aspekcie proceduralnym</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229</w:t>
      </w:r>
      <w:r w:rsidRPr="002C5541">
        <w:rPr>
          <w:lang w:val="pl-PL"/>
        </w:rPr>
        <w:fldChar w:fldCharType="end"/>
      </w:r>
      <w:r w:rsidRPr="002C5541">
        <w:rPr>
          <w:lang w:val="pl-PL"/>
        </w:rPr>
        <w:t>.</w:t>
      </w:r>
      <w:r>
        <w:rPr>
          <w:lang w:val="pl-PL"/>
        </w:rPr>
        <w:t xml:space="preserve"> </w:t>
      </w:r>
      <w:r w:rsidRPr="002C5541">
        <w:rPr>
          <w:lang w:val="pl-PL"/>
        </w:rPr>
        <w:t xml:space="preserve">Powyższy przegląd orzecznictwa pokazuje, że w większości spraw, w których Trybunał do tej pory rozpatrywał brak współpracy lub brak wniosku o współpracę między Państwami w sprawach o charakterze ponadnarodowym, czynił to, oceniając ogólne przestrzeganie proceduralnego obowiązku przeprowadzenia śledztwa na podstawie art. 2 przez dane Państwo. W tych sprawach brak współpracy </w:t>
      </w:r>
      <w:r>
        <w:rPr>
          <w:lang w:val="pl-PL"/>
        </w:rPr>
        <w:t xml:space="preserve">– przyjmujący zazwyczaj postać </w:t>
      </w:r>
      <w:r w:rsidRPr="00FD4E22">
        <w:rPr>
          <w:lang w:val="pl-PL"/>
        </w:rPr>
        <w:t xml:space="preserve">niewezwanie innego Państwa do współpracy </w:t>
      </w:r>
      <w:r>
        <w:rPr>
          <w:lang w:val="pl-PL"/>
        </w:rPr>
        <w:t xml:space="preserve">– </w:t>
      </w:r>
      <w:r w:rsidRPr="002C5541">
        <w:rPr>
          <w:lang w:val="pl-PL"/>
        </w:rPr>
        <w:t xml:space="preserve">był jedynie jednym z aspektów podlegających ocenie Trybunału </w:t>
      </w:r>
      <w:r>
        <w:rPr>
          <w:lang w:val="pl-PL"/>
        </w:rPr>
        <w:t>w kwestii</w:t>
      </w:r>
      <w:r w:rsidRPr="002C5541">
        <w:rPr>
          <w:lang w:val="pl-PL"/>
        </w:rPr>
        <w:t xml:space="preserve"> skuteczności śledztwa przeprowadzanego przez dane Państwo</w:t>
      </w:r>
      <w:r>
        <w:rPr>
          <w:lang w:val="pl-PL"/>
        </w:rPr>
        <w:t xml:space="preserve"> </w:t>
      </w:r>
      <w:r w:rsidRPr="002C5541">
        <w:rPr>
          <w:lang w:val="pl-PL"/>
        </w:rPr>
        <w:t xml:space="preserve">(np. Cypr w </w:t>
      </w:r>
      <w:r w:rsidRPr="002C5541">
        <w:rPr>
          <w:i/>
          <w:iCs/>
          <w:lang w:val="pl-PL"/>
        </w:rPr>
        <w:t>Rantsev</w:t>
      </w:r>
      <w:r w:rsidRPr="002C5541">
        <w:rPr>
          <w:lang w:val="pl-PL"/>
        </w:rPr>
        <w:t>,</w:t>
      </w:r>
      <w:r w:rsidRPr="002C5541">
        <w:rPr>
          <w:i/>
          <w:iCs/>
          <w:lang w:val="pl-PL"/>
        </w:rPr>
        <w:t xml:space="preserve"> </w:t>
      </w:r>
      <w:r>
        <w:rPr>
          <w:lang w:val="pl-PL"/>
        </w:rPr>
        <w:t>wyrok cytowany</w:t>
      </w:r>
      <w:r w:rsidRPr="002C5541">
        <w:rPr>
          <w:lang w:val="pl-PL"/>
        </w:rPr>
        <w:t xml:space="preserve"> powyżej, § 241, oraz </w:t>
      </w:r>
      <w:r w:rsidRPr="002C5541">
        <w:rPr>
          <w:i/>
          <w:iCs/>
          <w:lang w:val="pl-PL"/>
        </w:rPr>
        <w:t>Aliyeva i Aliyev</w:t>
      </w:r>
      <w:r w:rsidRPr="002C5541">
        <w:rPr>
          <w:lang w:val="pl-PL"/>
        </w:rPr>
        <w:t xml:space="preserve">, </w:t>
      </w:r>
      <w:r w:rsidRPr="00FD4E22">
        <w:rPr>
          <w:lang w:val="pl-PL"/>
        </w:rPr>
        <w:t>wyrok cytowany powyżej</w:t>
      </w:r>
      <w:r w:rsidRPr="002C5541">
        <w:rPr>
          <w:lang w:val="pl-PL"/>
        </w:rPr>
        <w:t xml:space="preserve">, § 78), w tym w przypadku, gdy współpraca oznaczała możliwość przekazania </w:t>
      </w:r>
      <w:r>
        <w:rPr>
          <w:lang w:val="pl-PL"/>
        </w:rPr>
        <w:t>sprawy</w:t>
      </w:r>
      <w:r w:rsidRPr="002C5541">
        <w:rPr>
          <w:lang w:val="pl-PL"/>
        </w:rPr>
        <w:t xml:space="preserve"> do innego Państwa (zob. </w:t>
      </w:r>
      <w:r w:rsidRPr="002C5541">
        <w:rPr>
          <w:i/>
          <w:iCs/>
          <w:lang w:val="pl-PL"/>
        </w:rPr>
        <w:t>Huseynova</w:t>
      </w:r>
      <w:r w:rsidRPr="002C5541">
        <w:rPr>
          <w:lang w:val="pl-PL"/>
        </w:rPr>
        <w:t>,</w:t>
      </w:r>
      <w:r w:rsidRPr="002C5541">
        <w:rPr>
          <w:i/>
          <w:iCs/>
          <w:lang w:val="pl-PL"/>
        </w:rPr>
        <w:t xml:space="preserve"> </w:t>
      </w:r>
      <w:r w:rsidRPr="00152F12">
        <w:rPr>
          <w:lang w:val="pl-PL"/>
        </w:rPr>
        <w:t>wyrok cytowany powyżej</w:t>
      </w:r>
      <w:r w:rsidRPr="002C5541">
        <w:rPr>
          <w:lang w:val="pl-PL"/>
        </w:rPr>
        <w:t xml:space="preserve">, § 111). </w:t>
      </w:r>
      <w:r>
        <w:rPr>
          <w:lang w:val="pl-PL"/>
        </w:rPr>
        <w:t xml:space="preserve">Bardziej konkretnie </w:t>
      </w:r>
      <w:r w:rsidRPr="002C5541">
        <w:rPr>
          <w:lang w:val="pl-PL"/>
        </w:rPr>
        <w:t xml:space="preserve">Trybunał zajął się brakiem współpracy lub brakiem pomocy </w:t>
      </w:r>
      <w:r>
        <w:rPr>
          <w:lang w:val="pl-PL"/>
        </w:rPr>
        <w:t>w</w:t>
      </w:r>
      <w:r w:rsidRPr="002C5541">
        <w:rPr>
          <w:lang w:val="pl-PL"/>
        </w:rPr>
        <w:t xml:space="preserve"> śledztwie przeprowadzanym pod jurysdykcją innego Umawiającego się Państwa w bardzo niewielu sprawach, tj. </w:t>
      </w:r>
      <w:r w:rsidRPr="002C5541">
        <w:rPr>
          <w:i/>
          <w:iCs/>
          <w:lang w:val="pl-PL"/>
        </w:rPr>
        <w:t xml:space="preserve">O’Loughlin, Cummins </w:t>
      </w:r>
      <w:r w:rsidRPr="002C5541">
        <w:rPr>
          <w:lang w:val="pl-PL"/>
        </w:rPr>
        <w:t xml:space="preserve">i </w:t>
      </w:r>
      <w:r w:rsidRPr="002C5541">
        <w:rPr>
          <w:i/>
          <w:iCs/>
          <w:lang w:val="pl-PL"/>
        </w:rPr>
        <w:t xml:space="preserve">Rantsev </w:t>
      </w:r>
      <w:r w:rsidRPr="002C5541">
        <w:rPr>
          <w:lang w:val="pl-PL"/>
        </w:rPr>
        <w:t>(zob. pkt 223 i 225 powyżej).</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230</w:t>
      </w:r>
      <w:r w:rsidRPr="002C5541">
        <w:rPr>
          <w:lang w:val="pl-PL"/>
        </w:rPr>
        <w:fldChar w:fldCharType="end"/>
      </w:r>
      <w:r w:rsidRPr="002C5541">
        <w:rPr>
          <w:lang w:val="pl-PL"/>
        </w:rPr>
        <w:t>.</w:t>
      </w:r>
      <w:r>
        <w:rPr>
          <w:lang w:val="pl-PL"/>
        </w:rPr>
        <w:t xml:space="preserve"> </w:t>
      </w:r>
      <w:r w:rsidRPr="002C5541">
        <w:rPr>
          <w:lang w:val="pl-PL"/>
        </w:rPr>
        <w:t xml:space="preserve">Trybunał podnosi, że w takiej sprawie, jak </w:t>
      </w:r>
      <w:r w:rsidRPr="002C5541">
        <w:rPr>
          <w:i/>
          <w:iCs/>
          <w:lang w:val="pl-PL"/>
        </w:rPr>
        <w:t xml:space="preserve">Rantsev, </w:t>
      </w:r>
      <w:r w:rsidRPr="002C5541">
        <w:rPr>
          <w:lang w:val="pl-PL"/>
        </w:rPr>
        <w:t>w której Umawiające się Państwa nie mają niezależnego obowiązku przeprowadzenia śledztwa na podstawie art. 2, obowiązek współpracy pojawi się po str</w:t>
      </w:r>
      <w:r>
        <w:rPr>
          <w:lang w:val="pl-PL"/>
        </w:rPr>
        <w:t>o</w:t>
      </w:r>
      <w:r w:rsidRPr="002C5541">
        <w:rPr>
          <w:lang w:val="pl-PL"/>
        </w:rPr>
        <w:t>nie tego Państwa wyłącznie w odpowiedzi na wniosek o współpracę złożony przez Państwo prowadzące śledztwo, przy czym Państwo takie musi samodzielnie dążyć do nawiązania współpracy, jeśli stosowne dowody lub podejrzani znajdują się pod jurysdykcją drugiego Państwa.</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231</w:t>
      </w:r>
      <w:r w:rsidRPr="002C5541">
        <w:rPr>
          <w:lang w:val="pl-PL"/>
        </w:rPr>
        <w:fldChar w:fldCharType="end"/>
      </w:r>
      <w:r w:rsidRPr="002C5541">
        <w:rPr>
          <w:lang w:val="pl-PL"/>
        </w:rPr>
        <w:t>.</w:t>
      </w:r>
      <w:r>
        <w:rPr>
          <w:lang w:val="pl-PL"/>
        </w:rPr>
        <w:t xml:space="preserve"> </w:t>
      </w:r>
      <w:r w:rsidRPr="002C5541">
        <w:rPr>
          <w:lang w:val="pl-PL"/>
        </w:rPr>
        <w:t>Natomiast w niniejszej sprawie dwa Państwa równocześnie domagały się jurysdykcji, żeby przeprowadzić śledztwo w sprawie śmierci, a zatem w odniesieniu do obu tych Państw powstał samodzielny obowiązek przeprowadzenia śledztwa zgodnie z art. 2 (zob. pkt 220-</w:t>
      </w:r>
      <w:r>
        <w:rPr>
          <w:lang w:val="pl-PL"/>
        </w:rPr>
        <w:t>2</w:t>
      </w:r>
      <w:r w:rsidRPr="002C5541">
        <w:rPr>
          <w:lang w:val="pl-PL"/>
        </w:rPr>
        <w:t>21 powyżej).</w:t>
      </w:r>
    </w:p>
    <w:p w:rsidR="00110FEE" w:rsidRPr="002C5541" w:rsidRDefault="00110FEE" w:rsidP="00F25813">
      <w:pPr>
        <w:pStyle w:val="ECHRPara"/>
        <w:rPr>
          <w:snapToGrid w:val="0"/>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232</w:t>
      </w:r>
      <w:r w:rsidRPr="002C5541">
        <w:rPr>
          <w:lang w:val="pl-PL"/>
        </w:rPr>
        <w:fldChar w:fldCharType="end"/>
      </w:r>
      <w:r w:rsidRPr="002C5541">
        <w:rPr>
          <w:lang w:val="pl-PL"/>
        </w:rPr>
        <w:t>.</w:t>
      </w:r>
      <w:r>
        <w:rPr>
          <w:lang w:val="pl-PL"/>
        </w:rPr>
        <w:t xml:space="preserve"> </w:t>
      </w:r>
      <w:r w:rsidRPr="002C5541">
        <w:rPr>
          <w:lang w:val="pl-PL"/>
        </w:rPr>
        <w:t xml:space="preserve">Trybunał orzekł uprzednio, że przy interpretacji Konwencji należy pamiętać o jej specjalnym charakterze jako traktacie zbiorowego zagwarantowania praw człowieka i podstawowych wolności (zob. </w:t>
      </w:r>
      <w:r w:rsidRPr="002C5541">
        <w:rPr>
          <w:i/>
          <w:iCs/>
          <w:lang w:val="pl-PL"/>
        </w:rPr>
        <w:t>Irlandia przeciwko Zjednoczonemu Królestwu</w:t>
      </w:r>
      <w:r w:rsidRPr="002C5541">
        <w:rPr>
          <w:lang w:val="pl-PL"/>
        </w:rPr>
        <w:t>, 18 stycznia 1978 r., § 239, seria A nr 25, odwoł</w:t>
      </w:r>
      <w:r>
        <w:rPr>
          <w:lang w:val="pl-PL"/>
        </w:rPr>
        <w:t xml:space="preserve">anie </w:t>
      </w:r>
      <w:r w:rsidRPr="002C5541">
        <w:rPr>
          <w:lang w:val="pl-PL"/>
        </w:rPr>
        <w:t xml:space="preserve">do Preambuły; </w:t>
      </w:r>
      <w:r w:rsidRPr="002C5541">
        <w:rPr>
          <w:i/>
          <w:iCs/>
          <w:lang w:val="pl-PL"/>
        </w:rPr>
        <w:t>Loizidou przeciwko Turcji</w:t>
      </w:r>
      <w:r w:rsidRPr="002C5541">
        <w:rPr>
          <w:lang w:val="pl-PL"/>
        </w:rPr>
        <w:t xml:space="preserve"> (zarzuty wstępne), </w:t>
      </w:r>
      <w:r w:rsidRPr="00FD4E22">
        <w:rPr>
          <w:lang w:val="pl-PL"/>
        </w:rPr>
        <w:t>wyrok cytowany powyżej</w:t>
      </w:r>
      <w:r w:rsidRPr="002C5541">
        <w:rPr>
          <w:lang w:val="pl-PL"/>
        </w:rPr>
        <w:t xml:space="preserve">, § 70; oraz </w:t>
      </w:r>
      <w:r w:rsidRPr="002C5541">
        <w:rPr>
          <w:i/>
          <w:iCs/>
          <w:lang w:val="pl-PL"/>
        </w:rPr>
        <w:t xml:space="preserve">Nada przeciwko Szwajcarii </w:t>
      </w:r>
      <w:r w:rsidRPr="002C5541">
        <w:rPr>
          <w:lang w:val="pl-PL"/>
        </w:rPr>
        <w:t xml:space="preserve">[GC], nr 10593/08, § 196, </w:t>
      </w:r>
      <w:r w:rsidRPr="002C5541">
        <w:rPr>
          <w:snapToGrid w:val="0"/>
          <w:lang w:val="pl-PL"/>
        </w:rPr>
        <w:t>ETPC 2012). Ten zbiorowy charakter może w określonych okolicznościach oznaczać obowiązek współdziałania i współpracy dla ochrony praw i wolności</w:t>
      </w:r>
      <w:r>
        <w:rPr>
          <w:snapToGrid w:val="0"/>
          <w:lang w:val="pl-PL"/>
        </w:rPr>
        <w:t xml:space="preserve">, </w:t>
      </w:r>
      <w:r w:rsidRPr="00FD4E22">
        <w:rPr>
          <w:snapToGrid w:val="0"/>
          <w:lang w:val="pl-PL"/>
        </w:rPr>
        <w:t>nałożony na Umawiające się Państw</w:t>
      </w:r>
      <w:r>
        <w:rPr>
          <w:snapToGrid w:val="0"/>
          <w:lang w:val="pl-PL"/>
        </w:rPr>
        <w:t>a</w:t>
      </w:r>
      <w:r w:rsidRPr="002C5541">
        <w:rPr>
          <w:snapToGrid w:val="0"/>
          <w:lang w:val="pl-PL"/>
        </w:rPr>
        <w:t>, które zobowiązywały się zapewnić</w:t>
      </w:r>
      <w:r>
        <w:rPr>
          <w:snapToGrid w:val="0"/>
          <w:lang w:val="pl-PL"/>
        </w:rPr>
        <w:t xml:space="preserve"> te prawa i wolności</w:t>
      </w:r>
      <w:r w:rsidRPr="002C5541">
        <w:rPr>
          <w:snapToGrid w:val="0"/>
          <w:lang w:val="pl-PL"/>
        </w:rPr>
        <w:t xml:space="preserve"> w granicach </w:t>
      </w:r>
      <w:r>
        <w:rPr>
          <w:snapToGrid w:val="0"/>
          <w:lang w:val="pl-PL"/>
        </w:rPr>
        <w:t>swoich</w:t>
      </w:r>
      <w:r w:rsidRPr="002C5541">
        <w:rPr>
          <w:snapToGrid w:val="0"/>
          <w:lang w:val="pl-PL"/>
        </w:rPr>
        <w:t xml:space="preserve"> jurysdykcji (zob. np. w kwestii transgranicznego handlu ludźmi na podstawie art. 4 Konwencji, </w:t>
      </w:r>
      <w:r w:rsidRPr="002C5541">
        <w:rPr>
          <w:i/>
          <w:iCs/>
          <w:snapToGrid w:val="0"/>
          <w:lang w:val="pl-PL"/>
        </w:rPr>
        <w:t>Rantsev</w:t>
      </w:r>
      <w:r w:rsidRPr="002C5541">
        <w:rPr>
          <w:snapToGrid w:val="0"/>
          <w:lang w:val="pl-PL"/>
        </w:rPr>
        <w:t xml:space="preserve">, </w:t>
      </w:r>
      <w:r w:rsidRPr="00FD4E22">
        <w:rPr>
          <w:rFonts w:eastAsia="Times New Roman"/>
          <w:snapToGrid w:val="0"/>
          <w:color w:val="000000"/>
          <w:lang w:val="pl-PL" w:eastAsia="zh-CN"/>
        </w:rPr>
        <w:t>wyrok cytowany powyżej</w:t>
      </w:r>
      <w:r w:rsidRPr="002C5541">
        <w:rPr>
          <w:snapToGrid w:val="0"/>
          <w:lang w:val="pl-PL"/>
        </w:rPr>
        <w:t>, § 289). W sprawach, w których skuteczne śledztwo w sprawie niezgodnego z prawem pozbawienia życia, do którego doszło pod jurysdykcją jednego z Umawiających się Państw, wymaga udziału więcej niż jednego innego Umawiającego się Państwa, zdaniem Trybunał</w:t>
      </w:r>
      <w:r>
        <w:rPr>
          <w:snapToGrid w:val="0"/>
          <w:lang w:val="pl-PL"/>
        </w:rPr>
        <w:t>u</w:t>
      </w:r>
      <w:r w:rsidRPr="002C5541">
        <w:rPr>
          <w:snapToGrid w:val="0"/>
          <w:lang w:val="pl-PL"/>
        </w:rPr>
        <w:t xml:space="preserve"> jej specjalny charakter jako traktatu zbiorowego egzekwowania prawa obejmuje co do zasady obowiązek skutecznej wzajemnej współpracy </w:t>
      </w:r>
      <w:r>
        <w:rPr>
          <w:snapToGrid w:val="0"/>
          <w:lang w:val="pl-PL"/>
        </w:rPr>
        <w:t xml:space="preserve">między Państwami </w:t>
      </w:r>
      <w:r w:rsidRPr="002C5541">
        <w:rPr>
          <w:snapToGrid w:val="0"/>
          <w:lang w:val="pl-PL"/>
        </w:rPr>
        <w:t>w celu wyjaśnienia okoliczności zabójstwa i postawienia sprawców przed sądem.</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233</w:t>
      </w:r>
      <w:r w:rsidRPr="002C5541">
        <w:rPr>
          <w:lang w:val="pl-PL"/>
        </w:rPr>
        <w:fldChar w:fldCharType="end"/>
      </w:r>
      <w:r w:rsidRPr="002C5541">
        <w:rPr>
          <w:lang w:val="pl-PL"/>
        </w:rPr>
        <w:t>.</w:t>
      </w:r>
      <w:r>
        <w:rPr>
          <w:lang w:val="pl-PL"/>
        </w:rPr>
        <w:t xml:space="preserve"> </w:t>
      </w:r>
      <w:r w:rsidRPr="002C5541">
        <w:rPr>
          <w:lang w:val="pl-PL"/>
        </w:rPr>
        <w:t xml:space="preserve">Trybunał zgodnie z tym przyjmuje pogląd, że </w:t>
      </w:r>
      <w:r>
        <w:rPr>
          <w:lang w:val="pl-PL"/>
        </w:rPr>
        <w:t>art.</w:t>
      </w:r>
      <w:r w:rsidRPr="002C5541">
        <w:rPr>
          <w:lang w:val="pl-PL"/>
        </w:rPr>
        <w:t xml:space="preserve"> 2 może wymagać od obu Państw dwustronnego obowiązku wzajemnej współpracy: z jednej strony obowiązku wystąpienia o pomoc, jak i obowiązku jej udzielenia. Natura i zakres powyższych obowiązków zależą od konkretnych okoliczności sprawy, np. od tego, czy główne dowody znajdują się na terytorium danego Umawiającego się Państwa </w:t>
      </w:r>
      <w:r>
        <w:rPr>
          <w:lang w:val="pl-PL"/>
        </w:rPr>
        <w:t xml:space="preserve">lub </w:t>
      </w:r>
      <w:r w:rsidRPr="002C5541">
        <w:rPr>
          <w:lang w:val="pl-PL"/>
        </w:rPr>
        <w:t xml:space="preserve">czy podejrzani ukryli się na jego terytorium. </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234</w:t>
      </w:r>
      <w:r w:rsidRPr="002C5541">
        <w:rPr>
          <w:lang w:val="pl-PL"/>
        </w:rPr>
        <w:fldChar w:fldCharType="end"/>
      </w:r>
      <w:r w:rsidRPr="002C5541">
        <w:rPr>
          <w:lang w:val="pl-PL"/>
        </w:rPr>
        <w:t>.</w:t>
      </w:r>
      <w:r>
        <w:rPr>
          <w:lang w:val="pl-PL"/>
        </w:rPr>
        <w:t xml:space="preserve"> </w:t>
      </w:r>
      <w:r w:rsidRPr="002C5541">
        <w:rPr>
          <w:lang w:val="pl-PL"/>
        </w:rPr>
        <w:t xml:space="preserve">Obowiązek ten polega na skutecznej ochronie prawa do życia zagwarantowanego przez art. 2. W rzeczy samej podejście przeciwne nie dałoby się pogodzić z obowiązkiem ochrony prawa do życia, jaki spoczywa na Państwach, </w:t>
      </w:r>
      <w:r>
        <w:rPr>
          <w:lang w:val="pl-PL"/>
        </w:rPr>
        <w:t>interpretowanym w związku</w:t>
      </w:r>
      <w:r w:rsidRPr="002C5541">
        <w:rPr>
          <w:lang w:val="pl-PL"/>
        </w:rPr>
        <w:t xml:space="preserve"> z ogólnym obowiązkiem na podstawie art. 1, tj. zapewnienia „każdemu człowiekowi, podlegającemu ich jurysdykcji, prawa i wolności określone w rozdziale I niniejszej konwencji”, jako że utrudniłoby śledztwa w sprawie bezprawnego pozbawienia życia i prowadzi</w:t>
      </w:r>
      <w:r>
        <w:rPr>
          <w:lang w:val="pl-PL"/>
        </w:rPr>
        <w:t>łoby</w:t>
      </w:r>
      <w:r w:rsidRPr="002C5541">
        <w:rPr>
          <w:lang w:val="pl-PL"/>
        </w:rPr>
        <w:t xml:space="preserve"> z konieczności do bezkarności osób odpowiedzialnych. Rezultat taki mógłby osłabić cel ochrony na podstawie art. 2 i spowodować, że gwarancje poszanowania prawa do życia stałyby się iluzoryczne. Przedmiot i cel Konwencji jako instrumentu na rzecz ochrony istot ludzkich wymaga, żeby jej postanowienia interpretować i stosować w sposób, który zapewnia, że zabezpieczenia w niej określone będą możliwe i skuteczne (zob. </w:t>
      </w:r>
      <w:r w:rsidRPr="002C5541">
        <w:rPr>
          <w:i/>
          <w:iCs/>
          <w:lang w:val="pl-PL"/>
        </w:rPr>
        <w:t>Al-Skeini i inni</w:t>
      </w:r>
      <w:r w:rsidRPr="002C5541">
        <w:rPr>
          <w:lang w:val="pl-PL"/>
        </w:rPr>
        <w:t xml:space="preserve">, </w:t>
      </w:r>
      <w:r w:rsidRPr="004D1B56">
        <w:rPr>
          <w:lang w:val="pl-PL"/>
        </w:rPr>
        <w:t>wyrok cytowany powyżej</w:t>
      </w:r>
      <w:r w:rsidRPr="002C5541">
        <w:rPr>
          <w:lang w:val="pl-PL"/>
        </w:rPr>
        <w:t>, §</w:t>
      </w:r>
      <w:r>
        <w:rPr>
          <w:lang w:val="pl-PL"/>
        </w:rPr>
        <w:t xml:space="preserve"> </w:t>
      </w:r>
      <w:r w:rsidRPr="002C5541">
        <w:rPr>
          <w:lang w:val="pl-PL"/>
        </w:rPr>
        <w:t xml:space="preserve">162 oraz </w:t>
      </w:r>
      <w:r w:rsidRPr="002C5541">
        <w:rPr>
          <w:i/>
          <w:iCs/>
          <w:lang w:val="pl-PL"/>
        </w:rPr>
        <w:t xml:space="preserve">Marguš przeciwko Chorwacji </w:t>
      </w:r>
      <w:r w:rsidRPr="002C5541">
        <w:rPr>
          <w:lang w:val="pl-PL"/>
        </w:rPr>
        <w:t>[GC]</w:t>
      </w:r>
      <w:r w:rsidRPr="002C5541">
        <w:rPr>
          <w:snapToGrid w:val="0"/>
          <w:lang w:val="pl-PL"/>
        </w:rPr>
        <w:t>, nr</w:t>
      </w:r>
      <w:r w:rsidRPr="002C5541">
        <w:rPr>
          <w:lang w:val="pl-PL"/>
        </w:rPr>
        <w:t xml:space="preserve"> 4455/10, § 127, ETPC 2014 (streszczenie). </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235</w:t>
      </w:r>
      <w:r w:rsidRPr="002C5541">
        <w:rPr>
          <w:lang w:val="pl-PL"/>
        </w:rPr>
        <w:fldChar w:fldCharType="end"/>
      </w:r>
      <w:r w:rsidRPr="002C5541">
        <w:rPr>
          <w:lang w:val="pl-PL"/>
        </w:rPr>
        <w:t>.</w:t>
      </w:r>
      <w:r>
        <w:rPr>
          <w:lang w:val="pl-PL"/>
        </w:rPr>
        <w:t xml:space="preserve"> </w:t>
      </w:r>
      <w:r w:rsidRPr="002C5541">
        <w:rPr>
          <w:snapToGrid w:val="0"/>
          <w:lang w:val="pl-PL"/>
        </w:rPr>
        <w:t xml:space="preserve">Trybunał zaznacza jednak, że obowiązek współpracy, nałożony na Państwa na podstawie aspektu proceduralnego art. 2, może być jedynie obowiązkiem środków, nie rezultatu, zgodnie z ustaleniami Trybunału w zakresie obowiązku przeprowadzenia śledztwa (zob. </w:t>
      </w:r>
      <w:r w:rsidRPr="002C5541">
        <w:rPr>
          <w:i/>
          <w:iCs/>
          <w:snapToGrid w:val="0"/>
          <w:lang w:val="pl-PL"/>
        </w:rPr>
        <w:t xml:space="preserve">Armani Da Silva </w:t>
      </w:r>
      <w:r w:rsidRPr="002C5541">
        <w:rPr>
          <w:i/>
          <w:iCs/>
          <w:lang w:val="pl-PL"/>
        </w:rPr>
        <w:t xml:space="preserve">przeciwko Zjednoczonemu Królestwu </w:t>
      </w:r>
      <w:r w:rsidRPr="002C5541">
        <w:rPr>
          <w:lang w:val="pl-PL"/>
        </w:rPr>
        <w:t>[GC], nr 5878/08, § 233, 30 marca 2016 r.</w:t>
      </w:r>
      <w:r w:rsidRPr="002C5541">
        <w:rPr>
          <w:snapToGrid w:val="0"/>
          <w:lang w:val="pl-PL"/>
        </w:rPr>
        <w:t xml:space="preserve">; </w:t>
      </w:r>
      <w:r w:rsidRPr="002C5541">
        <w:rPr>
          <w:i/>
          <w:iCs/>
          <w:lang w:val="pl-PL"/>
        </w:rPr>
        <w:t xml:space="preserve">Palić, </w:t>
      </w:r>
      <w:r w:rsidRPr="004D1B56">
        <w:rPr>
          <w:lang w:val="pl-PL"/>
        </w:rPr>
        <w:t>wyrok cytowany powyżej</w:t>
      </w:r>
      <w:r w:rsidRPr="002C5541">
        <w:rPr>
          <w:lang w:val="pl-PL"/>
        </w:rPr>
        <w:t xml:space="preserve">, § 65; oraz </w:t>
      </w:r>
      <w:r w:rsidRPr="002C5541">
        <w:rPr>
          <w:i/>
          <w:iCs/>
          <w:lang w:val="pl-PL"/>
        </w:rPr>
        <w:t>Aliyeva i Aliyev</w:t>
      </w:r>
      <w:r w:rsidRPr="002C5541">
        <w:rPr>
          <w:lang w:val="pl-PL"/>
        </w:rPr>
        <w:t xml:space="preserve">, </w:t>
      </w:r>
      <w:r w:rsidRPr="004D1B56">
        <w:rPr>
          <w:lang w:val="pl-PL"/>
        </w:rPr>
        <w:t>wyrok cytowany powyżej</w:t>
      </w:r>
      <w:r w:rsidRPr="002C5541">
        <w:rPr>
          <w:lang w:val="pl-PL"/>
        </w:rPr>
        <w:t xml:space="preserve">, § 70). Oznacza to, że dane Państwa muszą podjąć wszelkie zasadne działania, żeby </w:t>
      </w:r>
      <w:r>
        <w:rPr>
          <w:lang w:val="pl-PL"/>
        </w:rPr>
        <w:t>nawiązać</w:t>
      </w:r>
      <w:r w:rsidRPr="002C5541">
        <w:rPr>
          <w:lang w:val="pl-PL"/>
        </w:rPr>
        <w:t xml:space="preserve"> ze sobą współpracę, wyczerpując w dobrej wierze możliwości, jakie są im dostępne zgodnie z obowiązującymi instrumentami prawa międzynarodowego dotyczącymi wzajemnej pomocy prawnej i współpracy </w:t>
      </w:r>
      <w:r>
        <w:rPr>
          <w:lang w:val="pl-PL"/>
        </w:rPr>
        <w:t>w</w:t>
      </w:r>
      <w:r w:rsidRPr="002C5541">
        <w:rPr>
          <w:lang w:val="pl-PL"/>
        </w:rPr>
        <w:t xml:space="preserve"> sprawach karnych. W związku z tym Trybunał zdaje sobie sprawę, że Umawiające się </w:t>
      </w:r>
      <w:r>
        <w:rPr>
          <w:lang w:val="pl-PL"/>
        </w:rPr>
        <w:t>Państwa</w:t>
      </w:r>
      <w:r w:rsidRPr="002C5541">
        <w:rPr>
          <w:lang w:val="pl-PL"/>
        </w:rPr>
        <w:t xml:space="preserve"> nie mogą współpracować w próżni prawnej; w międzynarodowym prawie karnym wypracowano zatem konkretne sformalizowane metody współpracy. Podejście to jest spójne z wcześniejszymi orzeczeniami w sprawach transnarodowych dotyczących aspektów proceduralnych art. 2, 3 i 4, w których Trybunał co do zasady odwoływał się do już istniejących instrumentów w zakresie ekstradycji i innej pomocy wzajemnej, które wiążą Państwa (zob. </w:t>
      </w:r>
      <w:r w:rsidRPr="002C5541">
        <w:rPr>
          <w:i/>
          <w:iCs/>
          <w:lang w:val="pl-PL"/>
        </w:rPr>
        <w:t xml:space="preserve">Rantsev, </w:t>
      </w:r>
      <w:r w:rsidRPr="004D1B56">
        <w:rPr>
          <w:lang w:val="pl-PL"/>
        </w:rPr>
        <w:t>wyrok cytowany powyżej</w:t>
      </w:r>
      <w:r w:rsidRPr="002C5541">
        <w:rPr>
          <w:lang w:val="pl-PL"/>
        </w:rPr>
        <w:t xml:space="preserve">, §§ 241, 246 i 307; </w:t>
      </w:r>
      <w:r w:rsidRPr="002C5541">
        <w:rPr>
          <w:i/>
          <w:iCs/>
          <w:lang w:val="pl-PL"/>
        </w:rPr>
        <w:t xml:space="preserve">Agache i inni, </w:t>
      </w:r>
      <w:r w:rsidRPr="004D1B56">
        <w:rPr>
          <w:lang w:val="pl-PL"/>
        </w:rPr>
        <w:t>wyrok cytowany powyżej</w:t>
      </w:r>
      <w:r w:rsidRPr="002C5541">
        <w:rPr>
          <w:lang w:val="pl-PL"/>
        </w:rPr>
        <w:t xml:space="preserve">, § 83; </w:t>
      </w:r>
      <w:r w:rsidRPr="002C5541">
        <w:rPr>
          <w:i/>
          <w:iCs/>
          <w:lang w:val="pl-PL"/>
        </w:rPr>
        <w:t>Nasr i Ghali</w:t>
      </w:r>
      <w:r w:rsidRPr="002C5541">
        <w:rPr>
          <w:lang w:val="pl-PL"/>
        </w:rPr>
        <w:t xml:space="preserve">, </w:t>
      </w:r>
      <w:r w:rsidRPr="004D1B56">
        <w:rPr>
          <w:lang w:val="pl-PL"/>
        </w:rPr>
        <w:t>wyrok cytowany powyżej</w:t>
      </w:r>
      <w:r w:rsidRPr="002C5541">
        <w:rPr>
          <w:lang w:val="pl-PL"/>
        </w:rPr>
        <w:t xml:space="preserve">, § 272; oraz </w:t>
      </w:r>
      <w:r w:rsidRPr="002C5541">
        <w:rPr>
          <w:i/>
          <w:iCs/>
          <w:lang w:val="pl-PL"/>
        </w:rPr>
        <w:t xml:space="preserve">Huseynova, </w:t>
      </w:r>
      <w:r w:rsidRPr="004D1B56">
        <w:rPr>
          <w:lang w:val="pl-PL"/>
        </w:rPr>
        <w:t>wyrok cytowany powyżej</w:t>
      </w:r>
      <w:r w:rsidRPr="002C5541">
        <w:rPr>
          <w:lang w:val="pl-PL"/>
        </w:rPr>
        <w:t xml:space="preserve">, § 111). Chociaż Trybunał nie ma kompetencji </w:t>
      </w:r>
      <w:r>
        <w:rPr>
          <w:lang w:val="pl-PL"/>
        </w:rPr>
        <w:t>weryfikować, czy</w:t>
      </w:r>
      <w:r w:rsidRPr="002C5541">
        <w:rPr>
          <w:lang w:val="pl-PL"/>
        </w:rPr>
        <w:t xml:space="preserve"> międzynarodow</w:t>
      </w:r>
      <w:r>
        <w:rPr>
          <w:lang w:val="pl-PL"/>
        </w:rPr>
        <w:t>e</w:t>
      </w:r>
      <w:r w:rsidRPr="002C5541">
        <w:rPr>
          <w:lang w:val="pl-PL"/>
        </w:rPr>
        <w:t xml:space="preserve"> traktat</w:t>
      </w:r>
      <w:r>
        <w:rPr>
          <w:lang w:val="pl-PL"/>
        </w:rPr>
        <w:t>y</w:t>
      </w:r>
      <w:r w:rsidRPr="002C5541">
        <w:rPr>
          <w:lang w:val="pl-PL"/>
        </w:rPr>
        <w:t xml:space="preserve"> lub obowiązk</w:t>
      </w:r>
      <w:r>
        <w:rPr>
          <w:lang w:val="pl-PL"/>
        </w:rPr>
        <w:t>i</w:t>
      </w:r>
      <w:r w:rsidRPr="002C5541">
        <w:rPr>
          <w:lang w:val="pl-PL"/>
        </w:rPr>
        <w:t xml:space="preserve"> in</w:t>
      </w:r>
      <w:r>
        <w:rPr>
          <w:lang w:val="pl-PL"/>
        </w:rPr>
        <w:t>ne</w:t>
      </w:r>
      <w:r w:rsidRPr="002C5541">
        <w:rPr>
          <w:lang w:val="pl-PL"/>
        </w:rPr>
        <w:t xml:space="preserve"> niż te wynikające z Konwencji</w:t>
      </w:r>
      <w:r>
        <w:rPr>
          <w:lang w:val="pl-PL"/>
        </w:rPr>
        <w:t>, są poszanowane</w:t>
      </w:r>
      <w:r w:rsidRPr="002C5541">
        <w:rPr>
          <w:lang w:val="pl-PL"/>
        </w:rPr>
        <w:t xml:space="preserve"> (zob. </w:t>
      </w:r>
      <w:r w:rsidRPr="002C5541">
        <w:rPr>
          <w:i/>
          <w:iCs/>
          <w:lang w:val="pl-PL"/>
        </w:rPr>
        <w:t xml:space="preserve">Aliyeva i Aliyev, </w:t>
      </w:r>
      <w:r w:rsidRPr="004D1B56">
        <w:rPr>
          <w:lang w:val="pl-PL"/>
        </w:rPr>
        <w:t>wyrok cytowany powyżej</w:t>
      </w:r>
      <w:r w:rsidRPr="002C5541">
        <w:rPr>
          <w:lang w:val="pl-PL"/>
        </w:rPr>
        <w:t>, § 74), zazwyczaj sprawdza w tym kontekście, czy pozwane Państwo wykorzystało możliwości dane</w:t>
      </w:r>
      <w:r>
        <w:rPr>
          <w:lang w:val="pl-PL"/>
        </w:rPr>
        <w:t xml:space="preserve"> </w:t>
      </w:r>
      <w:r w:rsidRPr="002C5541">
        <w:rPr>
          <w:lang w:val="pl-PL"/>
        </w:rPr>
        <w:t xml:space="preserve">mu na podstawie tych instrumentów. Trybunał powtarza zatem, że należy wziąć pod uwagę wszelkie stosowne przepisy i zasady prawa międzynarodowego obowiązujące w relacjach między Umawiającymi się Państwami oraz że Konwencja powinna być w najszerszym możliwym zakresie interpretowana zgodnie z innymi regułami prawa międzynarodowego, którego stanowi część (zob. </w:t>
      </w:r>
      <w:r w:rsidRPr="002C5541">
        <w:rPr>
          <w:i/>
          <w:iCs/>
          <w:lang w:val="pl-PL"/>
        </w:rPr>
        <w:t xml:space="preserve">Al-Adsani, </w:t>
      </w:r>
      <w:r w:rsidRPr="004D1B56">
        <w:rPr>
          <w:lang w:val="pl-PL"/>
        </w:rPr>
        <w:t>wyrok cytowany powyżej</w:t>
      </w:r>
      <w:r w:rsidRPr="002C5541">
        <w:rPr>
          <w:lang w:val="pl-PL"/>
        </w:rPr>
        <w:t xml:space="preserve">, § 55; </w:t>
      </w:r>
      <w:r w:rsidRPr="002C5541">
        <w:rPr>
          <w:i/>
          <w:iCs/>
          <w:lang w:val="pl-PL"/>
        </w:rPr>
        <w:t>Demir i Baykara przeciwko Turcji</w:t>
      </w:r>
      <w:r w:rsidRPr="002C5541">
        <w:rPr>
          <w:lang w:val="pl-PL"/>
        </w:rPr>
        <w:t xml:space="preserve"> [GC], nr 34503/97, § 67, ETPC 2008; oraz art. 31 </w:t>
      </w:r>
      <w:r>
        <w:rPr>
          <w:lang w:val="pl-PL"/>
        </w:rPr>
        <w:t>ust.</w:t>
      </w:r>
      <w:r w:rsidRPr="002C5541">
        <w:rPr>
          <w:lang w:val="pl-PL"/>
        </w:rPr>
        <w:t xml:space="preserve"> 3 lit. c) Konwencji wiedeńskiej o prawie traktatów z dnia 23 maja 1969 r.).</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236</w:t>
      </w:r>
      <w:r w:rsidRPr="002C5541">
        <w:rPr>
          <w:lang w:val="pl-PL"/>
        </w:rPr>
        <w:fldChar w:fldCharType="end"/>
      </w:r>
      <w:r w:rsidRPr="002C5541">
        <w:rPr>
          <w:lang w:val="pl-PL"/>
        </w:rPr>
        <w:t>.</w:t>
      </w:r>
      <w:r>
        <w:rPr>
          <w:lang w:val="pl-PL"/>
        </w:rPr>
        <w:t xml:space="preserve"> </w:t>
      </w:r>
      <w:r w:rsidRPr="002C5541">
        <w:rPr>
          <w:lang w:val="pl-PL"/>
        </w:rPr>
        <w:t xml:space="preserve">Przy ocenie, czy Państwo użyło wszelkich dostępnych środków prawnych na podstawie instrumentów międzynarodowych dotyczących współpracy w sprawach karnych, Trybunał nie może pominąć faktu, że traktaty te nie nakładają na Państwa obowiązków absolutnych, dają bowiem państwu występującemu o ekstradycję pewną swobodę i przewidują wiele wyjątków w formie obowiązkowych lub uznaniowych podstaw odmowy wnioskowanej współpracy. W rezultacie </w:t>
      </w:r>
      <w:r w:rsidRPr="00C96514">
        <w:rPr>
          <w:lang w:val="pl-PL"/>
        </w:rPr>
        <w:t xml:space="preserve">proceduralny </w:t>
      </w:r>
      <w:r w:rsidRPr="002C5541">
        <w:rPr>
          <w:lang w:val="pl-PL"/>
        </w:rPr>
        <w:t xml:space="preserve">obowiązek współpracy na podstawie art. 2 wymaga interpretacji w świetle traktatów międzynarodowych lub porozumień obowiązujących między danymi Umawiającymi się Państwami, a w ślad za nią w miarę możliwości łącznego i harmonijnego stosowania Konwencji i tych instrumentów, które nie powinno prowadzić do konfliktu lub sprzeczności między nimi (zob. </w:t>
      </w:r>
      <w:r w:rsidRPr="002C5541">
        <w:rPr>
          <w:i/>
          <w:iCs/>
          <w:lang w:val="pl-PL"/>
        </w:rPr>
        <w:t xml:space="preserve">mutatis mutandis, X przeciwko Łotwie </w:t>
      </w:r>
      <w:r w:rsidRPr="002C5541">
        <w:rPr>
          <w:lang w:val="pl-PL"/>
        </w:rPr>
        <w:t>[GC]</w:t>
      </w:r>
      <w:r w:rsidRPr="002C5541">
        <w:rPr>
          <w:snapToGrid w:val="0"/>
          <w:lang w:val="pl-PL"/>
        </w:rPr>
        <w:t xml:space="preserve">, </w:t>
      </w:r>
      <w:r>
        <w:rPr>
          <w:lang w:val="pl-PL"/>
        </w:rPr>
        <w:t>nr</w:t>
      </w:r>
      <w:r w:rsidRPr="002C5541">
        <w:rPr>
          <w:lang w:val="pl-PL"/>
        </w:rPr>
        <w:t> 27853/09</w:t>
      </w:r>
      <w:r w:rsidRPr="002C5541">
        <w:rPr>
          <w:snapToGrid w:val="0"/>
          <w:lang w:val="pl-PL"/>
        </w:rPr>
        <w:t xml:space="preserve">, § 94, </w:t>
      </w:r>
      <w:r w:rsidRPr="002C5541">
        <w:rPr>
          <w:lang w:val="pl-PL"/>
        </w:rPr>
        <w:t xml:space="preserve">ETPC 2013, w zakresie wykładni art. 8 Konwencji i Konwencji Haskiej z 1980 r. dotyczącej cywilnych aspektów uprowadzenia dziecka za granicę). W tym kontekście Państwo, które powinno </w:t>
      </w:r>
      <w:r>
        <w:rPr>
          <w:lang w:val="pl-PL"/>
        </w:rPr>
        <w:t>wezwać</w:t>
      </w:r>
      <w:r w:rsidRPr="002C5541">
        <w:rPr>
          <w:lang w:val="pl-PL"/>
        </w:rPr>
        <w:t xml:space="preserve"> </w:t>
      </w:r>
      <w:r>
        <w:rPr>
          <w:lang w:val="pl-PL"/>
        </w:rPr>
        <w:t xml:space="preserve">do </w:t>
      </w:r>
      <w:r w:rsidRPr="002C5541">
        <w:rPr>
          <w:lang w:val="pl-PL"/>
        </w:rPr>
        <w:t xml:space="preserve">współpracy, naruszy proceduralny obowiązek współpracy, jeśli nie </w:t>
      </w:r>
      <w:r>
        <w:rPr>
          <w:lang w:val="pl-PL"/>
        </w:rPr>
        <w:t>zastosowało</w:t>
      </w:r>
      <w:r w:rsidRPr="002C5541">
        <w:rPr>
          <w:lang w:val="pl-PL"/>
        </w:rPr>
        <w:t xml:space="preserve"> właściwych mechanizmów na podstawie odpowiednich traktatów międzynarodowych; </w:t>
      </w:r>
      <w:r>
        <w:rPr>
          <w:lang w:val="pl-PL"/>
        </w:rPr>
        <w:t>zaś</w:t>
      </w:r>
      <w:r w:rsidRPr="002C5541">
        <w:rPr>
          <w:lang w:val="pl-PL"/>
        </w:rPr>
        <w:t xml:space="preserve"> Państw</w:t>
      </w:r>
      <w:r>
        <w:rPr>
          <w:lang w:val="pl-PL"/>
        </w:rPr>
        <w:t>o</w:t>
      </w:r>
      <w:r w:rsidRPr="002C5541">
        <w:rPr>
          <w:lang w:val="pl-PL"/>
        </w:rPr>
        <w:t xml:space="preserve"> </w:t>
      </w:r>
      <w:r>
        <w:rPr>
          <w:lang w:val="pl-PL"/>
        </w:rPr>
        <w:t xml:space="preserve">wezwane do </w:t>
      </w:r>
      <w:r w:rsidRPr="002C5541">
        <w:rPr>
          <w:lang w:val="pl-PL"/>
        </w:rPr>
        <w:t>współprac</w:t>
      </w:r>
      <w:r>
        <w:rPr>
          <w:lang w:val="pl-PL"/>
        </w:rPr>
        <w:t>y</w:t>
      </w:r>
      <w:r w:rsidRPr="002C5541">
        <w:rPr>
          <w:lang w:val="pl-PL"/>
        </w:rPr>
        <w:t xml:space="preserve"> – jeśli nie </w:t>
      </w:r>
      <w:r>
        <w:rPr>
          <w:lang w:val="pl-PL"/>
        </w:rPr>
        <w:t>udzieli</w:t>
      </w:r>
      <w:r w:rsidRPr="002C5541">
        <w:rPr>
          <w:lang w:val="pl-PL"/>
        </w:rPr>
        <w:t xml:space="preserve"> </w:t>
      </w:r>
      <w:r>
        <w:rPr>
          <w:lang w:val="pl-PL"/>
        </w:rPr>
        <w:t xml:space="preserve">stosownej odpowiedzi </w:t>
      </w:r>
      <w:r w:rsidRPr="002C5541">
        <w:rPr>
          <w:lang w:val="pl-PL"/>
        </w:rPr>
        <w:t xml:space="preserve">lub nie potrafi wskazać </w:t>
      </w:r>
      <w:r>
        <w:rPr>
          <w:lang w:val="pl-PL"/>
        </w:rPr>
        <w:t>zasadnej</w:t>
      </w:r>
      <w:r w:rsidRPr="002C5541">
        <w:rPr>
          <w:lang w:val="pl-PL"/>
        </w:rPr>
        <w:t xml:space="preserve"> podstawy odmowy wnioskowanej współpracy.</w:t>
      </w:r>
    </w:p>
    <w:p w:rsidR="00110FEE" w:rsidRPr="002C5541" w:rsidRDefault="00110FEE" w:rsidP="00F25813">
      <w:pPr>
        <w:pStyle w:val="ECHRHeading5"/>
        <w:outlineLvl w:val="5"/>
        <w:rPr>
          <w:lang w:val="pl-PL"/>
        </w:rPr>
      </w:pPr>
      <w:r w:rsidRPr="002C5541">
        <w:rPr>
          <w:lang w:val="pl-PL"/>
        </w:rPr>
        <w:t>(iii)</w:t>
      </w:r>
      <w:r>
        <w:rPr>
          <w:lang w:val="pl-PL"/>
        </w:rPr>
        <w:t xml:space="preserve"> </w:t>
      </w:r>
      <w:r w:rsidRPr="002C5541">
        <w:rPr>
          <w:lang w:val="pl-PL"/>
        </w:rPr>
        <w:t xml:space="preserve">Obowiązek współpracy w sprawach ponadnarodowych dotyczących Umawiającego się Państwa i </w:t>
      </w:r>
      <w:r w:rsidRPr="002C5541">
        <w:rPr>
          <w:i w:val="0"/>
          <w:iCs w:val="0"/>
          <w:lang w:val="pl-PL"/>
        </w:rPr>
        <w:t xml:space="preserve">de facto </w:t>
      </w:r>
      <w:r w:rsidRPr="002C5541">
        <w:rPr>
          <w:lang w:val="pl-PL"/>
        </w:rPr>
        <w:t>podmiotu znajdującego się pod faktyczną kontrolą innego Umawiającego się Państwa</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237</w:t>
      </w:r>
      <w:r w:rsidRPr="002C5541">
        <w:rPr>
          <w:lang w:val="pl-PL"/>
        </w:rPr>
        <w:fldChar w:fldCharType="end"/>
      </w:r>
      <w:r w:rsidRPr="002C5541">
        <w:rPr>
          <w:lang w:val="pl-PL"/>
        </w:rPr>
        <w:t>.</w:t>
      </w:r>
      <w:r>
        <w:rPr>
          <w:lang w:val="pl-PL"/>
        </w:rPr>
        <w:t xml:space="preserve"> </w:t>
      </w:r>
      <w:r w:rsidRPr="002C5541">
        <w:rPr>
          <w:lang w:val="pl-PL"/>
        </w:rPr>
        <w:t xml:space="preserve">Jak Trybunał wskazał powyżej (zob. pkt 193 powyżej), szczególnym aspektem w niniejszej sprawie jest fakt, że rzekomy brak współpracy zarzucony został </w:t>
      </w:r>
      <w:r w:rsidRPr="002C5541">
        <w:rPr>
          <w:i/>
          <w:iCs/>
          <w:lang w:val="pl-PL"/>
        </w:rPr>
        <w:t>de facto</w:t>
      </w:r>
      <w:r w:rsidRPr="002C5541">
        <w:rPr>
          <w:lang w:val="pl-PL"/>
        </w:rPr>
        <w:t xml:space="preserve"> podmiotowi </w:t>
      </w:r>
      <w:r>
        <w:rPr>
          <w:lang w:val="pl-PL"/>
        </w:rPr>
        <w:t xml:space="preserve">utworzonemu na obszarze, który wspólnota międzynarodowa uznaje za terytorium </w:t>
      </w:r>
      <w:r w:rsidRPr="002C5541">
        <w:rPr>
          <w:lang w:val="pl-PL"/>
        </w:rPr>
        <w:t xml:space="preserve">Cypru, </w:t>
      </w:r>
      <w:r>
        <w:rPr>
          <w:lang w:val="pl-PL"/>
        </w:rPr>
        <w:t xml:space="preserve">a </w:t>
      </w:r>
      <w:r w:rsidRPr="002C5541">
        <w:rPr>
          <w:lang w:val="pl-PL"/>
        </w:rPr>
        <w:t>któr</w:t>
      </w:r>
      <w:r>
        <w:rPr>
          <w:lang w:val="pl-PL"/>
        </w:rPr>
        <w:t>y</w:t>
      </w:r>
      <w:r w:rsidRPr="002C5541">
        <w:rPr>
          <w:lang w:val="pl-PL"/>
        </w:rPr>
        <w:t xml:space="preserve"> na potrzeby Konwencji znajduje się jednak pod faktyczną kontrolą Turcji (zob. </w:t>
      </w:r>
      <w:r w:rsidRPr="002C5541">
        <w:rPr>
          <w:i/>
          <w:iCs/>
          <w:lang w:val="pl-PL"/>
        </w:rPr>
        <w:t xml:space="preserve">Cypr przeciwko Turcji, </w:t>
      </w:r>
      <w:r>
        <w:rPr>
          <w:lang w:val="pl-PL"/>
        </w:rPr>
        <w:t>wyrok cytowany</w:t>
      </w:r>
      <w:r w:rsidRPr="002C5541">
        <w:rPr>
          <w:lang w:val="pl-PL"/>
        </w:rPr>
        <w:t xml:space="preserve"> powyżej, §§ 61 i 77). Jako że między oboma pozwanymi Państwami nie istnieją formalne stosunki dyplomatyczne, traktaty międzynarodowe, których Państwa są stronami (traktaty Rady Europy, zob. właściwe prawo międzynarodowe), nie mogą stanowić wyłącznych ram odniesienia dla ustalenia, czy oba Państwa wykorzystały wszystkie możliwości, jakie były dla nich dostępne, dla celów nawiązania wzajemnej współpracy. Biorąc pod uwagę brak tychże formalnych stosunków dyplomatycznych, jest bardziej prawdopodobne, że sformalizowane formy współpracy zawiodą, i Państwa będą zmuszone poszukiwać innych, mniej formalnych i bardziej pośrednich, kanałów kooperacji, np. za pośrednictwem Państw trzecich lub organizacji międzynarodowych.</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238</w:t>
      </w:r>
      <w:r w:rsidRPr="002C5541">
        <w:rPr>
          <w:lang w:val="pl-PL"/>
        </w:rPr>
        <w:fldChar w:fldCharType="end"/>
      </w:r>
      <w:r w:rsidRPr="002C5541">
        <w:rPr>
          <w:lang w:val="pl-PL"/>
        </w:rPr>
        <w:t>.</w:t>
      </w:r>
      <w:r>
        <w:rPr>
          <w:lang w:val="pl-PL"/>
        </w:rPr>
        <w:t xml:space="preserve"> W związku z powyższym</w:t>
      </w:r>
      <w:r w:rsidRPr="002C5541">
        <w:rPr>
          <w:lang w:val="pl-PL"/>
        </w:rPr>
        <w:t xml:space="preserve"> Trybunał musi określić, czy w takich przypadkach, jak w niniejszej sprawie, dane Państwa wykorzystały wszystkie możliwości, jakie były dla nich zasadnie dostępne, żeby nawiązać wzajemną współpracę konieczną do zapewnienia skuteczności śledztwa i postępowania jako takiego. Może to sprawić, że Trybunał będzie musiał przyjrzeć się kanałom współpracy o charakterze nieformalnym lub </w:t>
      </w:r>
      <w:r w:rsidRPr="002C5541">
        <w:rPr>
          <w:i/>
          <w:iCs/>
          <w:lang w:val="pl-PL"/>
        </w:rPr>
        <w:t>ad hoc</w:t>
      </w:r>
      <w:r w:rsidRPr="002C5541">
        <w:rPr>
          <w:lang w:val="pl-PL"/>
        </w:rPr>
        <w:t>, jakie Państwa wykorzystały, będących poza zakresem mechanizmów współpracy przewidzianych we właściwych traktatach międzynarodowych. W tym kontekście Trybunał może i musi oprzeć się na tychże traktatach międzynarodowych, jako że odzwierciedlają one ewolucję standardów i zasad znajdujących zastosowanie w prawie międzynarodowy</w:t>
      </w:r>
      <w:r>
        <w:rPr>
          <w:lang w:val="pl-PL"/>
        </w:rPr>
        <w:t>m</w:t>
      </w:r>
      <w:r w:rsidRPr="002C5541">
        <w:rPr>
          <w:lang w:val="pl-PL"/>
        </w:rPr>
        <w:t xml:space="preserve"> w obszarze współpracy w sprawach karnych.</w:t>
      </w:r>
    </w:p>
    <w:p w:rsidR="00110FEE" w:rsidRPr="002C5541" w:rsidRDefault="00110FEE" w:rsidP="00F25813">
      <w:pPr>
        <w:pStyle w:val="ECHRHeading5"/>
        <w:outlineLvl w:val="5"/>
        <w:rPr>
          <w:lang w:val="pl-PL"/>
        </w:rPr>
      </w:pPr>
      <w:r w:rsidRPr="002C5541">
        <w:rPr>
          <w:lang w:val="pl-PL"/>
        </w:rPr>
        <w:t>(iv) Zastosowanie tych kryteriów do niniejszej sprawy</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239</w:t>
      </w:r>
      <w:r w:rsidRPr="002C5541">
        <w:rPr>
          <w:lang w:val="pl-PL"/>
        </w:rPr>
        <w:fldChar w:fldCharType="end"/>
      </w:r>
      <w:r w:rsidRPr="002C5541">
        <w:rPr>
          <w:lang w:val="pl-PL"/>
        </w:rPr>
        <w:t>.</w:t>
      </w:r>
      <w:r>
        <w:rPr>
          <w:lang w:val="pl-PL"/>
        </w:rPr>
        <w:t xml:space="preserve"> </w:t>
      </w:r>
      <w:r w:rsidRPr="002C5541">
        <w:rPr>
          <w:lang w:val="pl-PL"/>
        </w:rPr>
        <w:t>W świetle powyższych zasad (zob. pkt 230-</w:t>
      </w:r>
      <w:r>
        <w:rPr>
          <w:lang w:val="pl-PL"/>
        </w:rPr>
        <w:t>2</w:t>
      </w:r>
      <w:r w:rsidRPr="002C5541">
        <w:rPr>
          <w:lang w:val="pl-PL"/>
        </w:rPr>
        <w:t>38) Trybunał uznaje, że oba Państwa były obowiązane podjąć ze sobą współpracę zgodnie z ciążącymi na nich proceduralnymi obowiązkami na podstawie art. 2 w zakresie przeprowadzenia śledztwa w sprawie śmierci krewnych skarżących. Trybunał musi teraz określić, czy każde z pozwanych Państw spełniło ten obowiązek, biorąc pod uwagę szczególne okoliczności niniejszej sprawy.</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240</w:t>
      </w:r>
      <w:r w:rsidRPr="002C5541">
        <w:rPr>
          <w:lang w:val="pl-PL"/>
        </w:rPr>
        <w:fldChar w:fldCharType="end"/>
      </w:r>
      <w:r w:rsidRPr="002C5541">
        <w:rPr>
          <w:lang w:val="pl-PL"/>
        </w:rPr>
        <w:t>.</w:t>
      </w:r>
      <w:r>
        <w:rPr>
          <w:lang w:val="pl-PL"/>
        </w:rPr>
        <w:t xml:space="preserve"> </w:t>
      </w:r>
      <w:r w:rsidRPr="002C5541">
        <w:rPr>
          <w:lang w:val="pl-PL"/>
        </w:rPr>
        <w:t xml:space="preserve">Trybunał zdaje sobie sprawę, że w tamtym czasie oba Państwa były związane dwoma istotnymi konwencjami Rady Europy w sprawie ekstradycji i współpracy </w:t>
      </w:r>
      <w:r>
        <w:rPr>
          <w:lang w:val="pl-PL"/>
        </w:rPr>
        <w:t>w</w:t>
      </w:r>
      <w:r w:rsidRPr="002C5541">
        <w:rPr>
          <w:lang w:val="pl-PL"/>
        </w:rPr>
        <w:t xml:space="preserve"> sprawach karnych, tj. Europejską Konwencją o ekstradycji i Europejską Konwencją o wzajemnej pomocy w sprawach karnych. Chociaż Turcja zakwestionowała, czy w rzeczy samej znajdują one zastosowanie w szczególnych okolicznościach niniejszej sprawy, zważywszy zwłaszcza na ich zakres terytorialny, obie te konwencje obowiązywały oba Państwa i Turcja nie złożyła jeszcze wtedy </w:t>
      </w:r>
      <w:r>
        <w:rPr>
          <w:lang w:val="pl-PL"/>
        </w:rPr>
        <w:t>deklaracji</w:t>
      </w:r>
      <w:r w:rsidRPr="002C5541">
        <w:rPr>
          <w:lang w:val="pl-PL"/>
        </w:rPr>
        <w:t xml:space="preserve"> dołączonych do Protokołów Dodatkowych wyłączających ich zastosowanie w odniesieniu do Republiki Cypr</w:t>
      </w:r>
      <w:r>
        <w:rPr>
          <w:lang w:val="pl-PL"/>
        </w:rPr>
        <w:t>yjskiej</w:t>
      </w:r>
      <w:r w:rsidRPr="002C5541">
        <w:rPr>
          <w:lang w:val="pl-PL"/>
        </w:rPr>
        <w:t xml:space="preserve"> (zob. pkt 144 i 149 powyżej). Trybunał </w:t>
      </w:r>
      <w:r>
        <w:rPr>
          <w:lang w:val="pl-PL"/>
        </w:rPr>
        <w:t>uznaje</w:t>
      </w:r>
      <w:r w:rsidRPr="002C5541">
        <w:rPr>
          <w:lang w:val="pl-PL"/>
        </w:rPr>
        <w:t>, że</w:t>
      </w:r>
      <w:r>
        <w:rPr>
          <w:lang w:val="pl-PL"/>
        </w:rPr>
        <w:t xml:space="preserve"> nie</w:t>
      </w:r>
      <w:r w:rsidRPr="002C5541">
        <w:rPr>
          <w:lang w:val="pl-PL"/>
        </w:rPr>
        <w:t xml:space="preserve"> jest właściwy do ustal</w:t>
      </w:r>
      <w:r>
        <w:rPr>
          <w:lang w:val="pl-PL"/>
        </w:rPr>
        <w:t>e</w:t>
      </w:r>
      <w:r w:rsidRPr="002C5541">
        <w:rPr>
          <w:lang w:val="pl-PL"/>
        </w:rPr>
        <w:t>nia, czy konwencje te zgodnie z ich przepisami znajdowały zastosowanie, ani do weryfikacji, czy pozwane Państwa spełniły wynikające z nich obowiązki w niniejszej sprawie. Jak wskazano w pkt 238 powyżej, traktaty te mogą zapewnić Trybunałowi wskazówki w zakresie wykładni obowiązk</w:t>
      </w:r>
      <w:r>
        <w:rPr>
          <w:lang w:val="pl-PL"/>
        </w:rPr>
        <w:t>u</w:t>
      </w:r>
      <w:r w:rsidRPr="002C5541">
        <w:rPr>
          <w:lang w:val="pl-PL"/>
        </w:rPr>
        <w:t xml:space="preserve"> współpracy </w:t>
      </w:r>
      <w:r>
        <w:rPr>
          <w:lang w:val="pl-PL"/>
        </w:rPr>
        <w:t>na podstawie</w:t>
      </w:r>
      <w:r w:rsidRPr="002C5541">
        <w:rPr>
          <w:lang w:val="pl-PL"/>
        </w:rPr>
        <w:t xml:space="preserve"> art. 2 </w:t>
      </w:r>
      <w:r>
        <w:rPr>
          <w:lang w:val="pl-PL"/>
        </w:rPr>
        <w:t xml:space="preserve">w jego aspekcie proceduralnym </w:t>
      </w:r>
      <w:r w:rsidRPr="002C5541">
        <w:rPr>
          <w:lang w:val="pl-PL"/>
        </w:rPr>
        <w:t xml:space="preserve">(np. gdy Trybunał postrzega instrumenty międzynarodowe jako wyraz zmieniających się standardów prawa międzynarodowego, niezależnie od tego, czy zostały one ratyfikowane przez dane Państwa i czy obowiązywały one w danym czasie, zob. </w:t>
      </w:r>
      <w:r w:rsidRPr="002C5541">
        <w:rPr>
          <w:i/>
          <w:iCs/>
          <w:lang w:val="pl-PL"/>
        </w:rPr>
        <w:t>Demir i Baykara</w:t>
      </w:r>
      <w:r w:rsidRPr="002C5541">
        <w:rPr>
          <w:lang w:val="pl-PL"/>
        </w:rPr>
        <w:t xml:space="preserve">, </w:t>
      </w:r>
      <w:r>
        <w:rPr>
          <w:lang w:val="pl-PL"/>
        </w:rPr>
        <w:t>wyrok cytowany</w:t>
      </w:r>
      <w:r w:rsidRPr="002C5541">
        <w:rPr>
          <w:lang w:val="pl-PL"/>
        </w:rPr>
        <w:t xml:space="preserve"> powyżej, §§ 65-86; </w:t>
      </w:r>
      <w:r w:rsidRPr="002C5541">
        <w:rPr>
          <w:i/>
          <w:iCs/>
          <w:lang w:val="pl-PL"/>
        </w:rPr>
        <w:t xml:space="preserve">Rantsev, </w:t>
      </w:r>
      <w:r w:rsidRPr="002E7591">
        <w:rPr>
          <w:lang w:val="pl-PL"/>
        </w:rPr>
        <w:t>wyrok cytowany powyżej</w:t>
      </w:r>
      <w:r w:rsidRPr="002C5541">
        <w:rPr>
          <w:lang w:val="pl-PL"/>
        </w:rPr>
        <w:t xml:space="preserve">, §§ 278, 282, 285-86 i 289; oraz </w:t>
      </w:r>
      <w:r w:rsidRPr="002C5541">
        <w:rPr>
          <w:i/>
          <w:iCs/>
          <w:lang w:val="pl-PL"/>
        </w:rPr>
        <w:t xml:space="preserve">Magyar Helsinki Bizottság przeciwko Węgrom </w:t>
      </w:r>
      <w:r w:rsidRPr="002C5541">
        <w:rPr>
          <w:lang w:val="pl-PL"/>
        </w:rPr>
        <w:t xml:space="preserve">[GC], nr 18030/11, § 145, 8 listopada 2016 r.). Znajduje to zastosowanie </w:t>
      </w:r>
      <w:r w:rsidRPr="002C5541">
        <w:rPr>
          <w:i/>
          <w:iCs/>
          <w:lang w:val="pl-PL"/>
        </w:rPr>
        <w:t>a fortiori</w:t>
      </w:r>
      <w:r w:rsidRPr="002C5541">
        <w:rPr>
          <w:lang w:val="pl-PL"/>
        </w:rPr>
        <w:t xml:space="preserve"> do niniejszej sprawy, bowiem sporne konwencje zostały ratyfikowane przez wszystkie państwa członkowskie Rady Europy, co wskazuje, że istnieje między nimi pewien wspólny grunt w obszarze ekstradycji i współpracy w sprawach karnych (zob. pkt 146 i 151 powyżej).</w:t>
      </w:r>
    </w:p>
    <w:p w:rsidR="00110FEE" w:rsidRPr="002C5541" w:rsidRDefault="00110FEE" w:rsidP="00F25813">
      <w:pPr>
        <w:pStyle w:val="ECHRHeading6"/>
        <w:outlineLvl w:val="6"/>
        <w:rPr>
          <w:lang w:val="pl-PL"/>
        </w:rPr>
      </w:pPr>
      <w:bookmarkStart w:id="3" w:name="_Toc430944110"/>
      <w:r w:rsidRPr="002C5541">
        <w:rPr>
          <w:lang w:val="pl-PL"/>
        </w:rPr>
        <w:t>(α)</w:t>
      </w:r>
      <w:r>
        <w:rPr>
          <w:lang w:val="pl-PL"/>
        </w:rPr>
        <w:t xml:space="preserve"> </w:t>
      </w:r>
      <w:bookmarkEnd w:id="3"/>
      <w:r w:rsidRPr="002C5541">
        <w:rPr>
          <w:lang w:val="pl-PL"/>
        </w:rPr>
        <w:t>Cypr</w:t>
      </w:r>
    </w:p>
    <w:p w:rsidR="00110FEE" w:rsidRPr="002C5541" w:rsidRDefault="00110FEE" w:rsidP="00F25813">
      <w:pPr>
        <w:pStyle w:val="ECHRHeading6"/>
        <w:outlineLvl w:val="6"/>
        <w:rPr>
          <w:i/>
          <w:iCs/>
          <w:lang w:val="pl-PL"/>
        </w:rPr>
      </w:pPr>
      <w:r w:rsidRPr="002C5541">
        <w:rPr>
          <w:i/>
          <w:iCs/>
          <w:lang w:val="pl-PL"/>
        </w:rPr>
        <w:t>Czy Cypr podjął wszelkie działania, jakie były zasadnie dostępne, żeby domagać się wydania/ekstradycji podejrzanych przez Turcję?</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241</w:t>
      </w:r>
      <w:r w:rsidRPr="002C5541">
        <w:rPr>
          <w:lang w:val="pl-PL"/>
        </w:rPr>
        <w:fldChar w:fldCharType="end"/>
      </w:r>
      <w:r w:rsidRPr="002C5541">
        <w:rPr>
          <w:lang w:val="pl-PL"/>
        </w:rPr>
        <w:t>.</w:t>
      </w:r>
      <w:r>
        <w:rPr>
          <w:lang w:val="pl-PL"/>
        </w:rPr>
        <w:t xml:space="preserve"> </w:t>
      </w:r>
      <w:r w:rsidRPr="002C5541">
        <w:rPr>
          <w:lang w:val="pl-PL"/>
        </w:rPr>
        <w:t>Pierwsze pytanie, jakie pojawia się w kwestii obowiązku współpracy</w:t>
      </w:r>
      <w:r>
        <w:rPr>
          <w:lang w:val="pl-PL"/>
        </w:rPr>
        <w:t xml:space="preserve"> nałożonego na Cypr</w:t>
      </w:r>
      <w:r w:rsidRPr="002C5541">
        <w:rPr>
          <w:lang w:val="pl-PL"/>
        </w:rPr>
        <w:t xml:space="preserve">, dotyczy tego, czy władze podjęły wszelkie kroki, jakie były zasadnie dostępne, w celu dążeniu do uzyskania wydania/ekstradycji podejrzanych o morderstwo przez Turcję, zważywszy na fakt, że uciekli oni do „TRPC” lub na obszar Turcji i że ich obecność była konieczna, żeby posunąć śledztwo </w:t>
      </w:r>
      <w:r>
        <w:rPr>
          <w:lang w:val="pl-PL"/>
        </w:rPr>
        <w:t xml:space="preserve">do przodu </w:t>
      </w:r>
      <w:r w:rsidRPr="002C5541">
        <w:rPr>
          <w:lang w:val="pl-PL"/>
        </w:rPr>
        <w:t>i ostatecznie wszcząć przeciwko nim proces karny. Skarżący w żądaniach wysuniętych prze</w:t>
      </w:r>
      <w:r>
        <w:rPr>
          <w:lang w:val="pl-PL"/>
        </w:rPr>
        <w:t>d</w:t>
      </w:r>
      <w:r w:rsidRPr="002C5541">
        <w:rPr>
          <w:lang w:val="pl-PL"/>
        </w:rPr>
        <w:t xml:space="preserve"> Trybunałem zaznaczyli, że władze cypryjskie nie uczyniły wszystkiego, czego można by było od nich oczekiwać.</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242</w:t>
      </w:r>
      <w:r w:rsidRPr="002C5541">
        <w:rPr>
          <w:lang w:val="pl-PL"/>
        </w:rPr>
        <w:fldChar w:fldCharType="end"/>
      </w:r>
      <w:r w:rsidRPr="002C5541">
        <w:rPr>
          <w:lang w:val="pl-PL"/>
        </w:rPr>
        <w:t>.</w:t>
      </w:r>
      <w:r>
        <w:rPr>
          <w:lang w:val="pl-PL"/>
        </w:rPr>
        <w:t xml:space="preserve"> </w:t>
      </w:r>
      <w:r w:rsidRPr="002C5541">
        <w:rPr>
          <w:lang w:val="pl-PL"/>
        </w:rPr>
        <w:t>Trybunał zauważa, że po identyfikacji potencjalnych podejrzanych na wczesnym etapie śledztwa, władze cypryjskie złożyły wnioski do Interpolu o wydanie „czerwonych not” dla celów zlokalizowania podejrzanych i aresztowania ich na potrzeby ekstradycji (zob. pkt 37, 38 i 44 powyżej). Interpol wydał czerwone noty przeciwko ośmiu podejrzanym. Cypryjskie biur</w:t>
      </w:r>
      <w:r>
        <w:rPr>
          <w:lang w:val="pl-PL"/>
        </w:rPr>
        <w:t>o</w:t>
      </w:r>
      <w:r w:rsidRPr="002C5541">
        <w:rPr>
          <w:lang w:val="pl-PL"/>
        </w:rPr>
        <w:t xml:space="preserve"> Interpolu wysłało również wiadomości e-mail do tureckiego Ministerstwa Spraw Wewnętrznych, informując, że poszukuje podejrzanych, i żądając ich aresztowania, jeśli znaleźli się w Turcji (zob. pkt 40 i 45 powyżej). Z dokumentów dotyczących spotkań z UNFICYP zdaje się wynikać, że władze cypryjskie wiedziały, iż niektórzy z podejrzanych zostali już zatrzymani przez „TRPC” (zob. pkt 108, 114 i 115 powyżej). Na podstawie tych wszystkich faktów Cypr </w:t>
      </w:r>
      <w:r w:rsidRPr="002E7591">
        <w:rPr>
          <w:lang w:val="pl-PL"/>
        </w:rPr>
        <w:t xml:space="preserve">już na wczesnym etapie śledztwa </w:t>
      </w:r>
      <w:r w:rsidRPr="002C5541">
        <w:rPr>
          <w:lang w:val="pl-PL"/>
        </w:rPr>
        <w:t>podjął starania – za pośrednictwem UNFICYP</w:t>
      </w:r>
      <w:r>
        <w:rPr>
          <w:lang w:val="pl-PL"/>
        </w:rPr>
        <w:t xml:space="preserve"> –</w:t>
      </w:r>
      <w:r w:rsidRPr="002C5541">
        <w:rPr>
          <w:lang w:val="pl-PL"/>
        </w:rPr>
        <w:t xml:space="preserve"> żeby rozpocząć negocjacje w sprawie wydania podejrzanych przez „TRPC” (zob. pkt 113, 118 i 121). Stało się jednak bardzo szybko oczywiste, że ani Turcja, ani władze „TRPC” nie miały zamiaru wydawać podejrzanych (zob. pkt 93, 110 i 114). W tych okolicznościach i w świetle zastrzeżeń złożonych przez Turcję i władze „TRPC”, które zostały przekazane </w:t>
      </w:r>
      <w:r>
        <w:rPr>
          <w:lang w:val="pl-PL"/>
        </w:rPr>
        <w:t>d</w:t>
      </w:r>
      <w:r w:rsidRPr="002C5541">
        <w:rPr>
          <w:lang w:val="pl-PL"/>
        </w:rPr>
        <w:t xml:space="preserve">o Cypru za pośrednictwem UNFICYP, nie można krytykować Cypru za to, że z początku próbował uzyskać wydanie podejrzanych za pośrednictwem UNFICYP, i dopiero po tym, jak te działania okazały się nieskuteczne, złożył do Turcji wniosek o ekstradycję (wobec sześciu podejrzanych, tj. wyjąwszy czwartego podejrzanego, który umarł, i ósmego podejrzanego, który został zatrzymany przez Cypr w 2006 r. i wypuszczony) po upływie trzech i pół roku </w:t>
      </w:r>
      <w:r>
        <w:rPr>
          <w:lang w:val="pl-PL"/>
        </w:rPr>
        <w:t>od</w:t>
      </w:r>
      <w:r w:rsidRPr="002C5541">
        <w:rPr>
          <w:lang w:val="pl-PL"/>
        </w:rPr>
        <w:t xml:space="preserve"> wydani</w:t>
      </w:r>
      <w:r>
        <w:rPr>
          <w:lang w:val="pl-PL"/>
        </w:rPr>
        <w:t>a</w:t>
      </w:r>
      <w:r w:rsidRPr="002C5541">
        <w:rPr>
          <w:lang w:val="pl-PL"/>
        </w:rPr>
        <w:t xml:space="preserve"> czerwonych not. Nic nie wskazuje na to, że upływ tak długiego czasu w jakikolwiek sposób wpłynął na wynik wniosk</w:t>
      </w:r>
      <w:r>
        <w:rPr>
          <w:lang w:val="pl-PL"/>
        </w:rPr>
        <w:t>ów</w:t>
      </w:r>
      <w:r w:rsidRPr="002C5541">
        <w:rPr>
          <w:lang w:val="pl-PL"/>
        </w:rPr>
        <w:t xml:space="preserve"> o ekstradycję.</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243</w:t>
      </w:r>
      <w:r w:rsidRPr="002C5541">
        <w:rPr>
          <w:lang w:val="pl-PL"/>
        </w:rPr>
        <w:fldChar w:fldCharType="end"/>
      </w:r>
      <w:r w:rsidRPr="002C5541">
        <w:rPr>
          <w:lang w:val="pl-PL"/>
        </w:rPr>
        <w:t>.</w:t>
      </w:r>
      <w:r>
        <w:rPr>
          <w:lang w:val="pl-PL"/>
        </w:rPr>
        <w:t xml:space="preserve"> </w:t>
      </w:r>
      <w:r w:rsidRPr="002C5541">
        <w:rPr>
          <w:lang w:val="pl-PL"/>
        </w:rPr>
        <w:t>Trybunał pragnie także zauważyć, że wniosk</w:t>
      </w:r>
      <w:r>
        <w:rPr>
          <w:lang w:val="pl-PL"/>
        </w:rPr>
        <w:t>i</w:t>
      </w:r>
      <w:r w:rsidRPr="002C5541">
        <w:rPr>
          <w:lang w:val="pl-PL"/>
        </w:rPr>
        <w:t xml:space="preserve"> o ekstradycję został</w:t>
      </w:r>
      <w:r>
        <w:rPr>
          <w:lang w:val="pl-PL"/>
        </w:rPr>
        <w:t>y</w:t>
      </w:r>
      <w:r w:rsidRPr="002C5541">
        <w:rPr>
          <w:lang w:val="pl-PL"/>
        </w:rPr>
        <w:t xml:space="preserve"> dostarczony do Turcji za pośrednictwem ambasady tureckiej w Atenach dnia 4 listopada 2008 r. Woźny ambasady cypryjskiej przekazał kopertę zawierającą wniosek o ekstradycję i </w:t>
      </w:r>
      <w:r w:rsidRPr="002C5541">
        <w:rPr>
          <w:i/>
          <w:iCs/>
          <w:lang w:val="pl-PL"/>
        </w:rPr>
        <w:t xml:space="preserve">note verbale </w:t>
      </w:r>
      <w:r w:rsidRPr="002C5541">
        <w:rPr>
          <w:lang w:val="pl-PL"/>
        </w:rPr>
        <w:t xml:space="preserve">ochroniarzowi w ambasadzie tureckiej, co jednak nie zostało potwierdzone pokwitowaniem (zob. pkt 59 powyżej). Rząd </w:t>
      </w:r>
      <w:r w:rsidRPr="00D9678A">
        <w:rPr>
          <w:lang w:val="pl-PL"/>
        </w:rPr>
        <w:t xml:space="preserve">Turecki </w:t>
      </w:r>
      <w:r w:rsidRPr="002C5541">
        <w:rPr>
          <w:lang w:val="pl-PL"/>
        </w:rPr>
        <w:t>nie kwestionował tego faktu przez Izbą. Przed Wielką Izbą z kolei podkreślał, że wnioski o ekstradycję były nieważne, gdyż nie zostały złożone „w drodze dyplomatycznej”, czego wymaga art. 12 Konwencji o ekstradycji.</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244</w:t>
      </w:r>
      <w:r w:rsidRPr="002C5541">
        <w:rPr>
          <w:lang w:val="pl-PL"/>
        </w:rPr>
        <w:fldChar w:fldCharType="end"/>
      </w:r>
      <w:r w:rsidRPr="002C5541">
        <w:rPr>
          <w:lang w:val="pl-PL"/>
        </w:rPr>
        <w:t>.</w:t>
      </w:r>
      <w:r>
        <w:rPr>
          <w:lang w:val="pl-PL"/>
        </w:rPr>
        <w:t xml:space="preserve"> </w:t>
      </w:r>
      <w:r w:rsidRPr="002C5541">
        <w:rPr>
          <w:lang w:val="pl-PL"/>
        </w:rPr>
        <w:t xml:space="preserve">Trybunał uznaje, że – biorąc pod uwagę brak relacji dyplomatycznych między Cyprem a Turcją – przekazanie wniosku przez pracowników ambasad w Atenach można </w:t>
      </w:r>
      <w:r>
        <w:rPr>
          <w:lang w:val="pl-PL"/>
        </w:rPr>
        <w:t>zaakceptować</w:t>
      </w:r>
      <w:r w:rsidRPr="002C5541">
        <w:rPr>
          <w:lang w:val="pl-PL"/>
        </w:rPr>
        <w:t>, w szczególnych okolicznościach sprawy, jako jedyną drogę, do której Cypr miał dostęp. W rzeczy samej Rząd Tur</w:t>
      </w:r>
      <w:r>
        <w:rPr>
          <w:lang w:val="pl-PL"/>
        </w:rPr>
        <w:t xml:space="preserve">ecki </w:t>
      </w:r>
      <w:r w:rsidRPr="002C5541">
        <w:rPr>
          <w:lang w:val="pl-PL"/>
        </w:rPr>
        <w:t xml:space="preserve">nie dowodził w swoim stanowisku, że Cypr mógł skorzystać z jakiegokolwiek innego </w:t>
      </w:r>
      <w:r>
        <w:rPr>
          <w:lang w:val="pl-PL"/>
        </w:rPr>
        <w:t>kanału</w:t>
      </w:r>
      <w:r w:rsidRPr="002C5541">
        <w:rPr>
          <w:lang w:val="pl-PL"/>
        </w:rPr>
        <w:t>, a na rozprawie przyznał wręcz, że zwykła droga dyplomatyczna nie była dostępna zważywszy na brak relacji dyplomatycznych między tymi dwoma Państwami. Trybunał nie może przystać na pogląd, że brak relacji dyplomatycznych zwalniałby pozwane Państwa z obowiązku współpracy wynikającego z art. 2.</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245</w:t>
      </w:r>
      <w:r w:rsidRPr="002C5541">
        <w:rPr>
          <w:lang w:val="pl-PL"/>
        </w:rPr>
        <w:fldChar w:fldCharType="end"/>
      </w:r>
      <w:r w:rsidRPr="002C5541">
        <w:rPr>
          <w:lang w:val="pl-PL"/>
        </w:rPr>
        <w:t>.</w:t>
      </w:r>
      <w:r>
        <w:rPr>
          <w:lang w:val="pl-PL"/>
        </w:rPr>
        <w:t xml:space="preserve"> </w:t>
      </w:r>
      <w:r w:rsidRPr="002C5541">
        <w:rPr>
          <w:lang w:val="pl-PL"/>
        </w:rPr>
        <w:t>Trybunał uznaje zatem, że władze cypryjskie skorzystały z wszelkich środków, jakie były zasadne dostępne</w:t>
      </w:r>
      <w:r>
        <w:rPr>
          <w:lang w:val="pl-PL"/>
        </w:rPr>
        <w:t>,</w:t>
      </w:r>
      <w:r w:rsidRPr="002C5541">
        <w:rPr>
          <w:lang w:val="pl-PL"/>
        </w:rPr>
        <w:t xml:space="preserve"> żeby uzyskać wydanie/ekstradycję podejrzanych z Turcji.</w:t>
      </w:r>
    </w:p>
    <w:p w:rsidR="00110FEE" w:rsidRPr="002C5541" w:rsidRDefault="00110FEE" w:rsidP="00F25813">
      <w:pPr>
        <w:pStyle w:val="ECHRHeading6"/>
        <w:outlineLvl w:val="6"/>
        <w:rPr>
          <w:i/>
          <w:iCs/>
          <w:lang w:val="pl-PL"/>
        </w:rPr>
      </w:pPr>
      <w:r w:rsidRPr="002C5541">
        <w:rPr>
          <w:i/>
          <w:iCs/>
          <w:lang w:val="pl-PL"/>
        </w:rPr>
        <w:t>Czy Cypr miał obowiązek przekazać wszystkie dowody władzom „TRPC” lub Turcji?</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246</w:t>
      </w:r>
      <w:r w:rsidRPr="002C5541">
        <w:rPr>
          <w:lang w:val="pl-PL"/>
        </w:rPr>
        <w:fldChar w:fldCharType="end"/>
      </w:r>
      <w:r w:rsidRPr="002C5541">
        <w:rPr>
          <w:lang w:val="pl-PL"/>
        </w:rPr>
        <w:t>.</w:t>
      </w:r>
      <w:r>
        <w:rPr>
          <w:lang w:val="pl-PL"/>
        </w:rPr>
        <w:t xml:space="preserve"> </w:t>
      </w:r>
      <w:r w:rsidRPr="002C5541">
        <w:rPr>
          <w:lang w:val="pl-PL"/>
        </w:rPr>
        <w:t>Kolejną kwestią, któr</w:t>
      </w:r>
      <w:r>
        <w:rPr>
          <w:lang w:val="pl-PL"/>
        </w:rPr>
        <w:t>ą</w:t>
      </w:r>
      <w:r w:rsidRPr="002C5541">
        <w:rPr>
          <w:lang w:val="pl-PL"/>
        </w:rPr>
        <w:t xml:space="preserve"> należy ustalić, jest to, czy w realizacji obowiązku współpracy na podstawie art. 2 Konwencji Cypr miał obowiązek przekazać wszystkie dowody z akt śledztwa do Turcji lub władz „TRPC”. Trybunał zauważa w tym zakresie, że Turcja, za pośrednictwem władz „TRPC” i w ramach mediacji zapewnianej przez UNFICYP, złożyła wniosek do Cypru o przekazanie dowodów dla celów dalszego zatrzymania podejrzanych i na potrzeby swojego własnego śledztwa w „TRPC” (zob. pkt 110, 115, 122, 123 i 126). Ani skarżący, ani Cypr nie podają tego w wątpliwość.</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247</w:t>
      </w:r>
      <w:r w:rsidRPr="002C5541">
        <w:rPr>
          <w:lang w:val="pl-PL"/>
        </w:rPr>
        <w:fldChar w:fldCharType="end"/>
      </w:r>
      <w:r w:rsidRPr="002C5541">
        <w:rPr>
          <w:lang w:val="pl-PL"/>
        </w:rPr>
        <w:t>.</w:t>
      </w:r>
      <w:r>
        <w:rPr>
          <w:lang w:val="pl-PL"/>
        </w:rPr>
        <w:t xml:space="preserve"> </w:t>
      </w:r>
      <w:r w:rsidRPr="002C5541">
        <w:rPr>
          <w:lang w:val="pl-PL"/>
        </w:rPr>
        <w:t>Trybunał zaznacza na wstępie, że jeden z argumentów podniesionych przez Cypr przed Trybunałem uzasadnia odmowę przekazania wszystkich dowodów do władz „TRPC”, podnosząc, że „TRPC” nie jest Państwem-stroną Konwencji i w związku z tym nie był</w:t>
      </w:r>
      <w:r>
        <w:rPr>
          <w:lang w:val="pl-PL"/>
        </w:rPr>
        <w:t>a</w:t>
      </w:r>
      <w:r w:rsidRPr="002C5541">
        <w:rPr>
          <w:lang w:val="pl-PL"/>
        </w:rPr>
        <w:t xml:space="preserve"> w stanie zrealizować obowiązków na podstawie art. 2. Cypr podkreślał również w tej kwestii, że przekazanie dowodów do „TRPC” skutkowałoby bezprawnym zatrzymaniem podejrzanych i procesem przed sądami </w:t>
      </w:r>
      <w:r>
        <w:rPr>
          <w:lang w:val="pl-PL"/>
        </w:rPr>
        <w:t>niezgodnymi z prawem</w:t>
      </w:r>
      <w:r w:rsidRPr="002C5541">
        <w:rPr>
          <w:lang w:val="pl-PL"/>
        </w:rPr>
        <w:t xml:space="preserve"> w rozumieniu Konwencji.</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248</w:t>
      </w:r>
      <w:r w:rsidRPr="002C5541">
        <w:rPr>
          <w:lang w:val="pl-PL"/>
        </w:rPr>
        <w:fldChar w:fldCharType="end"/>
      </w:r>
      <w:r w:rsidRPr="002C5541">
        <w:rPr>
          <w:lang w:val="pl-PL"/>
        </w:rPr>
        <w:t>.</w:t>
      </w:r>
      <w:r>
        <w:rPr>
          <w:lang w:val="pl-PL"/>
        </w:rPr>
        <w:t xml:space="preserve"> </w:t>
      </w:r>
      <w:r w:rsidRPr="002C5541">
        <w:rPr>
          <w:lang w:val="pl-PL"/>
        </w:rPr>
        <w:t xml:space="preserve">Trybunał przyjął już, że Turcja powinna zostać pociągnięta do odpowiedzialności za działania podjęte przez władze „TRPC” na północnym Cyprze i że byłoby niezgodne z takim stanowiskiem, gdyby środkom cywilnym, administracyjnym lub karnym przyjętym i wykonanym na tym terytorium odmawiano jakiejkolwiek ważności lub uznawano, że nie mają one żadnej „legalnej” podstawy dla celów Konwencji (zob. </w:t>
      </w:r>
      <w:r w:rsidRPr="002C5541">
        <w:rPr>
          <w:i/>
          <w:iCs/>
          <w:lang w:val="pl-PL"/>
        </w:rPr>
        <w:t xml:space="preserve">Foka, </w:t>
      </w:r>
      <w:r>
        <w:rPr>
          <w:lang w:val="pl-PL"/>
        </w:rPr>
        <w:t>wyrok cytowany</w:t>
      </w:r>
      <w:r w:rsidRPr="002C5541">
        <w:rPr>
          <w:lang w:val="pl-PL"/>
        </w:rPr>
        <w:t xml:space="preserve"> powyżej, § 83).</w:t>
      </w:r>
      <w:r>
        <w:rPr>
          <w:lang w:val="pl-PL"/>
        </w:rPr>
        <w:t xml:space="preserve"> </w:t>
      </w:r>
      <w:r w:rsidRPr="002C5541">
        <w:rPr>
          <w:lang w:val="pl-PL"/>
        </w:rPr>
        <w:t xml:space="preserve">Trybunał stwierdził w związku z tym, że jeżeli czynność podjęta przez władze „TRPC” jest zgodna z prawem obowiązującym na terytorium północnego Cypru, należy co do zasady uznać, że działania te mają podstawę prawną w prawie krajowym dla celów Konwencji (zob. </w:t>
      </w:r>
      <w:r w:rsidRPr="002C5541">
        <w:rPr>
          <w:i/>
          <w:iCs/>
          <w:lang w:val="pl-PL"/>
        </w:rPr>
        <w:t xml:space="preserve">Foka, </w:t>
      </w:r>
      <w:r w:rsidRPr="00D25CD3">
        <w:rPr>
          <w:lang w:val="pl-PL"/>
        </w:rPr>
        <w:t>wyrok cytowany powyżej</w:t>
      </w:r>
      <w:r w:rsidRPr="002C5541">
        <w:rPr>
          <w:lang w:val="pl-PL"/>
        </w:rPr>
        <w:t xml:space="preserve">, § 84, gdzie aresztowanie skarżącego należącego do społeczności grecko-cypryjskiej przez policjanta „TRPC” uznano za zgodne z prawem na potrzeby art. 5; oraz </w:t>
      </w:r>
      <w:r w:rsidRPr="002C5541">
        <w:rPr>
          <w:i/>
          <w:iCs/>
          <w:lang w:val="pl-PL"/>
        </w:rPr>
        <w:t>Protopapa przeciwko Turcji</w:t>
      </w:r>
      <w:r w:rsidRPr="002C5541">
        <w:rPr>
          <w:lang w:val="pl-PL"/>
        </w:rPr>
        <w:t xml:space="preserve">, nr 16084/90, </w:t>
      </w:r>
      <w:r w:rsidRPr="002C5541">
        <w:rPr>
          <w:snapToGrid w:val="0"/>
          <w:lang w:val="pl-PL"/>
        </w:rPr>
        <w:t xml:space="preserve">§§ 60 i 83-89, 24 lutego 2009 r., gdzie </w:t>
      </w:r>
      <w:r w:rsidRPr="002C5541">
        <w:rPr>
          <w:lang w:val="pl-PL"/>
        </w:rPr>
        <w:t>tymczasowe aresztowanie i aresztowanie po wyroku skazującym orzeczone przez władze „TRPC” uznano za zgodne z prawem na potrzeby art. 5, zaś proces karny przed sądem „TRPC” uznano za zgodny z art. 6).</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249</w:t>
      </w:r>
      <w:r w:rsidRPr="002C5541">
        <w:rPr>
          <w:lang w:val="pl-PL"/>
        </w:rPr>
        <w:fldChar w:fldCharType="end"/>
      </w:r>
      <w:r w:rsidRPr="002C5541">
        <w:rPr>
          <w:lang w:val="pl-PL"/>
        </w:rPr>
        <w:t>.</w:t>
      </w:r>
      <w:r>
        <w:rPr>
          <w:lang w:val="pl-PL"/>
        </w:rPr>
        <w:t xml:space="preserve"> </w:t>
      </w:r>
      <w:r w:rsidRPr="002C5541">
        <w:rPr>
          <w:lang w:val="pl-PL"/>
        </w:rPr>
        <w:t xml:space="preserve">Trybunał w swoich orzecznictwie ustalił również, że decyzje podjęte przez sądy podmiotów nieuznawanych, w tym przez sądy karne, uznać można za „zgodne z prawem” na potrzeby Konwencji, jeśli sądy te funkcjonują w ramach systemu sądownictwa opartego na „podstawie konstytucyjnej i ustawowej”, będąc odbiciem tradycji sądowej, która jest zgodna z Konwencją, żeby umożliwić osobom fizycznym korzystanie z gwarancji ustanowionych Konwencją (zob. </w:t>
      </w:r>
      <w:r w:rsidRPr="002C5541">
        <w:rPr>
          <w:i/>
          <w:iCs/>
          <w:lang w:val="pl-PL"/>
        </w:rPr>
        <w:t>Ilaşcu i inni</w:t>
      </w:r>
      <w:r w:rsidRPr="002C5541">
        <w:rPr>
          <w:lang w:val="pl-PL"/>
        </w:rPr>
        <w:t xml:space="preserve">, </w:t>
      </w:r>
      <w:r w:rsidRPr="00D25CD3">
        <w:rPr>
          <w:lang w:val="pl-PL"/>
        </w:rPr>
        <w:t>wyrok cytowany powyżej</w:t>
      </w:r>
      <w:r w:rsidRPr="002C5541">
        <w:rPr>
          <w:lang w:val="pl-PL"/>
        </w:rPr>
        <w:t xml:space="preserve">, § 460; zob. w kwestii sądów „TRPC” </w:t>
      </w:r>
      <w:r w:rsidRPr="002C5541">
        <w:rPr>
          <w:i/>
          <w:iCs/>
          <w:lang w:val="pl-PL"/>
        </w:rPr>
        <w:t xml:space="preserve">Cypr przeciwko Turcji, </w:t>
      </w:r>
      <w:r w:rsidRPr="00D25CD3">
        <w:rPr>
          <w:lang w:val="pl-PL"/>
        </w:rPr>
        <w:t>wyrok cytowany powyżej</w:t>
      </w:r>
      <w:r w:rsidRPr="002C5541">
        <w:rPr>
          <w:lang w:val="pl-PL"/>
        </w:rPr>
        <w:t xml:space="preserve">, §§ 236-237; por. </w:t>
      </w:r>
      <w:r w:rsidRPr="002C5541">
        <w:rPr>
          <w:i/>
          <w:iCs/>
          <w:lang w:val="pl-PL"/>
        </w:rPr>
        <w:t>Mozer</w:t>
      </w:r>
      <w:r w:rsidRPr="002C5541">
        <w:rPr>
          <w:lang w:val="pl-PL"/>
        </w:rPr>
        <w:t xml:space="preserve">, </w:t>
      </w:r>
      <w:r w:rsidRPr="00D25CD3">
        <w:rPr>
          <w:lang w:val="pl-PL"/>
        </w:rPr>
        <w:t>wyrok cytowany powyżej</w:t>
      </w:r>
      <w:r w:rsidRPr="002C5541">
        <w:rPr>
          <w:lang w:val="pl-PL"/>
        </w:rPr>
        <w:t xml:space="preserve">, §§ 142-50). Trybunał nie widzi żadnego powodu, żeby odejść od tych ustaleń w odniesieniu do sądów i władz „TRPC”, co pod żadnym pozorem nie oznacza uznania – dorozumianego bądź wyraźnego – roszczenia „TRPC” o status państwa (zob. </w:t>
      </w:r>
      <w:r w:rsidRPr="002C5541">
        <w:rPr>
          <w:i/>
          <w:iCs/>
          <w:lang w:val="pl-PL"/>
        </w:rPr>
        <w:t>Cypr przeciwko Turcji</w:t>
      </w:r>
      <w:r w:rsidRPr="002C5541">
        <w:rPr>
          <w:lang w:val="pl-PL"/>
        </w:rPr>
        <w:t xml:space="preserve">, </w:t>
      </w:r>
      <w:r w:rsidRPr="00D25CD3">
        <w:rPr>
          <w:lang w:val="pl-PL"/>
        </w:rPr>
        <w:t>wyrok cytowany powyżej</w:t>
      </w:r>
      <w:r w:rsidRPr="002C5541">
        <w:rPr>
          <w:lang w:val="pl-PL"/>
        </w:rPr>
        <w:t>, § 238).</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250</w:t>
      </w:r>
      <w:r w:rsidRPr="002C5541">
        <w:rPr>
          <w:lang w:val="pl-PL"/>
        </w:rPr>
        <w:fldChar w:fldCharType="end"/>
      </w:r>
      <w:r w:rsidRPr="002C5541">
        <w:rPr>
          <w:lang w:val="pl-PL"/>
        </w:rPr>
        <w:t>.</w:t>
      </w:r>
      <w:r>
        <w:rPr>
          <w:lang w:val="pl-PL"/>
        </w:rPr>
        <w:t xml:space="preserve"> </w:t>
      </w:r>
      <w:r w:rsidRPr="002C5541">
        <w:rPr>
          <w:lang w:val="pl-PL"/>
        </w:rPr>
        <w:t>Trybunał zauważa również, że główny argument podany przez Cypr w celu uzasadnienia odmowy przekazania wszystkich dowodów do Turcji lub władz „TRPC” stanowił, że współpraca taka naruszałaby zwyczajową w prawie międzynarodowym zasadę nieuznawania (zob. pkt 157-</w:t>
      </w:r>
      <w:r>
        <w:rPr>
          <w:lang w:val="pl-PL"/>
        </w:rPr>
        <w:t>1</w:t>
      </w:r>
      <w:r w:rsidRPr="002C5541">
        <w:rPr>
          <w:lang w:val="pl-PL"/>
        </w:rPr>
        <w:t>58 i 207-</w:t>
      </w:r>
      <w:r>
        <w:rPr>
          <w:lang w:val="pl-PL"/>
        </w:rPr>
        <w:t>2</w:t>
      </w:r>
      <w:r w:rsidRPr="002C5541">
        <w:rPr>
          <w:lang w:val="pl-PL"/>
        </w:rPr>
        <w:t>08 powyżej). Trybunał nie uważa, żeby w obecnej sprawie pożądane lub konieczne było opracowywanie ogólnej teorii dotyczącej tego, czy współpraca w sprawach karnych z nieuznawanymi lub faktycznymi podmiotami prawa międzynarodowego jest zgodna z prawem. Niemniej jednak, Trybunał zgadza się z Rządem Cypr</w:t>
      </w:r>
      <w:r>
        <w:rPr>
          <w:lang w:val="pl-PL"/>
        </w:rPr>
        <w:t>yjskim</w:t>
      </w:r>
      <w:r w:rsidRPr="002C5541">
        <w:rPr>
          <w:lang w:val="pl-PL"/>
        </w:rPr>
        <w:t xml:space="preserve">, że niniejszą sprawę należy odróżnić od poprzednich spraw, w których Trybunał przyjął, że środki prawne ustanowione lub działania podjęte przez władze „TRPC” w odniesieniu do mieszkańców „TRPC” lub osób będących adresatami tych działań były zgodne z prawem na potrzeby Konwencji (zob. </w:t>
      </w:r>
      <w:r w:rsidRPr="002C5541">
        <w:rPr>
          <w:i/>
          <w:iCs/>
          <w:lang w:val="pl-PL"/>
        </w:rPr>
        <w:t>Cypr przeciwko Turcji</w:t>
      </w:r>
      <w:r w:rsidRPr="002C5541">
        <w:rPr>
          <w:lang w:val="pl-PL"/>
        </w:rPr>
        <w:t xml:space="preserve">, </w:t>
      </w:r>
      <w:r w:rsidRPr="00D25CD3">
        <w:rPr>
          <w:lang w:val="pl-PL"/>
        </w:rPr>
        <w:t>wyrok cytowany powyżej</w:t>
      </w:r>
      <w:r w:rsidRPr="002C5541">
        <w:rPr>
          <w:lang w:val="pl-PL"/>
        </w:rPr>
        <w:t xml:space="preserve">, §§ 61 i 238; </w:t>
      </w:r>
      <w:r w:rsidRPr="002C5541">
        <w:rPr>
          <w:i/>
          <w:iCs/>
          <w:lang w:val="pl-PL"/>
        </w:rPr>
        <w:t xml:space="preserve">Demopoulos i inni, </w:t>
      </w:r>
      <w:r w:rsidRPr="00D25CD3">
        <w:rPr>
          <w:lang w:val="pl-PL"/>
        </w:rPr>
        <w:t>wyrok cytowany powyżej</w:t>
      </w:r>
      <w:r w:rsidRPr="002C5541">
        <w:rPr>
          <w:lang w:val="pl-PL"/>
        </w:rPr>
        <w:t xml:space="preserve">, §§ 95-96; oraz </w:t>
      </w:r>
      <w:r w:rsidRPr="002C5541">
        <w:rPr>
          <w:i/>
          <w:iCs/>
          <w:lang w:val="pl-PL"/>
        </w:rPr>
        <w:t xml:space="preserve">Foka, </w:t>
      </w:r>
      <w:r w:rsidRPr="00D25CD3">
        <w:rPr>
          <w:lang w:val="pl-PL"/>
        </w:rPr>
        <w:t>wyrok cytowany powyżej</w:t>
      </w:r>
      <w:r w:rsidRPr="002C5541">
        <w:rPr>
          <w:lang w:val="pl-PL"/>
        </w:rPr>
        <w:t xml:space="preserve">, §§ 83-84). We wszystkich tych sprawach Trybunał uznał, że te środki prawne i działania są zgodne z prawem w zakresie koniecznym, żeby Turcja </w:t>
      </w:r>
      <w:r>
        <w:rPr>
          <w:lang w:val="pl-PL"/>
        </w:rPr>
        <w:t>mogła</w:t>
      </w:r>
      <w:r w:rsidRPr="002C5541">
        <w:rPr>
          <w:lang w:val="pl-PL"/>
        </w:rPr>
        <w:t xml:space="preserve"> zabezpieczyć wszystkie prawa na podstawie Konwencji na północnym Cyprze i naprawić wszelkie krzywdy, które można jej przypisać. Podstawową kwestią, którą Trybunał musiał rozważyć, jest uniknięcie próżni działającej na niekorzyść tych, którzy żyją pod okupacją, lub tych, którzy – mimo że mieszkają za granicą – mogą twierdzić, że ich prawa zostały naruszone (zob. </w:t>
      </w:r>
      <w:r w:rsidRPr="002C5541">
        <w:rPr>
          <w:i/>
          <w:iCs/>
          <w:lang w:val="pl-PL"/>
        </w:rPr>
        <w:t>Demopoulos i inni</w:t>
      </w:r>
      <w:r w:rsidRPr="002C5541">
        <w:rPr>
          <w:lang w:val="pl-PL"/>
        </w:rPr>
        <w:t xml:space="preserve">, </w:t>
      </w:r>
      <w:r w:rsidRPr="00D25CD3">
        <w:rPr>
          <w:lang w:val="pl-PL"/>
        </w:rPr>
        <w:t>wyrok cytowany powyżej</w:t>
      </w:r>
      <w:r w:rsidRPr="002C5541">
        <w:rPr>
          <w:lang w:val="pl-PL"/>
        </w:rPr>
        <w:t>, § 96). W niniejszej sprawie pojawia się pytanie, czy Republika Cypr</w:t>
      </w:r>
      <w:r>
        <w:rPr>
          <w:lang w:val="pl-PL"/>
        </w:rPr>
        <w:t>yjska</w:t>
      </w:r>
      <w:r w:rsidRPr="002C5541">
        <w:rPr>
          <w:lang w:val="pl-PL"/>
        </w:rPr>
        <w:t xml:space="preserve"> jako prawowity rząd na Cyprze, nie mający jednak żadnej kontroli nad północną częścią wyspy, która znajduje się pod faktyczną kontrolą Turcji, może współpracować z faktycznymi władzami ustanowionymi na tym obszarze („TRPC”), nie zapewniając jednocześnie w sposób dorozumiany legalności ani legitymacji tymże władzom lub okupacji. Zdaniem Trybunału sytuacja w niniejszej sprawie różni się również od przypadku, gdy Umawiające się Państwo inne niż Cypr współpracuje z tymi władzami (zob. np. współpracę między policją Zjednoczonego Królestwa a władzami „TRPC”, o której mowa w pkt 214 powyżej).</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251</w:t>
      </w:r>
      <w:r w:rsidRPr="002C5541">
        <w:rPr>
          <w:lang w:val="pl-PL"/>
        </w:rPr>
        <w:fldChar w:fldCharType="end"/>
      </w:r>
      <w:r w:rsidRPr="002C5541">
        <w:rPr>
          <w:lang w:val="pl-PL"/>
        </w:rPr>
        <w:t>.</w:t>
      </w:r>
      <w:r>
        <w:rPr>
          <w:lang w:val="pl-PL"/>
        </w:rPr>
        <w:t xml:space="preserve"> </w:t>
      </w:r>
      <w:r w:rsidRPr="002C5541">
        <w:rPr>
          <w:lang w:val="pl-PL"/>
        </w:rPr>
        <w:t xml:space="preserve">Trybunał w sprawie </w:t>
      </w:r>
      <w:r w:rsidRPr="002C5541">
        <w:rPr>
          <w:i/>
          <w:iCs/>
          <w:lang w:val="pl-PL"/>
        </w:rPr>
        <w:t xml:space="preserve">Ilaşcu i inni </w:t>
      </w:r>
      <w:r w:rsidRPr="002C5541">
        <w:rPr>
          <w:lang w:val="pl-PL"/>
        </w:rPr>
        <w:t>przyznał uprzednio, że nieoficjalnych stosunków w sprawach sądowych i bezpieczeństwa w interesie przeciwdziałania przestępczości między Umawiającym się Państwem a separatystycznym reżimem ustanowionym w ramach terytoriom tegoż Państwa nie można postrzegać jako poparcia dla tego podmiotu</w:t>
      </w:r>
      <w:r>
        <w:rPr>
          <w:lang w:val="pl-PL"/>
        </w:rPr>
        <w:t>,</w:t>
      </w:r>
      <w:r w:rsidRPr="002C5541">
        <w:rPr>
          <w:lang w:val="pl-PL"/>
        </w:rPr>
        <w:t xml:space="preserve"> zważywszy na istotę tych stosunków i ich ograniczony charakter (zob. </w:t>
      </w:r>
      <w:r w:rsidRPr="002C5541">
        <w:rPr>
          <w:i/>
          <w:iCs/>
          <w:lang w:val="pl-PL"/>
        </w:rPr>
        <w:t>Ilaşcu i inni</w:t>
      </w:r>
      <w:r w:rsidRPr="002C5541">
        <w:rPr>
          <w:lang w:val="pl-PL"/>
        </w:rPr>
        <w:t>, §§ 177 i 345). Stwierdzenie to poczyniono w kontekście dokonanej przez Trybunał analizy, czy Republika Mołdawii zrealizowała ciążące na niej pozytywne obowiązki w odniesieniu do skarżących w tamtej sprawie, którzy zostali zatrzymani na obszarze kontrolowanym przez faktyczny reżim naddniestrzański. Obejmowały one m.in. obowiązek przywrócenia kontrol</w:t>
      </w:r>
      <w:r>
        <w:rPr>
          <w:lang w:val="pl-PL"/>
        </w:rPr>
        <w:t>i</w:t>
      </w:r>
      <w:r w:rsidRPr="002C5541">
        <w:rPr>
          <w:lang w:val="pl-PL"/>
        </w:rPr>
        <w:t xml:space="preserve"> nad terytorium naddniestrzańskim i powstrzymanie się od wspierania separatystycznego reżimu. Trybunał zwrócił uwagę, że te nieoficjalne relacje dotyczyły przede wszystkim komunikacji między prokuratorami lub policjantami mołdawskimi oraz ich odpowiednikami w Naddniestrz</w:t>
      </w:r>
      <w:r>
        <w:rPr>
          <w:lang w:val="pl-PL"/>
        </w:rPr>
        <w:t>u</w:t>
      </w:r>
      <w:r w:rsidRPr="002C5541">
        <w:rPr>
          <w:lang w:val="pl-PL"/>
        </w:rPr>
        <w:t>, zwłaszcza w celu uzyskania informacji i wezwania świadków.</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252</w:t>
      </w:r>
      <w:r w:rsidRPr="002C5541">
        <w:rPr>
          <w:lang w:val="pl-PL"/>
        </w:rPr>
        <w:fldChar w:fldCharType="end"/>
      </w:r>
      <w:r w:rsidRPr="002C5541">
        <w:rPr>
          <w:lang w:val="pl-PL"/>
        </w:rPr>
        <w:t>.</w:t>
      </w:r>
      <w:r>
        <w:rPr>
          <w:lang w:val="pl-PL"/>
        </w:rPr>
        <w:t xml:space="preserve"> W niniejszej sprawie pytanie, na jakie trzeba udzielić odpowiedzi, dotyczy tego, czy Cypr miał obowiązek przekazać wszystkie dowody władzom „</w:t>
      </w:r>
      <w:r w:rsidRPr="002C5541">
        <w:rPr>
          <w:lang w:val="pl-PL"/>
        </w:rPr>
        <w:t xml:space="preserve">TRPC”, </w:t>
      </w:r>
      <w:r>
        <w:rPr>
          <w:lang w:val="pl-PL"/>
        </w:rPr>
        <w:t>które prowadziły równoległe śledztwo na podstawie prawa krajowego „TRPC” w spawie morderstw</w:t>
      </w:r>
      <w:r w:rsidRPr="002C5541">
        <w:rPr>
          <w:lang w:val="pl-PL"/>
        </w:rPr>
        <w:t xml:space="preserve">. </w:t>
      </w:r>
      <w:r>
        <w:rPr>
          <w:lang w:val="pl-PL"/>
        </w:rPr>
        <w:t>Trybunał zauważa, że Cypr wysłał niektóre</w:t>
      </w:r>
      <w:r w:rsidRPr="002C5541">
        <w:rPr>
          <w:lang w:val="pl-PL"/>
        </w:rPr>
        <w:t xml:space="preserve"> </w:t>
      </w:r>
      <w:r>
        <w:rPr>
          <w:lang w:val="pl-PL"/>
        </w:rPr>
        <w:t>dowody do „</w:t>
      </w:r>
      <w:r w:rsidRPr="002C5541">
        <w:rPr>
          <w:lang w:val="pl-PL"/>
        </w:rPr>
        <w:t xml:space="preserve">TRPC” </w:t>
      </w:r>
      <w:r>
        <w:rPr>
          <w:lang w:val="pl-PL"/>
        </w:rPr>
        <w:t xml:space="preserve">za pośrednictwem </w:t>
      </w:r>
      <w:r w:rsidRPr="002C5541">
        <w:rPr>
          <w:lang w:val="pl-PL"/>
        </w:rPr>
        <w:t xml:space="preserve">UNFICYP, </w:t>
      </w:r>
      <w:r>
        <w:rPr>
          <w:lang w:val="pl-PL"/>
        </w:rPr>
        <w:t xml:space="preserve">mianowicie wynik badania DNA </w:t>
      </w:r>
      <w:r w:rsidRPr="002C5541">
        <w:rPr>
          <w:lang w:val="pl-PL"/>
        </w:rPr>
        <w:t>(</w:t>
      </w:r>
      <w:r>
        <w:rPr>
          <w:lang w:val="pl-PL"/>
        </w:rPr>
        <w:t>zob. pkt</w:t>
      </w:r>
      <w:r w:rsidRPr="002C5541">
        <w:rPr>
          <w:lang w:val="pl-PL"/>
        </w:rPr>
        <w:t xml:space="preserve"> 121 </w:t>
      </w:r>
      <w:r>
        <w:rPr>
          <w:lang w:val="pl-PL"/>
        </w:rPr>
        <w:t>i</w:t>
      </w:r>
      <w:r w:rsidRPr="002C5541">
        <w:rPr>
          <w:lang w:val="pl-PL"/>
        </w:rPr>
        <w:t xml:space="preserve"> 123 </w:t>
      </w:r>
      <w:r>
        <w:rPr>
          <w:lang w:val="pl-PL"/>
        </w:rPr>
        <w:t>powyżej</w:t>
      </w:r>
      <w:r w:rsidRPr="002C5541">
        <w:rPr>
          <w:lang w:val="pl-PL"/>
        </w:rPr>
        <w:t>)</w:t>
      </w:r>
      <w:r>
        <w:rPr>
          <w:lang w:val="pl-PL"/>
        </w:rPr>
        <w:t xml:space="preserve">, i był gotowy dostarczyć wszystkie dowody </w:t>
      </w:r>
      <w:r w:rsidRPr="002C5541">
        <w:rPr>
          <w:lang w:val="pl-PL"/>
        </w:rPr>
        <w:t>UNFICYP</w:t>
      </w:r>
      <w:r>
        <w:rPr>
          <w:lang w:val="pl-PL"/>
        </w:rPr>
        <w:t xml:space="preserve">, które miało zweryfikować, czy </w:t>
      </w:r>
      <w:r w:rsidRPr="002C5541">
        <w:rPr>
          <w:i/>
          <w:iCs/>
          <w:lang w:val="pl-PL"/>
        </w:rPr>
        <w:t xml:space="preserve">prima facie </w:t>
      </w:r>
      <w:r>
        <w:rPr>
          <w:lang w:val="pl-PL"/>
        </w:rPr>
        <w:t>można podejrzanym wytoczyć proces</w:t>
      </w:r>
      <w:r w:rsidRPr="002C5541">
        <w:rPr>
          <w:lang w:val="pl-PL"/>
        </w:rPr>
        <w:t xml:space="preserve">, </w:t>
      </w:r>
      <w:r>
        <w:rPr>
          <w:lang w:val="pl-PL"/>
        </w:rPr>
        <w:t>pod warunkiem, że władze „</w:t>
      </w:r>
      <w:r w:rsidRPr="002C5541">
        <w:rPr>
          <w:lang w:val="pl-PL"/>
        </w:rPr>
        <w:t xml:space="preserve">TRPC” </w:t>
      </w:r>
      <w:r>
        <w:rPr>
          <w:lang w:val="pl-PL"/>
        </w:rPr>
        <w:t xml:space="preserve">wydadzą podejrzanych Cyprowi </w:t>
      </w:r>
      <w:r w:rsidRPr="002C5541">
        <w:rPr>
          <w:lang w:val="pl-PL"/>
        </w:rPr>
        <w:t>(</w:t>
      </w:r>
      <w:r>
        <w:rPr>
          <w:lang w:val="pl-PL"/>
        </w:rPr>
        <w:t xml:space="preserve">zob. pkt </w:t>
      </w:r>
      <w:r w:rsidRPr="002C5541">
        <w:rPr>
          <w:lang w:val="pl-PL"/>
        </w:rPr>
        <w:t xml:space="preserve">130 </w:t>
      </w:r>
      <w:r>
        <w:rPr>
          <w:lang w:val="pl-PL"/>
        </w:rPr>
        <w:t>powyżej</w:t>
      </w:r>
      <w:r w:rsidRPr="002C5541">
        <w:rPr>
          <w:lang w:val="pl-PL"/>
        </w:rPr>
        <w:t xml:space="preserve">). </w:t>
      </w:r>
      <w:r>
        <w:rPr>
          <w:lang w:val="pl-PL"/>
        </w:rPr>
        <w:t>Jako że władze „</w:t>
      </w:r>
      <w:r w:rsidRPr="002C5541">
        <w:rPr>
          <w:lang w:val="pl-PL"/>
        </w:rPr>
        <w:t xml:space="preserve">TRPC” </w:t>
      </w:r>
      <w:r>
        <w:rPr>
          <w:lang w:val="pl-PL"/>
        </w:rPr>
        <w:t>nie podjęły takiego zobowiązania</w:t>
      </w:r>
      <w:r w:rsidRPr="002C5541">
        <w:rPr>
          <w:lang w:val="pl-PL"/>
        </w:rPr>
        <w:t xml:space="preserve">, </w:t>
      </w:r>
      <w:r>
        <w:rPr>
          <w:lang w:val="pl-PL"/>
        </w:rPr>
        <w:t>Cypr odmówił przekazania dodatkowych dowodów. Ponadto, fakt, że władze „</w:t>
      </w:r>
      <w:r w:rsidRPr="002C5541">
        <w:rPr>
          <w:lang w:val="pl-PL"/>
        </w:rPr>
        <w:t xml:space="preserve">TRPC” </w:t>
      </w:r>
      <w:r>
        <w:rPr>
          <w:lang w:val="pl-PL"/>
        </w:rPr>
        <w:t>naciskały na otrzymanie od Cypru wszystkich dowodów</w:t>
      </w:r>
      <w:r w:rsidRPr="002C5541">
        <w:rPr>
          <w:lang w:val="pl-PL"/>
        </w:rPr>
        <w:t xml:space="preserve"> (</w:t>
      </w:r>
      <w:r>
        <w:rPr>
          <w:lang w:val="pl-PL"/>
        </w:rPr>
        <w:t>akt dochodzeniowych policji i nagrań z kamer bezpieczeństwa), zdaje się być związany z zamiarem ścigania i osądzenia podejrzanych przed sądami „TRPC”</w:t>
      </w:r>
      <w:r w:rsidRPr="002C5541">
        <w:rPr>
          <w:lang w:val="pl-PL"/>
        </w:rPr>
        <w:t xml:space="preserve">, </w:t>
      </w:r>
      <w:r>
        <w:rPr>
          <w:lang w:val="pl-PL"/>
        </w:rPr>
        <w:t xml:space="preserve">czego dowodzi stanowisko, że podejrzani powinni być sądzeni przed sądami Turków cypryjskich (zob. pkt </w:t>
      </w:r>
      <w:r w:rsidRPr="002C5541">
        <w:rPr>
          <w:lang w:val="pl-PL"/>
        </w:rPr>
        <w:t xml:space="preserve">110, 112, 114, 116 </w:t>
      </w:r>
      <w:r>
        <w:rPr>
          <w:lang w:val="pl-PL"/>
        </w:rPr>
        <w:t>i</w:t>
      </w:r>
      <w:r w:rsidRPr="002C5541">
        <w:rPr>
          <w:lang w:val="pl-PL"/>
        </w:rPr>
        <w:t xml:space="preserve"> 120 </w:t>
      </w:r>
      <w:r>
        <w:rPr>
          <w:lang w:val="pl-PL"/>
        </w:rPr>
        <w:t>powyżej</w:t>
      </w:r>
      <w:r w:rsidRPr="002C5541">
        <w:rPr>
          <w:lang w:val="pl-PL"/>
        </w:rPr>
        <w:t xml:space="preserve">). </w:t>
      </w:r>
      <w:r>
        <w:rPr>
          <w:lang w:val="pl-PL"/>
        </w:rPr>
        <w:t xml:space="preserve">Stało się to jeszcze bardziej widoczne po tym, jak powiadomienie o niniejszej sprawie zostało dostarczone do pozwanych Rządów w </w:t>
      </w:r>
      <w:r w:rsidRPr="002C5541">
        <w:rPr>
          <w:lang w:val="pl-PL"/>
        </w:rPr>
        <w:t>2009</w:t>
      </w:r>
      <w:r>
        <w:rPr>
          <w:lang w:val="pl-PL"/>
        </w:rPr>
        <w:t xml:space="preserve"> r.</w:t>
      </w:r>
      <w:r w:rsidRPr="002C5541">
        <w:rPr>
          <w:lang w:val="pl-PL"/>
        </w:rPr>
        <w:t xml:space="preserve"> </w:t>
      </w:r>
      <w:r>
        <w:rPr>
          <w:lang w:val="pl-PL"/>
        </w:rPr>
        <w:t>i Turcja otrzymała za pośrednictwem Trybunału akta dochodzeniowe Cypru</w:t>
      </w:r>
      <w:r w:rsidRPr="002C5541">
        <w:rPr>
          <w:lang w:val="pl-PL"/>
        </w:rPr>
        <w:t xml:space="preserve">. </w:t>
      </w:r>
      <w:r>
        <w:rPr>
          <w:lang w:val="pl-PL"/>
        </w:rPr>
        <w:t>W rzeczy samej Rząd Turecki podkreślał przez Izbą, że współpraca Cypru była konieczna w celu zapewnienia, iż świadkowie oraz osoby, które przygotowały różnorodne sprawozdania, pojawiły się przed sądami „</w:t>
      </w:r>
      <w:r w:rsidRPr="002C5541">
        <w:rPr>
          <w:lang w:val="pl-PL"/>
        </w:rPr>
        <w:t>TRPC”</w:t>
      </w:r>
      <w:r>
        <w:rPr>
          <w:lang w:val="pl-PL"/>
        </w:rPr>
        <w:t xml:space="preserve"> dla celów przedstawienia dowodów</w:t>
      </w:r>
      <w:r w:rsidRPr="002C5541">
        <w:rPr>
          <w:lang w:val="pl-PL"/>
        </w:rPr>
        <w:t xml:space="preserve">. </w:t>
      </w:r>
      <w:r>
        <w:rPr>
          <w:lang w:val="pl-PL"/>
        </w:rPr>
        <w:t>Potwierdził także, że „</w:t>
      </w:r>
      <w:r w:rsidRPr="002C5541">
        <w:rPr>
          <w:lang w:val="pl-PL"/>
        </w:rPr>
        <w:t xml:space="preserve">TRPC” </w:t>
      </w:r>
      <w:r>
        <w:rPr>
          <w:lang w:val="pl-PL"/>
        </w:rPr>
        <w:t>było zobowiązane odrzucić wniosek o ekstradycję swoich obywateli na podstawie prawa „</w:t>
      </w:r>
      <w:r w:rsidRPr="002C5541">
        <w:rPr>
          <w:lang w:val="pl-PL"/>
        </w:rPr>
        <w:t>TRPC” (</w:t>
      </w:r>
      <w:r>
        <w:rPr>
          <w:lang w:val="pl-PL"/>
        </w:rPr>
        <w:t>zob. pkt</w:t>
      </w:r>
      <w:r w:rsidRPr="002C5541">
        <w:rPr>
          <w:lang w:val="pl-PL"/>
        </w:rPr>
        <w:t xml:space="preserve"> 247 wyroku Izby). </w:t>
      </w:r>
      <w:r>
        <w:rPr>
          <w:lang w:val="pl-PL"/>
        </w:rPr>
        <w:t xml:space="preserve">Turcja przyznała również przed Wielką Izbą, że Cypr powinien był złożyć wniosek o przekazanie ścigania w sprawie karnej przynajmniej w odniesieniu do piątego podejrzanego, który był tureckim obywatelem przebywającym w Turcji, którą to możliwość przewidywała zarówno Konwencja o ekstradycji (art. 6 ust. 2), jak i </w:t>
      </w:r>
      <w:r w:rsidRPr="00DE14B4">
        <w:rPr>
          <w:lang w:val="pl-PL"/>
        </w:rPr>
        <w:t>Konwencja o przekazywaniu ścigania w sprawach karnych</w:t>
      </w:r>
      <w:r w:rsidRPr="002C5541">
        <w:rPr>
          <w:lang w:val="pl-PL"/>
        </w:rPr>
        <w:t xml:space="preserve"> (</w:t>
      </w:r>
      <w:r>
        <w:rPr>
          <w:lang w:val="pl-PL"/>
        </w:rPr>
        <w:t>art.</w:t>
      </w:r>
      <w:r w:rsidRPr="002C5541">
        <w:rPr>
          <w:lang w:val="pl-PL"/>
        </w:rPr>
        <w:t xml:space="preserve"> 6 </w:t>
      </w:r>
      <w:r>
        <w:rPr>
          <w:lang w:val="pl-PL"/>
        </w:rPr>
        <w:t>i art.</w:t>
      </w:r>
      <w:r w:rsidRPr="002C5541">
        <w:rPr>
          <w:lang w:val="pl-PL"/>
        </w:rPr>
        <w:t xml:space="preserve"> 8</w:t>
      </w:r>
      <w:r>
        <w:rPr>
          <w:lang w:val="pl-PL"/>
        </w:rPr>
        <w:t xml:space="preserve"> ust. </w:t>
      </w:r>
      <w:r w:rsidRPr="002C5541">
        <w:rPr>
          <w:lang w:val="pl-PL"/>
        </w:rPr>
        <w:t>1</w:t>
      </w:r>
      <w:r>
        <w:rPr>
          <w:lang w:val="pl-PL"/>
        </w:rPr>
        <w:t xml:space="preserve"> lit. </w:t>
      </w:r>
      <w:r w:rsidRPr="002C5541">
        <w:rPr>
          <w:lang w:val="pl-PL"/>
        </w:rPr>
        <w:t>g)).</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253</w:t>
      </w:r>
      <w:r w:rsidRPr="002C5541">
        <w:rPr>
          <w:lang w:val="pl-PL"/>
        </w:rPr>
        <w:fldChar w:fldCharType="end"/>
      </w:r>
      <w:r w:rsidRPr="002C5541">
        <w:rPr>
          <w:lang w:val="pl-PL"/>
        </w:rPr>
        <w:t>.</w:t>
      </w:r>
      <w:r>
        <w:rPr>
          <w:lang w:val="pl-PL"/>
        </w:rPr>
        <w:t xml:space="preserve"> W związku z tym – obok faktu, że Turcja nigdy nie przedstawiła tej możliwości w odpowiedzi na cypryjski wniosek o ekstradycję w 2008 r.</w:t>
      </w:r>
      <w:r w:rsidRPr="002C5541">
        <w:rPr>
          <w:lang w:val="pl-PL"/>
        </w:rPr>
        <w:t xml:space="preserve"> (</w:t>
      </w:r>
      <w:r>
        <w:rPr>
          <w:lang w:val="pl-PL"/>
        </w:rPr>
        <w:t xml:space="preserve">por. </w:t>
      </w:r>
      <w:r w:rsidRPr="002C5541">
        <w:rPr>
          <w:i/>
          <w:iCs/>
          <w:lang w:val="pl-PL"/>
        </w:rPr>
        <w:t xml:space="preserve">Huseynova, </w:t>
      </w:r>
      <w:r>
        <w:rPr>
          <w:lang w:val="pl-PL"/>
        </w:rPr>
        <w:t>wyrok cytowany</w:t>
      </w:r>
      <w:r w:rsidRPr="002C5541">
        <w:rPr>
          <w:lang w:val="pl-PL"/>
        </w:rPr>
        <w:t xml:space="preserve"> powyżej, § 111, </w:t>
      </w:r>
      <w:r>
        <w:rPr>
          <w:lang w:val="pl-PL"/>
        </w:rPr>
        <w:t>w której to sprawie władze gruzińskie, odmówiwszy ekstradycji swoich obywateli na wniosek Azerbejdżanu, wyraźnie powołały się na tę opcję</w:t>
      </w:r>
      <w:r w:rsidRPr="002C5541">
        <w:rPr>
          <w:lang w:val="pl-PL"/>
        </w:rPr>
        <w:t xml:space="preserve">), </w:t>
      </w:r>
      <w:r>
        <w:rPr>
          <w:lang w:val="pl-PL"/>
        </w:rPr>
        <w:t>Trybunał uznaje, że przekazanie całych akt dochodzeniowych do „</w:t>
      </w:r>
      <w:r w:rsidRPr="002C5541">
        <w:rPr>
          <w:lang w:val="pl-PL"/>
        </w:rPr>
        <w:t>TRPC”</w:t>
      </w:r>
      <w:r>
        <w:rPr>
          <w:lang w:val="pl-PL"/>
        </w:rPr>
        <w:t>, zważywszy na możliwość, że dowody te zostaną wykorzystane w celu osądzenia sprawców w „TRPC</w:t>
      </w:r>
      <w:r w:rsidRPr="002C5541">
        <w:rPr>
          <w:lang w:val="pl-PL"/>
        </w:rPr>
        <w:t xml:space="preserve">, </w:t>
      </w:r>
      <w:r>
        <w:rPr>
          <w:lang w:val="pl-PL"/>
        </w:rPr>
        <w:t>bez żadnych gwarancji, że sprawcy zostaną przekazani do władz cypryjskich</w:t>
      </w:r>
      <w:r w:rsidRPr="002C5541">
        <w:rPr>
          <w:lang w:val="pl-PL"/>
        </w:rPr>
        <w:t xml:space="preserve">, </w:t>
      </w:r>
      <w:r>
        <w:rPr>
          <w:lang w:val="pl-PL"/>
        </w:rPr>
        <w:t>wykraczałoby poza zakres zwykłej współpracy między organami policyjnymi i prokuratorskimi</w:t>
      </w:r>
      <w:r w:rsidRPr="002C5541">
        <w:rPr>
          <w:lang w:val="pl-PL"/>
        </w:rPr>
        <w:t xml:space="preserve"> (</w:t>
      </w:r>
      <w:r>
        <w:rPr>
          <w:lang w:val="pl-PL"/>
        </w:rPr>
        <w:t xml:space="preserve">por. </w:t>
      </w:r>
      <w:r w:rsidRPr="002C5541">
        <w:rPr>
          <w:i/>
          <w:iCs/>
          <w:lang w:val="pl-PL"/>
        </w:rPr>
        <w:t xml:space="preserve">Ilaşcu </w:t>
      </w:r>
      <w:r>
        <w:rPr>
          <w:i/>
          <w:iCs/>
          <w:lang w:val="pl-PL"/>
        </w:rPr>
        <w:t>i inni</w:t>
      </w:r>
      <w:r w:rsidRPr="002C5541">
        <w:rPr>
          <w:lang w:val="pl-PL"/>
        </w:rPr>
        <w:t xml:space="preserve">, </w:t>
      </w:r>
      <w:r w:rsidRPr="00024905">
        <w:rPr>
          <w:lang w:val="pl-PL"/>
        </w:rPr>
        <w:t>wyrok cytowany powyżej</w:t>
      </w:r>
      <w:r w:rsidRPr="002C5541">
        <w:rPr>
          <w:lang w:val="pl-PL"/>
        </w:rPr>
        <w:t xml:space="preserve">, § 177). </w:t>
      </w:r>
      <w:r>
        <w:rPr>
          <w:lang w:val="pl-PL"/>
        </w:rPr>
        <w:t>Oznaczałoby to bowiem zasadniczo przekazanie ścigania jako takiego do sądów „</w:t>
      </w:r>
      <w:r w:rsidRPr="002C5541">
        <w:rPr>
          <w:lang w:val="pl-PL"/>
        </w:rPr>
        <w:t xml:space="preserve">TRPC”, </w:t>
      </w:r>
      <w:r>
        <w:rPr>
          <w:lang w:val="pl-PL"/>
        </w:rPr>
        <w:t>w związku z czym Cypr zrzekałby się jurysdykcji karnej w odniesieniu do morderstwa popełnionego na kontrolowanym przez siebie obszarze na rzecz sądów nieuznawanego podmiotu utworzonego na jego terytorium</w:t>
      </w:r>
      <w:r w:rsidRPr="002C5541">
        <w:rPr>
          <w:lang w:val="pl-PL"/>
        </w:rPr>
        <w:t xml:space="preserve">. </w:t>
      </w:r>
      <w:r>
        <w:rPr>
          <w:lang w:val="pl-PL"/>
        </w:rPr>
        <w:t>W rzeczy samej sprawowanie jurysdykcji karnej jest jednym z najważniejszych aspektów suwerenności państwowej. Trybunał zgadza się zatem z Rządem Cypryjskim, że w tych konkretnych okolicznościach odmowa zrzeczenia się jurysdykcji karnej na rzecz sądów „</w:t>
      </w:r>
      <w:r w:rsidRPr="002C5541">
        <w:rPr>
          <w:lang w:val="pl-PL"/>
        </w:rPr>
        <w:t xml:space="preserve">TRPC” </w:t>
      </w:r>
      <w:r>
        <w:rPr>
          <w:lang w:val="pl-PL"/>
        </w:rPr>
        <w:t>była uzasadniona</w:t>
      </w:r>
      <w:r w:rsidRPr="002C5541">
        <w:rPr>
          <w:lang w:val="pl-PL"/>
        </w:rPr>
        <w:t>.</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254</w:t>
      </w:r>
      <w:r w:rsidRPr="002C5541">
        <w:rPr>
          <w:lang w:val="pl-PL"/>
        </w:rPr>
        <w:fldChar w:fldCharType="end"/>
      </w:r>
      <w:r w:rsidRPr="002C5541">
        <w:rPr>
          <w:lang w:val="pl-PL"/>
        </w:rPr>
        <w:t>.</w:t>
      </w:r>
      <w:r>
        <w:rPr>
          <w:lang w:val="pl-PL"/>
        </w:rPr>
        <w:t xml:space="preserve"> Stanowisko to jest spójne z brzmieniem odpowiednich instrumentów Rady Europy, których oba Państwa są stronami</w:t>
      </w:r>
      <w:r w:rsidRPr="002C5541">
        <w:rPr>
          <w:lang w:val="pl-PL"/>
        </w:rPr>
        <w:t xml:space="preserve">. </w:t>
      </w:r>
      <w:r>
        <w:rPr>
          <w:lang w:val="pl-PL"/>
        </w:rPr>
        <w:t xml:space="preserve">Trybunał zauważa, że art. 2 lit. b) </w:t>
      </w:r>
      <w:r w:rsidRPr="00DA78C5">
        <w:rPr>
          <w:lang w:val="pl-PL"/>
        </w:rPr>
        <w:t xml:space="preserve">Konwencji o wzajemnej pomocy prawnej </w:t>
      </w:r>
      <w:r>
        <w:rPr>
          <w:lang w:val="pl-PL"/>
        </w:rPr>
        <w:t xml:space="preserve">daje Państwu wezwanemu możliwość odmówienia pomocy, jeśli uważa ono, że spełnienie wniosku mogłoby stanowić zagrożenie dla suwerenności, bezpieczeństwa, porządku publicznego lub innych ważnych interesów tego państwa (zob. pkt </w:t>
      </w:r>
      <w:r w:rsidRPr="002C5541">
        <w:rPr>
          <w:lang w:val="pl-PL"/>
        </w:rPr>
        <w:t xml:space="preserve">152 </w:t>
      </w:r>
      <w:r>
        <w:rPr>
          <w:lang w:val="pl-PL"/>
        </w:rPr>
        <w:t>powyżej</w:t>
      </w:r>
      <w:r w:rsidRPr="002C5541">
        <w:rPr>
          <w:lang w:val="pl-PL"/>
        </w:rPr>
        <w:t xml:space="preserve">). </w:t>
      </w:r>
      <w:r>
        <w:rPr>
          <w:lang w:val="pl-PL"/>
        </w:rPr>
        <w:t>Analogiczny powód odmowy znaleźć można również w przepisach prawnych niektórych Państw członkowskich (zob. pkt 167 powyżej</w:t>
      </w:r>
      <w:r w:rsidRPr="002C5541">
        <w:rPr>
          <w:lang w:val="pl-PL"/>
        </w:rPr>
        <w:t xml:space="preserve">). </w:t>
      </w:r>
      <w:r>
        <w:rPr>
          <w:lang w:val="pl-PL"/>
        </w:rPr>
        <w:t xml:space="preserve">Podobnie </w:t>
      </w:r>
      <w:r w:rsidRPr="00DA78C5">
        <w:rPr>
          <w:lang w:val="pl-PL"/>
        </w:rPr>
        <w:t>Konwencja o przekazywaniu ścigania</w:t>
      </w:r>
      <w:r>
        <w:rPr>
          <w:lang w:val="pl-PL"/>
        </w:rPr>
        <w:t xml:space="preserve"> nie nakłada obowiązku zrzeczenia się jurysdykcji na rzecz i przekazania ścigania do innego Państwa ani nie ustanawia systemu pierwszeństwa jurysdykcji na wypadek pozytywnego konfliktu jurysdykcyjnego między dwoma Państwami, który pociągałby za sobą np. obowiązek przekazania ścigania do Państwa, w którym znajdują się podejrzani (zob. pkt </w:t>
      </w:r>
      <w:r w:rsidRPr="002C5541">
        <w:rPr>
          <w:lang w:val="pl-PL"/>
        </w:rPr>
        <w:t xml:space="preserve">154-56 </w:t>
      </w:r>
      <w:r>
        <w:rPr>
          <w:lang w:val="pl-PL"/>
        </w:rPr>
        <w:t>powyżej</w:t>
      </w:r>
      <w:r w:rsidRPr="002C5541">
        <w:rPr>
          <w:lang w:val="pl-PL"/>
        </w:rPr>
        <w:t xml:space="preserve">; </w:t>
      </w:r>
      <w:r>
        <w:rPr>
          <w:lang w:val="pl-PL"/>
        </w:rPr>
        <w:t>oraz</w:t>
      </w:r>
      <w:r w:rsidRPr="002C5541">
        <w:rPr>
          <w:lang w:val="pl-PL"/>
        </w:rPr>
        <w:t xml:space="preserve"> </w:t>
      </w:r>
      <w:r w:rsidRPr="00DA78C5">
        <w:rPr>
          <w:lang w:val="pl-PL"/>
        </w:rPr>
        <w:t>sprawozdanie wyjaśniające do Konwencji</w:t>
      </w:r>
      <w:r w:rsidRPr="002C5541">
        <w:rPr>
          <w:lang w:val="pl-PL"/>
        </w:rPr>
        <w:t xml:space="preserve">, </w:t>
      </w:r>
      <w:r>
        <w:rPr>
          <w:lang w:val="pl-PL"/>
        </w:rPr>
        <w:t>s</w:t>
      </w:r>
      <w:r w:rsidRPr="002C5541">
        <w:rPr>
          <w:lang w:val="pl-PL"/>
        </w:rPr>
        <w:t>. 31).</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255</w:t>
      </w:r>
      <w:r w:rsidRPr="002C5541">
        <w:rPr>
          <w:lang w:val="pl-PL"/>
        </w:rPr>
        <w:fldChar w:fldCharType="end"/>
      </w:r>
      <w:r w:rsidRPr="002C5541">
        <w:rPr>
          <w:lang w:val="pl-PL"/>
        </w:rPr>
        <w:t>.</w:t>
      </w:r>
      <w:r>
        <w:rPr>
          <w:lang w:val="pl-PL"/>
        </w:rPr>
        <w:t xml:space="preserve"> W świetle powyższego Trybunał stwierdza, że odmowa przekazania wszystkich dowodów przez Cypr do władz „</w:t>
      </w:r>
      <w:r w:rsidRPr="002C5541">
        <w:rPr>
          <w:lang w:val="pl-PL"/>
        </w:rPr>
        <w:t xml:space="preserve">TRPC” </w:t>
      </w:r>
      <w:r>
        <w:rPr>
          <w:lang w:val="pl-PL"/>
        </w:rPr>
        <w:t>lub Turcji oraz odmowa przekazania ścigania</w:t>
      </w:r>
      <w:r w:rsidRPr="00805DA8">
        <w:rPr>
          <w:lang w:val="pl-PL"/>
        </w:rPr>
        <w:t xml:space="preserve"> do władz „TRPC” lub Turcji</w:t>
      </w:r>
      <w:r>
        <w:rPr>
          <w:lang w:val="pl-PL"/>
        </w:rPr>
        <w:t xml:space="preserve"> nie stanowiły naruszenia obowiązku współpracy w kontekście aspektu proceduralnego art. 2</w:t>
      </w:r>
      <w:r w:rsidRPr="002C5541">
        <w:rPr>
          <w:lang w:val="pl-PL"/>
        </w:rPr>
        <w:t>.</w:t>
      </w:r>
    </w:p>
    <w:p w:rsidR="00110FEE" w:rsidRPr="002C5541" w:rsidRDefault="00110FEE" w:rsidP="00F25813">
      <w:pPr>
        <w:pStyle w:val="ECHRHeading6"/>
        <w:outlineLvl w:val="6"/>
        <w:rPr>
          <w:i/>
          <w:iCs/>
          <w:lang w:val="pl-PL"/>
        </w:rPr>
      </w:pPr>
      <w:r>
        <w:rPr>
          <w:i/>
          <w:iCs/>
          <w:lang w:val="pl-PL"/>
        </w:rPr>
        <w:t>Czy Cypr miał obowiązek podjąć inne formy współpracy zgodnie z sugestiami</w:t>
      </w:r>
      <w:r w:rsidRPr="002C5541">
        <w:rPr>
          <w:i/>
          <w:iCs/>
          <w:lang w:val="pl-PL"/>
        </w:rPr>
        <w:t xml:space="preserve"> UNFICYP?</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256</w:t>
      </w:r>
      <w:r w:rsidRPr="002C5541">
        <w:rPr>
          <w:lang w:val="pl-PL"/>
        </w:rPr>
        <w:fldChar w:fldCharType="end"/>
      </w:r>
      <w:r w:rsidRPr="002C5541">
        <w:rPr>
          <w:lang w:val="pl-PL"/>
        </w:rPr>
        <w:t>.</w:t>
      </w:r>
      <w:r>
        <w:rPr>
          <w:lang w:val="pl-PL"/>
        </w:rPr>
        <w:t xml:space="preserve"> Trybunał zaznacza, że w kontekście czynności mediacyjnych przeprowadzanych przez </w:t>
      </w:r>
      <w:r w:rsidRPr="002C5541">
        <w:rPr>
          <w:lang w:val="pl-PL"/>
        </w:rPr>
        <w:t xml:space="preserve">UNFICYP </w:t>
      </w:r>
      <w:r>
        <w:rPr>
          <w:lang w:val="pl-PL"/>
        </w:rPr>
        <w:t>zasugerowano podjęcie poniższych form współpracy w celu znalezienia kompromisowego rozwiązania między Cyprem a władzami „</w:t>
      </w:r>
      <w:r w:rsidRPr="002C5541">
        <w:rPr>
          <w:lang w:val="pl-PL"/>
        </w:rPr>
        <w:t xml:space="preserve">TRPC”: </w:t>
      </w:r>
      <w:r>
        <w:rPr>
          <w:lang w:val="pl-PL"/>
        </w:rPr>
        <w:t>spotkania policji obu stron i policji brytyjskich suwerennych baz wojskowych w strefie buforowej ONZ</w:t>
      </w:r>
      <w:r w:rsidRPr="002C5541">
        <w:rPr>
          <w:lang w:val="pl-PL"/>
        </w:rPr>
        <w:t xml:space="preserve">, </w:t>
      </w:r>
      <w:r>
        <w:rPr>
          <w:lang w:val="pl-PL"/>
        </w:rPr>
        <w:t xml:space="preserve">przesłuchanie podejrzanych w hotelu </w:t>
      </w:r>
      <w:r w:rsidRPr="002C5541">
        <w:rPr>
          <w:lang w:val="pl-PL"/>
        </w:rPr>
        <w:t xml:space="preserve">Ledra Palace </w:t>
      </w:r>
      <w:r w:rsidRPr="00805DA8">
        <w:rPr>
          <w:lang w:val="pl-PL"/>
        </w:rPr>
        <w:t xml:space="preserve">w strefie buforowej ONZ </w:t>
      </w:r>
      <w:r>
        <w:rPr>
          <w:lang w:val="pl-PL"/>
        </w:rPr>
        <w:t>poprzez „nagrywanie przesłuchania w formie wideo</w:t>
      </w:r>
      <w:r w:rsidRPr="002C5541">
        <w:rPr>
          <w:lang w:val="pl-PL"/>
        </w:rPr>
        <w:t xml:space="preserve">”, </w:t>
      </w:r>
      <w:r>
        <w:rPr>
          <w:lang w:val="pl-PL"/>
        </w:rPr>
        <w:t>możliwość</w:t>
      </w:r>
      <w:r w:rsidRPr="002C5541">
        <w:rPr>
          <w:lang w:val="pl-PL"/>
        </w:rPr>
        <w:t xml:space="preserve"> </w:t>
      </w:r>
      <w:r w:rsidRPr="00805DA8">
        <w:rPr>
          <w:lang w:val="pl-PL"/>
        </w:rPr>
        <w:t xml:space="preserve">porozumienia </w:t>
      </w:r>
      <w:r w:rsidRPr="00805DA8">
        <w:rPr>
          <w:i/>
          <w:iCs/>
          <w:lang w:val="pl-PL"/>
        </w:rPr>
        <w:t>ad hoc</w:t>
      </w:r>
      <w:r w:rsidRPr="00805DA8">
        <w:rPr>
          <w:lang w:val="pl-PL"/>
        </w:rPr>
        <w:t xml:space="preserve"> lub procesu sądowego na neutralnym obszarze</w:t>
      </w:r>
      <w:r w:rsidRPr="002C5541">
        <w:rPr>
          <w:lang w:val="pl-PL"/>
        </w:rPr>
        <w:t xml:space="preserve">, </w:t>
      </w:r>
      <w:r>
        <w:rPr>
          <w:lang w:val="pl-PL"/>
        </w:rPr>
        <w:t xml:space="preserve">przekazanie podejrzanych do Państwa trzeciego i rozpoznanie sprawy na poziomie służb technicznych (zob. pkt </w:t>
      </w:r>
      <w:r w:rsidRPr="002C5541">
        <w:rPr>
          <w:lang w:val="pl-PL"/>
        </w:rPr>
        <w:t xml:space="preserve">122, 125, 126, 128 </w:t>
      </w:r>
      <w:r>
        <w:rPr>
          <w:lang w:val="pl-PL"/>
        </w:rPr>
        <w:t>powyżej</w:t>
      </w:r>
      <w:r w:rsidRPr="002C5541">
        <w:rPr>
          <w:lang w:val="pl-PL"/>
        </w:rPr>
        <w:t xml:space="preserve">). </w:t>
      </w:r>
      <w:r>
        <w:rPr>
          <w:lang w:val="pl-PL"/>
        </w:rPr>
        <w:t>Trybunał nie widzi jednak, jak te inne formy współpracy mogły same przez się umożliwić ściganie i ukaranie podejrzanych</w:t>
      </w:r>
      <w:r w:rsidRPr="002C5541">
        <w:rPr>
          <w:lang w:val="pl-PL"/>
        </w:rPr>
        <w:t xml:space="preserve">. </w:t>
      </w:r>
      <w:r>
        <w:rPr>
          <w:lang w:val="pl-PL"/>
        </w:rPr>
        <w:t>Nie udowodniono przed Trybunałem, że te alternatywy, w szczególności zorganizowanie procesu</w:t>
      </w:r>
      <w:r w:rsidRPr="002C5541">
        <w:rPr>
          <w:lang w:val="pl-PL"/>
        </w:rPr>
        <w:t xml:space="preserve"> </w:t>
      </w:r>
      <w:r w:rsidRPr="002C5541">
        <w:rPr>
          <w:i/>
          <w:iCs/>
          <w:lang w:val="pl-PL"/>
        </w:rPr>
        <w:t xml:space="preserve">ad hoc </w:t>
      </w:r>
      <w:r w:rsidRPr="00805DA8">
        <w:rPr>
          <w:lang w:val="pl-PL"/>
        </w:rPr>
        <w:t>na neutralnym obszarze</w:t>
      </w:r>
      <w:r w:rsidRPr="002C5541">
        <w:rPr>
          <w:lang w:val="pl-PL"/>
        </w:rPr>
        <w:t xml:space="preserve">, </w:t>
      </w:r>
      <w:r>
        <w:rPr>
          <w:lang w:val="pl-PL"/>
        </w:rPr>
        <w:t xml:space="preserve">miałyby wystarczające umocowanie w prawie krajowym lub międzynarodowym. W tych okolicznościach Trybunał nie uważa, że Cypr miał obowiązek, na podstawie art. 2, podjęcia form współpracy innych niż te wskazane w pkt </w:t>
      </w:r>
      <w:r w:rsidRPr="002C5541">
        <w:rPr>
          <w:lang w:val="pl-PL"/>
        </w:rPr>
        <w:t xml:space="preserve">241-255 </w:t>
      </w:r>
      <w:r>
        <w:rPr>
          <w:lang w:val="pl-PL"/>
        </w:rPr>
        <w:t>powyżej</w:t>
      </w:r>
      <w:r w:rsidRPr="002C5541">
        <w:rPr>
          <w:lang w:val="pl-PL"/>
        </w:rPr>
        <w:t>.</w:t>
      </w:r>
    </w:p>
    <w:p w:rsidR="00110FEE" w:rsidRPr="002C5541" w:rsidRDefault="00110FEE" w:rsidP="00F25813">
      <w:pPr>
        <w:pStyle w:val="ECHRHeading6"/>
        <w:outlineLvl w:val="6"/>
        <w:rPr>
          <w:i/>
          <w:iCs/>
          <w:lang w:val="pl-PL"/>
        </w:rPr>
      </w:pPr>
      <w:r>
        <w:rPr>
          <w:i/>
          <w:iCs/>
          <w:lang w:val="pl-PL"/>
        </w:rPr>
        <w:t>Wniosek</w:t>
      </w:r>
    </w:p>
    <w:p w:rsidR="00110FEE" w:rsidRPr="002C5541" w:rsidRDefault="00110FEE" w:rsidP="00AF047A">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257</w:t>
      </w:r>
      <w:r w:rsidRPr="002C5541">
        <w:rPr>
          <w:lang w:val="pl-PL"/>
        </w:rPr>
        <w:fldChar w:fldCharType="end"/>
      </w:r>
      <w:r w:rsidRPr="002C5541">
        <w:rPr>
          <w:lang w:val="pl-PL"/>
        </w:rPr>
        <w:t>.</w:t>
      </w:r>
      <w:r>
        <w:rPr>
          <w:lang w:val="pl-PL"/>
        </w:rPr>
        <w:t xml:space="preserve"> Podsumowując</w:t>
      </w:r>
      <w:r w:rsidRPr="002C5541">
        <w:rPr>
          <w:lang w:val="pl-PL"/>
        </w:rPr>
        <w:t xml:space="preserve">, </w:t>
      </w:r>
      <w:r>
        <w:rPr>
          <w:lang w:val="pl-PL"/>
        </w:rPr>
        <w:t>jeśli chodzi o obowiązek współpracy, Trybunał wskazuje, że Cypr nie dopuścił się naruszenia aspektów proceduralnych art. 2 Konwencji – zarówno w zakresie wykorzystania wszelkich zasadnych środków w celu zabezpieczenia wydania podejrzanych, jak i w odniesieniu do odmowy przekazania wszystkich dowodów do władz „</w:t>
      </w:r>
      <w:r w:rsidRPr="002C5541">
        <w:rPr>
          <w:lang w:val="pl-PL"/>
        </w:rPr>
        <w:t xml:space="preserve">TRPC” </w:t>
      </w:r>
      <w:r>
        <w:rPr>
          <w:lang w:val="pl-PL"/>
        </w:rPr>
        <w:t>lub Turcji</w:t>
      </w:r>
      <w:r w:rsidRPr="002C5541">
        <w:rPr>
          <w:lang w:val="pl-PL"/>
        </w:rPr>
        <w:t>.</w:t>
      </w:r>
    </w:p>
    <w:p w:rsidR="00110FEE" w:rsidRPr="002C5541" w:rsidRDefault="00110FEE" w:rsidP="00F25813">
      <w:pPr>
        <w:pStyle w:val="ECHRHeading6"/>
        <w:outlineLvl w:val="6"/>
        <w:rPr>
          <w:lang w:val="pl-PL"/>
        </w:rPr>
      </w:pPr>
      <w:bookmarkStart w:id="4" w:name="_Toc430944111"/>
      <w:r w:rsidRPr="002C5541">
        <w:rPr>
          <w:lang w:val="pl-PL"/>
        </w:rPr>
        <w:t>(β)</w:t>
      </w:r>
      <w:r>
        <w:rPr>
          <w:lang w:val="pl-PL"/>
        </w:rPr>
        <w:t xml:space="preserve"> </w:t>
      </w:r>
      <w:bookmarkEnd w:id="4"/>
      <w:r>
        <w:rPr>
          <w:lang w:val="pl-PL"/>
        </w:rPr>
        <w:t>Turcja</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258</w:t>
      </w:r>
      <w:r w:rsidRPr="002C5541">
        <w:rPr>
          <w:lang w:val="pl-PL"/>
        </w:rPr>
        <w:fldChar w:fldCharType="end"/>
      </w:r>
      <w:r w:rsidRPr="002C5541">
        <w:rPr>
          <w:lang w:val="pl-PL"/>
        </w:rPr>
        <w:t>.</w:t>
      </w:r>
      <w:r>
        <w:rPr>
          <w:lang w:val="pl-PL"/>
        </w:rPr>
        <w:t xml:space="preserve"> Trybunał musi teraz ustalić, czy Turcja spełniła ciążący na niej obowiązek współpracy z Cyprem, biorąc pod uwagę, że podejrzani znajdowali się w „</w:t>
      </w:r>
      <w:r w:rsidRPr="002C5541">
        <w:rPr>
          <w:lang w:val="pl-PL"/>
        </w:rPr>
        <w:t xml:space="preserve">TRPC” </w:t>
      </w:r>
      <w:r>
        <w:rPr>
          <w:lang w:val="pl-PL"/>
        </w:rPr>
        <w:t>lub w Turcji oraz że Cypr złożył wnioski o ich wydanie, a następnie ekstradycję</w:t>
      </w:r>
      <w:r w:rsidRPr="002C5541">
        <w:rPr>
          <w:lang w:val="pl-PL"/>
        </w:rPr>
        <w:t>.</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259</w:t>
      </w:r>
      <w:r w:rsidRPr="002C5541">
        <w:rPr>
          <w:lang w:val="pl-PL"/>
        </w:rPr>
        <w:fldChar w:fldCharType="end"/>
      </w:r>
      <w:r w:rsidRPr="002C5541">
        <w:rPr>
          <w:lang w:val="pl-PL"/>
        </w:rPr>
        <w:t>.</w:t>
      </w:r>
      <w:r>
        <w:rPr>
          <w:lang w:val="pl-PL"/>
        </w:rPr>
        <w:t xml:space="preserve"> Trybunał zaznacza na wstępie, że w trakcie prób podejmowanych w celu zawarcia porozumienia za pośrednictwem </w:t>
      </w:r>
      <w:r w:rsidRPr="002C5541">
        <w:rPr>
          <w:lang w:val="pl-PL"/>
        </w:rPr>
        <w:t>UNFICYP</w:t>
      </w:r>
      <w:r>
        <w:rPr>
          <w:lang w:val="pl-PL"/>
        </w:rPr>
        <w:t xml:space="preserve"> władze</w:t>
      </w:r>
      <w:r w:rsidRPr="002C5541">
        <w:rPr>
          <w:lang w:val="pl-PL"/>
        </w:rPr>
        <w:t xml:space="preserve"> </w:t>
      </w:r>
      <w:r>
        <w:rPr>
          <w:lang w:val="pl-PL"/>
        </w:rPr>
        <w:t>„</w:t>
      </w:r>
      <w:r w:rsidRPr="002C5541">
        <w:rPr>
          <w:lang w:val="pl-PL"/>
        </w:rPr>
        <w:t xml:space="preserve">TRPC” </w:t>
      </w:r>
      <w:r>
        <w:rPr>
          <w:lang w:val="pl-PL"/>
        </w:rPr>
        <w:t xml:space="preserve">już na wczesnym etapie dały do zrozumienia, że nie mogą wydać podejrzanych Cyprowi za pośrednictwem </w:t>
      </w:r>
      <w:r w:rsidRPr="002C5541">
        <w:rPr>
          <w:lang w:val="pl-PL"/>
        </w:rPr>
        <w:t xml:space="preserve">UNFICYP </w:t>
      </w:r>
      <w:r>
        <w:rPr>
          <w:lang w:val="pl-PL"/>
        </w:rPr>
        <w:t>lub Turcji, nie ma bowiem żadnej ustawowej ani konstytucyjnej podstawy, żeby to uczynić</w:t>
      </w:r>
      <w:r w:rsidRPr="002C5541">
        <w:rPr>
          <w:lang w:val="pl-PL"/>
        </w:rPr>
        <w:t xml:space="preserve">. </w:t>
      </w:r>
      <w:r>
        <w:rPr>
          <w:lang w:val="pl-PL"/>
        </w:rPr>
        <w:t xml:space="preserve">Oparły się zwłaszcza na konstytucji Cypru z 1960 r., która wymagała, żeby Turek cypryjski był sądzony przez sędziów pochodzenia turecko-cypryjskiego (zob. pkt </w:t>
      </w:r>
      <w:r w:rsidRPr="002C5541">
        <w:rPr>
          <w:lang w:val="pl-PL"/>
        </w:rPr>
        <w:t xml:space="preserve">112, 114, 120 </w:t>
      </w:r>
      <w:r>
        <w:rPr>
          <w:lang w:val="pl-PL"/>
        </w:rPr>
        <w:t>i</w:t>
      </w:r>
      <w:r w:rsidRPr="002C5541">
        <w:rPr>
          <w:lang w:val="pl-PL"/>
        </w:rPr>
        <w:t xml:space="preserve"> 142 </w:t>
      </w:r>
      <w:r w:rsidRPr="005D1BD4">
        <w:rPr>
          <w:lang w:val="pl-PL"/>
        </w:rPr>
        <w:t>powyżej</w:t>
      </w:r>
      <w:r w:rsidRPr="002C5541">
        <w:rPr>
          <w:lang w:val="pl-PL"/>
        </w:rPr>
        <w:t>).</w:t>
      </w:r>
      <w:r>
        <w:rPr>
          <w:lang w:val="pl-PL"/>
        </w:rPr>
        <w:t xml:space="preserve"> Turcja wskazała również </w:t>
      </w:r>
      <w:r w:rsidRPr="005D1BD4">
        <w:rPr>
          <w:lang w:val="pl-PL"/>
        </w:rPr>
        <w:t>za pośrednictwem</w:t>
      </w:r>
      <w:r>
        <w:rPr>
          <w:lang w:val="pl-PL"/>
        </w:rPr>
        <w:t xml:space="preserve"> Interpolu, że nie ma możliwości przeprowadzenia ekstradycji piątego podejrzanego, jako że jest on obywatelem tureckim, zaś zgodnie z prawem krajowym ekstradycja obywateli tureckich jest zakazana</w:t>
      </w:r>
      <w:r w:rsidRPr="002C5541">
        <w:rPr>
          <w:lang w:val="pl-PL"/>
        </w:rPr>
        <w:t xml:space="preserve"> (</w:t>
      </w:r>
      <w:r>
        <w:rPr>
          <w:lang w:val="pl-PL"/>
        </w:rPr>
        <w:t xml:space="preserve">zob. pkt </w:t>
      </w:r>
      <w:r w:rsidRPr="002C5541">
        <w:rPr>
          <w:lang w:val="pl-PL"/>
        </w:rPr>
        <w:t xml:space="preserve">93 </w:t>
      </w:r>
      <w:r>
        <w:rPr>
          <w:lang w:val="pl-PL"/>
        </w:rPr>
        <w:t>i</w:t>
      </w:r>
      <w:r w:rsidRPr="002C5541">
        <w:rPr>
          <w:lang w:val="pl-PL"/>
        </w:rPr>
        <w:t xml:space="preserve"> 138 </w:t>
      </w:r>
      <w:r>
        <w:rPr>
          <w:lang w:val="pl-PL"/>
        </w:rPr>
        <w:t>powyżej</w:t>
      </w:r>
      <w:r w:rsidRPr="002C5541">
        <w:rPr>
          <w:lang w:val="pl-PL"/>
        </w:rPr>
        <w:t>).</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260</w:t>
      </w:r>
      <w:r w:rsidRPr="002C5541">
        <w:rPr>
          <w:lang w:val="pl-PL"/>
        </w:rPr>
        <w:fldChar w:fldCharType="end"/>
      </w:r>
      <w:r w:rsidRPr="002C5541">
        <w:rPr>
          <w:lang w:val="pl-PL"/>
        </w:rPr>
        <w:t>.</w:t>
      </w:r>
      <w:r>
        <w:rPr>
          <w:lang w:val="pl-PL"/>
        </w:rPr>
        <w:t xml:space="preserve"> Trybunał wskazuje także, że władze „</w:t>
      </w:r>
      <w:r w:rsidRPr="002C5541">
        <w:rPr>
          <w:lang w:val="pl-PL"/>
        </w:rPr>
        <w:t xml:space="preserve">TRPC” </w:t>
      </w:r>
      <w:r>
        <w:rPr>
          <w:lang w:val="pl-PL"/>
        </w:rPr>
        <w:t xml:space="preserve">w pewnym momencie wspomniały, że warunkiem wstępnym rozważenia ekstradycji podejrzanych jest przekazanie dowodów przez Cypr </w:t>
      </w:r>
      <w:r w:rsidRPr="002C5541">
        <w:rPr>
          <w:lang w:val="pl-PL"/>
        </w:rPr>
        <w:t>(</w:t>
      </w:r>
      <w:r>
        <w:rPr>
          <w:lang w:val="pl-PL"/>
        </w:rPr>
        <w:t>zob. pkt</w:t>
      </w:r>
      <w:r w:rsidRPr="002C5541">
        <w:rPr>
          <w:lang w:val="pl-PL"/>
        </w:rPr>
        <w:t xml:space="preserve"> 110 </w:t>
      </w:r>
      <w:r>
        <w:rPr>
          <w:lang w:val="pl-PL"/>
        </w:rPr>
        <w:t>powyżej</w:t>
      </w:r>
      <w:r w:rsidRPr="002C5541">
        <w:rPr>
          <w:lang w:val="pl-PL"/>
        </w:rPr>
        <w:t xml:space="preserve">). </w:t>
      </w:r>
      <w:r>
        <w:rPr>
          <w:lang w:val="pl-PL"/>
        </w:rPr>
        <w:t>Trybunał zwraca uwagę w tej kwestii, że między „TRPC” a Cyprem nie mogłoby dojść do formalnej ekstradycji, jako że „</w:t>
      </w:r>
      <w:r w:rsidRPr="009E6F77">
        <w:rPr>
          <w:lang w:val="pl-PL"/>
        </w:rPr>
        <w:t>TRPC</w:t>
      </w:r>
      <w:r>
        <w:rPr>
          <w:lang w:val="pl-PL"/>
        </w:rPr>
        <w:t>” nie jest uznawana jako Państwo przez wspólnotę międzynarodową</w:t>
      </w:r>
      <w:r w:rsidRPr="002C5541">
        <w:rPr>
          <w:lang w:val="pl-PL"/>
        </w:rPr>
        <w:t xml:space="preserve">. </w:t>
      </w:r>
      <w:r>
        <w:rPr>
          <w:lang w:val="pl-PL"/>
        </w:rPr>
        <w:t>W każdy razie fakt, że władze „</w:t>
      </w:r>
      <w:r w:rsidRPr="002C5541">
        <w:rPr>
          <w:lang w:val="pl-PL"/>
        </w:rPr>
        <w:t xml:space="preserve">TRPC” </w:t>
      </w:r>
      <w:r>
        <w:rPr>
          <w:lang w:val="pl-PL"/>
        </w:rPr>
        <w:t>nalegały na otrzymanie wszystkich dowodów od Cypru, był bardziej związany z koniecznością uzasadnienia dalszego przetrzymywania podejrzanych w celu wszczęcia procesu przeciwko nim</w:t>
      </w:r>
      <w:r w:rsidRPr="002C5541">
        <w:rPr>
          <w:lang w:val="pl-PL"/>
        </w:rPr>
        <w:t xml:space="preserve">. </w:t>
      </w:r>
      <w:r>
        <w:rPr>
          <w:lang w:val="pl-PL"/>
        </w:rPr>
        <w:t>Trybunał ustalił już powyżej, że Cypr nie miał obowiązku w tych okoliczności dostarczyć wszystkich dowodów do władz „</w:t>
      </w:r>
      <w:r w:rsidRPr="002C5541">
        <w:rPr>
          <w:lang w:val="pl-PL"/>
        </w:rPr>
        <w:t xml:space="preserve">TRPC” </w:t>
      </w:r>
      <w:r>
        <w:rPr>
          <w:lang w:val="pl-PL"/>
        </w:rPr>
        <w:t xml:space="preserve">ze względów wskazanych w pkt </w:t>
      </w:r>
      <w:r w:rsidRPr="002C5541">
        <w:rPr>
          <w:lang w:val="pl-PL"/>
        </w:rPr>
        <w:t xml:space="preserve">246-55 </w:t>
      </w:r>
      <w:r>
        <w:rPr>
          <w:lang w:val="pl-PL"/>
        </w:rPr>
        <w:t>powyżej</w:t>
      </w:r>
      <w:r w:rsidRPr="002C5541">
        <w:rPr>
          <w:lang w:val="pl-PL"/>
        </w:rPr>
        <w:t>.</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261</w:t>
      </w:r>
      <w:r w:rsidRPr="002C5541">
        <w:rPr>
          <w:lang w:val="pl-PL"/>
        </w:rPr>
        <w:fldChar w:fldCharType="end"/>
      </w:r>
      <w:r w:rsidRPr="002C5541">
        <w:rPr>
          <w:lang w:val="pl-PL"/>
        </w:rPr>
        <w:t>.</w:t>
      </w:r>
      <w:r>
        <w:rPr>
          <w:lang w:val="pl-PL"/>
        </w:rPr>
        <w:t xml:space="preserve"> Żeby odpowiedzieć na pytanie, czy Turcja zrealizowała ciążący na niej obowiązek współpracy z Cyprem, Trybunał</w:t>
      </w:r>
      <w:r w:rsidRPr="002C5541">
        <w:rPr>
          <w:lang w:val="pl-PL"/>
        </w:rPr>
        <w:t xml:space="preserve"> </w:t>
      </w:r>
      <w:r>
        <w:rPr>
          <w:lang w:val="pl-PL"/>
        </w:rPr>
        <w:t>musi skupić swoją uwagę na wnioskach o ekstradycję wobec sześciu podejrzanych</w:t>
      </w:r>
      <w:r w:rsidRPr="002C5541">
        <w:rPr>
          <w:lang w:val="pl-PL"/>
        </w:rPr>
        <w:t xml:space="preserve">, </w:t>
      </w:r>
      <w:r w:rsidRPr="00BE0DB5">
        <w:rPr>
          <w:lang w:val="pl-PL"/>
        </w:rPr>
        <w:t>złożony</w:t>
      </w:r>
      <w:r>
        <w:rPr>
          <w:lang w:val="pl-PL"/>
        </w:rPr>
        <w:t>ch</w:t>
      </w:r>
      <w:r w:rsidRPr="00BE0DB5">
        <w:rPr>
          <w:lang w:val="pl-PL"/>
        </w:rPr>
        <w:t xml:space="preserve"> przez Cypr w listopadzie 2008 r.</w:t>
      </w:r>
      <w:r>
        <w:rPr>
          <w:lang w:val="pl-PL"/>
        </w:rPr>
        <w:t xml:space="preserve"> po wyczerpaniu wszelkich możliwości uzyskania ich wydania przez „</w:t>
      </w:r>
      <w:r w:rsidRPr="002C5541">
        <w:rPr>
          <w:lang w:val="pl-PL"/>
        </w:rPr>
        <w:t xml:space="preserve">TRPC” </w:t>
      </w:r>
      <w:r>
        <w:rPr>
          <w:lang w:val="pl-PL"/>
        </w:rPr>
        <w:t>za pośrednictwem</w:t>
      </w:r>
      <w:r w:rsidRPr="002C5541">
        <w:rPr>
          <w:lang w:val="pl-PL"/>
        </w:rPr>
        <w:t xml:space="preserve"> UNFICYP. </w:t>
      </w:r>
      <w:r>
        <w:rPr>
          <w:lang w:val="pl-PL"/>
        </w:rPr>
        <w:t xml:space="preserve">Trybunał odrzucił już argument podnoszony przez Rząd Turecki, że te wnioski o ekstradycję były nieważne, jako że nie zostały złożone „w drodze dyplomatycznej” (zob. pkt </w:t>
      </w:r>
      <w:r w:rsidRPr="002C5541">
        <w:rPr>
          <w:lang w:val="pl-PL"/>
        </w:rPr>
        <w:t xml:space="preserve">244 </w:t>
      </w:r>
      <w:r>
        <w:rPr>
          <w:lang w:val="pl-PL"/>
        </w:rPr>
        <w:t>powyżej</w:t>
      </w:r>
      <w:r w:rsidRPr="002C5541">
        <w:rPr>
          <w:lang w:val="pl-PL"/>
        </w:rPr>
        <w:t xml:space="preserve">). </w:t>
      </w:r>
      <w:r>
        <w:rPr>
          <w:lang w:val="pl-PL"/>
        </w:rPr>
        <w:t>Nie może zatem przyjąć tego argumentu jako zasadnego powodu nierozpatrzenia wniosków o ekstradycję</w:t>
      </w:r>
      <w:r w:rsidRPr="002C5541">
        <w:rPr>
          <w:lang w:val="pl-PL"/>
        </w:rPr>
        <w:t>.</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262</w:t>
      </w:r>
      <w:r w:rsidRPr="002C5541">
        <w:rPr>
          <w:lang w:val="pl-PL"/>
        </w:rPr>
        <w:fldChar w:fldCharType="end"/>
      </w:r>
      <w:r w:rsidRPr="002C5541">
        <w:rPr>
          <w:lang w:val="pl-PL"/>
        </w:rPr>
        <w:t>.</w:t>
      </w:r>
      <w:r>
        <w:rPr>
          <w:lang w:val="pl-PL"/>
        </w:rPr>
        <w:t xml:space="preserve"> Trybunał zaznacza po pierwsze, że Turcja zignorowała wnioski o ekstradycję złożone przez Cypr dnia 4 listopada 2008 r</w:t>
      </w:r>
      <w:r w:rsidRPr="002C5541">
        <w:rPr>
          <w:lang w:val="pl-PL"/>
        </w:rPr>
        <w:t xml:space="preserve">. </w:t>
      </w:r>
      <w:r>
        <w:rPr>
          <w:lang w:val="pl-PL"/>
        </w:rPr>
        <w:t>Dnia</w:t>
      </w:r>
      <w:r w:rsidRPr="002C5541">
        <w:rPr>
          <w:lang w:val="pl-PL"/>
        </w:rPr>
        <w:t xml:space="preserve"> 11 </w:t>
      </w:r>
      <w:r>
        <w:rPr>
          <w:lang w:val="pl-PL"/>
        </w:rPr>
        <w:t>listopada</w:t>
      </w:r>
      <w:r w:rsidRPr="002C5541">
        <w:rPr>
          <w:lang w:val="pl-PL"/>
        </w:rPr>
        <w:t xml:space="preserve"> 2008 </w:t>
      </w:r>
      <w:r>
        <w:rPr>
          <w:lang w:val="pl-PL"/>
        </w:rPr>
        <w:t xml:space="preserve">r. pracownik ambasady zwrócił bez odpowiedzi wnioski o ekstradycję i </w:t>
      </w:r>
      <w:r w:rsidRPr="002C5541">
        <w:rPr>
          <w:i/>
          <w:iCs/>
          <w:lang w:val="pl-PL"/>
        </w:rPr>
        <w:t xml:space="preserve">note verbale </w:t>
      </w:r>
      <w:r>
        <w:rPr>
          <w:lang w:val="pl-PL"/>
        </w:rPr>
        <w:t>z cypryjskiego Ministerstwa Sprawiedliwości i Porządku Publicznego do ambasady cypryjskiej w Atenach</w:t>
      </w:r>
      <w:r w:rsidRPr="002C5541">
        <w:rPr>
          <w:lang w:val="pl-PL"/>
        </w:rPr>
        <w:t xml:space="preserve">. </w:t>
      </w:r>
      <w:r>
        <w:rPr>
          <w:lang w:val="pl-PL"/>
        </w:rPr>
        <w:t>Pracownik zostawił kopertę i oddalił się pospiesznie. Po drugie, Rząd Turecki milczał przed Izbą w kwestii wniosków o ekstradycję z 2008 r. Dopiero przed Wielką Izbą podjął się dowodzenia, że wnioski o ekstradycję były nieważne na podstawie Konwencji o ekstradycji</w:t>
      </w:r>
      <w:r w:rsidRPr="002C5541">
        <w:rPr>
          <w:lang w:val="pl-PL"/>
        </w:rPr>
        <w:t>.</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263</w:t>
      </w:r>
      <w:r w:rsidRPr="002C5541">
        <w:rPr>
          <w:lang w:val="pl-PL"/>
        </w:rPr>
        <w:fldChar w:fldCharType="end"/>
      </w:r>
      <w:r w:rsidRPr="002C5541">
        <w:rPr>
          <w:lang w:val="pl-PL"/>
        </w:rPr>
        <w:t>.</w:t>
      </w:r>
      <w:r>
        <w:rPr>
          <w:lang w:val="pl-PL"/>
        </w:rPr>
        <w:t xml:space="preserve"> Zważywszy na określone powyżej zasady (zob. pkt </w:t>
      </w:r>
      <w:r w:rsidRPr="002C5541">
        <w:rPr>
          <w:lang w:val="pl-PL"/>
        </w:rPr>
        <w:t xml:space="preserve">238 </w:t>
      </w:r>
      <w:r>
        <w:rPr>
          <w:lang w:val="pl-PL"/>
        </w:rPr>
        <w:t xml:space="preserve">i </w:t>
      </w:r>
      <w:r w:rsidRPr="002C5541">
        <w:rPr>
          <w:lang w:val="pl-PL"/>
        </w:rPr>
        <w:t xml:space="preserve">240 </w:t>
      </w:r>
      <w:r>
        <w:rPr>
          <w:lang w:val="pl-PL"/>
        </w:rPr>
        <w:t>powyżej</w:t>
      </w:r>
      <w:r w:rsidRPr="002C5541">
        <w:rPr>
          <w:lang w:val="pl-PL"/>
        </w:rPr>
        <w:t>)</w:t>
      </w:r>
      <w:r>
        <w:rPr>
          <w:lang w:val="pl-PL"/>
        </w:rPr>
        <w:t xml:space="preserve"> i w takim zakresie, w jakim milczenie Turcji w sprawie wniosków o ekstradycję można rozumieć jako odmowę ekstradycji, Trybunał uznaje, że należało oczekiwać, iż władze tureckie wskażą, dlaczego ekstradycja nie mogła się odbyć na podstawie tureckiego prawa lub na podstawie </w:t>
      </w:r>
      <w:r w:rsidRPr="004C6768">
        <w:rPr>
          <w:lang w:val="pl-PL"/>
        </w:rPr>
        <w:t>Konwencji o ekstradycji</w:t>
      </w:r>
      <w:r w:rsidRPr="002C5541">
        <w:rPr>
          <w:lang w:val="pl-PL"/>
        </w:rPr>
        <w:t xml:space="preserve">. </w:t>
      </w:r>
      <w:r>
        <w:rPr>
          <w:lang w:val="pl-PL"/>
        </w:rPr>
        <w:t xml:space="preserve">W tym kwestii Trybunał zauważa, że art. </w:t>
      </w:r>
      <w:r w:rsidRPr="002C5541">
        <w:rPr>
          <w:lang w:val="pl-PL"/>
        </w:rPr>
        <w:t>18</w:t>
      </w:r>
      <w:r>
        <w:rPr>
          <w:lang w:val="pl-PL"/>
        </w:rPr>
        <w:t xml:space="preserve"> ust. 1 i ust. 2 </w:t>
      </w:r>
      <w:r w:rsidRPr="004C6768">
        <w:rPr>
          <w:lang w:val="pl-PL"/>
        </w:rPr>
        <w:t xml:space="preserve">Konwencji o ekstradycji </w:t>
      </w:r>
      <w:r>
        <w:rPr>
          <w:lang w:val="pl-PL"/>
        </w:rPr>
        <w:t xml:space="preserve">nakłada na </w:t>
      </w:r>
      <w:r w:rsidRPr="00DB2DE9">
        <w:rPr>
          <w:lang w:val="pl-PL"/>
        </w:rPr>
        <w:t xml:space="preserve">wezwane </w:t>
      </w:r>
      <w:r>
        <w:rPr>
          <w:lang w:val="pl-PL"/>
        </w:rPr>
        <w:t>Państwo obowiązek powiadomienia wzywającego Państwa o swojej decyzji odnośnie do ekstradycji i podania uzasadnienia, jeśli wniosek spotkał się z odpowiedzią odmowną</w:t>
      </w:r>
      <w:r w:rsidRPr="002C5541">
        <w:rPr>
          <w:lang w:val="pl-PL"/>
        </w:rPr>
        <w:t xml:space="preserve">. </w:t>
      </w:r>
      <w:r>
        <w:rPr>
          <w:lang w:val="pl-PL"/>
        </w:rPr>
        <w:t>Art. 13 tejże Konwencji przewiduje również, że w przypadku gdy</w:t>
      </w:r>
      <w:r w:rsidRPr="0014054A">
        <w:rPr>
          <w:lang w:val="pl-PL"/>
        </w:rPr>
        <w:t xml:space="preserve"> </w:t>
      </w:r>
      <w:r w:rsidRPr="004C6768">
        <w:rPr>
          <w:lang w:val="pl-PL"/>
        </w:rPr>
        <w:t xml:space="preserve">informacje przekazane przez </w:t>
      </w:r>
      <w:r>
        <w:rPr>
          <w:lang w:val="pl-PL"/>
        </w:rPr>
        <w:t>Państwo</w:t>
      </w:r>
      <w:r w:rsidRPr="004C6768">
        <w:rPr>
          <w:lang w:val="pl-PL"/>
        </w:rPr>
        <w:t xml:space="preserve"> wzywając</w:t>
      </w:r>
      <w:r>
        <w:rPr>
          <w:lang w:val="pl-PL"/>
        </w:rPr>
        <w:t>e</w:t>
      </w:r>
      <w:r w:rsidRPr="004C6768">
        <w:rPr>
          <w:lang w:val="pl-PL"/>
        </w:rPr>
        <w:t xml:space="preserve"> uznane będą za niewystarczające dla podjęcia przez </w:t>
      </w:r>
      <w:r>
        <w:rPr>
          <w:lang w:val="pl-PL"/>
        </w:rPr>
        <w:t>Państwo</w:t>
      </w:r>
      <w:r w:rsidRPr="004C6768">
        <w:rPr>
          <w:lang w:val="pl-PL"/>
        </w:rPr>
        <w:t xml:space="preserve"> wezwan</w:t>
      </w:r>
      <w:r>
        <w:rPr>
          <w:lang w:val="pl-PL"/>
        </w:rPr>
        <w:t>e</w:t>
      </w:r>
      <w:r w:rsidRPr="004C6768">
        <w:rPr>
          <w:lang w:val="pl-PL"/>
        </w:rPr>
        <w:t xml:space="preserve"> decyzji, </w:t>
      </w:r>
      <w:r>
        <w:rPr>
          <w:lang w:val="pl-PL"/>
        </w:rPr>
        <w:t>Państwo to</w:t>
      </w:r>
      <w:r w:rsidRPr="004C6768">
        <w:rPr>
          <w:lang w:val="pl-PL"/>
        </w:rPr>
        <w:t xml:space="preserve"> zwróci się o dostarczenie niezbędnych dodatkowych informacji </w:t>
      </w:r>
      <w:r w:rsidRPr="002C5541">
        <w:rPr>
          <w:lang w:val="pl-PL"/>
        </w:rPr>
        <w:t>(</w:t>
      </w:r>
      <w:r>
        <w:rPr>
          <w:lang w:val="pl-PL"/>
        </w:rPr>
        <w:t>zob. pkt</w:t>
      </w:r>
      <w:r w:rsidRPr="002C5541">
        <w:rPr>
          <w:lang w:val="pl-PL"/>
        </w:rPr>
        <w:t xml:space="preserve"> 147 </w:t>
      </w:r>
      <w:r>
        <w:rPr>
          <w:lang w:val="pl-PL"/>
        </w:rPr>
        <w:t>powyżej</w:t>
      </w:r>
      <w:r w:rsidRPr="002C5541">
        <w:rPr>
          <w:lang w:val="pl-PL"/>
        </w:rPr>
        <w:t>).</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264</w:t>
      </w:r>
      <w:r w:rsidRPr="002C5541">
        <w:rPr>
          <w:lang w:val="pl-PL"/>
        </w:rPr>
        <w:fldChar w:fldCharType="end"/>
      </w:r>
      <w:r w:rsidRPr="002C5541">
        <w:rPr>
          <w:lang w:val="pl-PL"/>
        </w:rPr>
        <w:t>.</w:t>
      </w:r>
      <w:r>
        <w:rPr>
          <w:lang w:val="pl-PL"/>
        </w:rPr>
        <w:t xml:space="preserve"> Trybunał jest zdania, że</w:t>
      </w:r>
      <w:r w:rsidRPr="002C5541">
        <w:rPr>
          <w:lang w:val="pl-PL"/>
        </w:rPr>
        <w:t xml:space="preserve"> </w:t>
      </w:r>
      <w:r w:rsidRPr="004C6768">
        <w:rPr>
          <w:lang w:val="pl-PL"/>
        </w:rPr>
        <w:t xml:space="preserve">obowiązek współpracy na podstawie art. 2 należy odczytywać w świetle przepisów Konwencji o ekstradycji </w:t>
      </w:r>
      <w:r>
        <w:rPr>
          <w:lang w:val="pl-PL"/>
        </w:rPr>
        <w:t xml:space="preserve">i </w:t>
      </w:r>
      <w:r w:rsidRPr="004C6768">
        <w:rPr>
          <w:lang w:val="pl-PL"/>
        </w:rPr>
        <w:t xml:space="preserve">w rezultacie oznacza dla Państwa obowiązek zbadania i przedstawienia uzasadnionej odpowiedzi na każdy </w:t>
      </w:r>
      <w:r>
        <w:rPr>
          <w:lang w:val="pl-PL"/>
        </w:rPr>
        <w:t xml:space="preserve">złożony przez inne Umawiające się Państwo </w:t>
      </w:r>
      <w:r w:rsidRPr="004C6768">
        <w:rPr>
          <w:lang w:val="pl-PL"/>
        </w:rPr>
        <w:t xml:space="preserve">wniosek o ekstradycję </w:t>
      </w:r>
      <w:r>
        <w:rPr>
          <w:lang w:val="pl-PL"/>
        </w:rPr>
        <w:t>podejrzanych</w:t>
      </w:r>
      <w:r w:rsidRPr="004C6768">
        <w:rPr>
          <w:lang w:val="pl-PL"/>
        </w:rPr>
        <w:t xml:space="preserve"> </w:t>
      </w:r>
      <w:r>
        <w:rPr>
          <w:lang w:val="pl-PL"/>
        </w:rPr>
        <w:t>o</w:t>
      </w:r>
      <w:r w:rsidRPr="004C6768">
        <w:rPr>
          <w:lang w:val="pl-PL"/>
        </w:rPr>
        <w:t xml:space="preserve"> morderstw</w:t>
      </w:r>
      <w:r>
        <w:rPr>
          <w:lang w:val="pl-PL"/>
        </w:rPr>
        <w:t>o</w:t>
      </w:r>
      <w:r w:rsidRPr="004C6768">
        <w:rPr>
          <w:lang w:val="pl-PL"/>
        </w:rPr>
        <w:t xml:space="preserve"> lub zabójstw</w:t>
      </w:r>
      <w:r>
        <w:rPr>
          <w:lang w:val="pl-PL"/>
        </w:rPr>
        <w:t>o</w:t>
      </w:r>
      <w:r w:rsidRPr="004C6768">
        <w:rPr>
          <w:lang w:val="pl-PL"/>
        </w:rPr>
        <w:t>, o których wiadomo, że znajdują się na jego terytorium lub pozostają pod jego jurysdykcją</w:t>
      </w:r>
      <w:r w:rsidRPr="002C5541">
        <w:rPr>
          <w:lang w:val="pl-PL"/>
        </w:rPr>
        <w:t>.</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265</w:t>
      </w:r>
      <w:r w:rsidRPr="002C5541">
        <w:rPr>
          <w:lang w:val="pl-PL"/>
        </w:rPr>
        <w:fldChar w:fldCharType="end"/>
      </w:r>
      <w:r w:rsidRPr="002C5541">
        <w:rPr>
          <w:lang w:val="pl-PL"/>
        </w:rPr>
        <w:t>.</w:t>
      </w:r>
      <w:r>
        <w:rPr>
          <w:lang w:val="pl-PL"/>
        </w:rPr>
        <w:t xml:space="preserve"> Ustalenia te wystarczają, żeby Trybunał doszedł do wniosku, iż Turcja nie podjęła minimalnych starań wymaganych w okolicznościach sprawy i z tego względu nie spełniła ciążącego na niej obowiązku współpracy z Cyprem na potrzeby skutecznego śledztwa w sprawie morderstwa krewnych skarżących. Powyższe sprawia, że nie ma potrzeby określać, czy Turcja w konkretnym stanie faktycznym sprawy była obowiązana do przeprowadzenia ekstradycji niektórych lub wszystkich podejrzanych zgodnie z wnioskiem Cypru</w:t>
      </w:r>
      <w:r w:rsidRPr="002C5541">
        <w:rPr>
          <w:lang w:val="pl-PL"/>
        </w:rPr>
        <w:t>.</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266</w:t>
      </w:r>
      <w:r w:rsidRPr="002C5541">
        <w:rPr>
          <w:lang w:val="pl-PL"/>
        </w:rPr>
        <w:fldChar w:fldCharType="end"/>
      </w:r>
      <w:r w:rsidRPr="002C5541">
        <w:rPr>
          <w:lang w:val="pl-PL"/>
        </w:rPr>
        <w:t>.</w:t>
      </w:r>
      <w:r>
        <w:rPr>
          <w:lang w:val="pl-PL"/>
        </w:rPr>
        <w:t xml:space="preserve"> Trybunał dochodzi zatem do wniosku, że Turcja naruszyła obowiązek współpracy na podstawie aspektów proceduralnych art. 2 ze względu na nieudzielenie odpowiedzi </w:t>
      </w:r>
      <w:r w:rsidRPr="003178E7">
        <w:rPr>
          <w:lang w:val="pl-PL"/>
        </w:rPr>
        <w:t xml:space="preserve">wraz z uzasadnieniem </w:t>
      </w:r>
      <w:r>
        <w:rPr>
          <w:lang w:val="pl-PL"/>
        </w:rPr>
        <w:t>na wnioski o ekstradycję złożone przez Cypr</w:t>
      </w:r>
      <w:r w:rsidRPr="002C5541">
        <w:rPr>
          <w:lang w:val="pl-PL"/>
        </w:rPr>
        <w:t>.</w:t>
      </w:r>
    </w:p>
    <w:p w:rsidR="00110FEE" w:rsidRPr="002C5541" w:rsidRDefault="00110FEE" w:rsidP="00F25813">
      <w:pPr>
        <w:pStyle w:val="ECHRHeading4"/>
        <w:rPr>
          <w:lang w:val="pl-PL"/>
        </w:rPr>
      </w:pPr>
      <w:r w:rsidRPr="002C5541" w:rsidDel="00C63688">
        <w:rPr>
          <w:lang w:val="pl-PL"/>
        </w:rPr>
        <w:t xml:space="preserve"> </w:t>
      </w:r>
      <w:r w:rsidRPr="002C5541">
        <w:rPr>
          <w:lang w:val="pl-PL"/>
        </w:rPr>
        <w:t>(c)</w:t>
      </w:r>
      <w:r>
        <w:rPr>
          <w:lang w:val="pl-PL"/>
        </w:rPr>
        <w:t xml:space="preserve"> Ogólne wnioski dotyczące </w:t>
      </w:r>
      <w:r w:rsidRPr="00DB2DE9">
        <w:rPr>
          <w:lang w:val="pl-PL"/>
        </w:rPr>
        <w:t xml:space="preserve">obowiązków </w:t>
      </w:r>
      <w:r>
        <w:rPr>
          <w:lang w:val="pl-PL"/>
        </w:rPr>
        <w:t>proceduralnych na podstawie art. 2</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267</w:t>
      </w:r>
      <w:r w:rsidRPr="002C5541">
        <w:rPr>
          <w:lang w:val="pl-PL"/>
        </w:rPr>
        <w:fldChar w:fldCharType="end"/>
      </w:r>
      <w:r w:rsidRPr="002C5541">
        <w:rPr>
          <w:lang w:val="pl-PL"/>
        </w:rPr>
        <w:t>.</w:t>
      </w:r>
      <w:r>
        <w:rPr>
          <w:lang w:val="pl-PL"/>
        </w:rPr>
        <w:t xml:space="preserve"> Biorąc pod uwagę powyższe ustalenia (pkt</w:t>
      </w:r>
      <w:r w:rsidRPr="002C5541">
        <w:rPr>
          <w:lang w:val="pl-PL"/>
        </w:rPr>
        <w:t xml:space="preserve"> 221 </w:t>
      </w:r>
      <w:r>
        <w:rPr>
          <w:lang w:val="pl-PL"/>
        </w:rPr>
        <w:t>i</w:t>
      </w:r>
      <w:r w:rsidRPr="002C5541">
        <w:rPr>
          <w:lang w:val="pl-PL"/>
        </w:rPr>
        <w:t xml:space="preserve"> 257), </w:t>
      </w:r>
      <w:r>
        <w:rPr>
          <w:lang w:val="pl-PL"/>
        </w:rPr>
        <w:t>Trybunał dochodzi do wniosku, że Cypr nie dopuścił się naruszenia proceduralnego aspektu art. 2 Konwencji</w:t>
      </w:r>
      <w:r w:rsidRPr="002C5541">
        <w:rPr>
          <w:lang w:val="pl-PL"/>
        </w:rPr>
        <w:t>.</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268</w:t>
      </w:r>
      <w:r w:rsidRPr="002C5541">
        <w:rPr>
          <w:lang w:val="pl-PL"/>
        </w:rPr>
        <w:fldChar w:fldCharType="end"/>
      </w:r>
      <w:r w:rsidRPr="002C5541">
        <w:rPr>
          <w:lang w:val="pl-PL"/>
        </w:rPr>
        <w:t>.</w:t>
      </w:r>
      <w:r>
        <w:rPr>
          <w:lang w:val="pl-PL"/>
        </w:rPr>
        <w:t xml:space="preserve"> Zważywszy na podstawy, na jakich Trybunał stwierdził, że Turcja naruszyła obowiązek współpracy z Cyprem</w:t>
      </w:r>
      <w:r w:rsidRPr="002C5541">
        <w:rPr>
          <w:lang w:val="pl-PL"/>
        </w:rPr>
        <w:t xml:space="preserve"> (</w:t>
      </w:r>
      <w:r>
        <w:rPr>
          <w:lang w:val="pl-PL"/>
        </w:rPr>
        <w:t>pkt</w:t>
      </w:r>
      <w:r w:rsidRPr="002C5541">
        <w:rPr>
          <w:lang w:val="pl-PL"/>
        </w:rPr>
        <w:t xml:space="preserve"> 266 </w:t>
      </w:r>
      <w:r>
        <w:rPr>
          <w:lang w:val="pl-PL"/>
        </w:rPr>
        <w:t>powyżej</w:t>
      </w:r>
      <w:r w:rsidRPr="002C5541">
        <w:rPr>
          <w:lang w:val="pl-PL"/>
        </w:rPr>
        <w:t xml:space="preserve">), </w:t>
      </w:r>
      <w:r>
        <w:rPr>
          <w:lang w:val="pl-PL"/>
        </w:rPr>
        <w:t xml:space="preserve">Trybunał </w:t>
      </w:r>
      <w:r w:rsidRPr="00FE1250">
        <w:rPr>
          <w:lang w:val="pl-PL"/>
        </w:rPr>
        <w:t xml:space="preserve">dochodzi do wniosku, że </w:t>
      </w:r>
      <w:r>
        <w:rPr>
          <w:lang w:val="pl-PL"/>
        </w:rPr>
        <w:t xml:space="preserve">Turcja dopuściła się </w:t>
      </w:r>
      <w:r w:rsidRPr="00FE1250">
        <w:rPr>
          <w:lang w:val="pl-PL"/>
        </w:rPr>
        <w:t>naruszenia proceduralnego aspektu art. 2 Konwencji</w:t>
      </w:r>
      <w:r w:rsidRPr="002C5541">
        <w:rPr>
          <w:lang w:val="pl-PL"/>
        </w:rPr>
        <w:t>.</w:t>
      </w:r>
    </w:p>
    <w:p w:rsidR="00110FEE" w:rsidRPr="002C5541" w:rsidRDefault="00110FEE" w:rsidP="00F25813">
      <w:pPr>
        <w:pStyle w:val="ECHRHeading1"/>
        <w:rPr>
          <w:lang w:val="pl-PL"/>
        </w:rPr>
      </w:pPr>
      <w:r w:rsidRPr="002C5541">
        <w:rPr>
          <w:lang w:val="pl-PL"/>
        </w:rPr>
        <w:t>II. </w:t>
      </w:r>
      <w:r>
        <w:rPr>
          <w:lang w:val="pl-PL"/>
        </w:rPr>
        <w:t>DOMNIEMANE NARUSZENIE ART. 2 KONWENCJI W ZWIĄZKU Z ART. 2</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269</w:t>
      </w:r>
      <w:r w:rsidRPr="002C5541">
        <w:rPr>
          <w:lang w:val="pl-PL"/>
        </w:rPr>
        <w:fldChar w:fldCharType="end"/>
      </w:r>
      <w:r w:rsidRPr="002C5541">
        <w:rPr>
          <w:lang w:val="pl-PL"/>
        </w:rPr>
        <w:t>.</w:t>
      </w:r>
      <w:r>
        <w:rPr>
          <w:lang w:val="pl-PL"/>
        </w:rPr>
        <w:t xml:space="preserve"> Skarżący zgłosili ponadto zarzut na podstawie art. 13 Konwencji, podnosząc, że nie zapewniono im dostępu do </w:t>
      </w:r>
      <w:r w:rsidRPr="00FE1250">
        <w:rPr>
          <w:lang w:val="pl-PL"/>
        </w:rPr>
        <w:t>skutecznego środka odwoławczego</w:t>
      </w:r>
      <w:r w:rsidRPr="002C5541">
        <w:rPr>
          <w:lang w:val="pl-PL"/>
        </w:rPr>
        <w:t xml:space="preserve"> </w:t>
      </w:r>
      <w:r>
        <w:rPr>
          <w:lang w:val="pl-PL"/>
        </w:rPr>
        <w:t>w odniesieniu do ich skargi złożonej na podstawie art. 2</w:t>
      </w:r>
      <w:r w:rsidRPr="002C5541">
        <w:rPr>
          <w:lang w:val="pl-PL"/>
        </w:rPr>
        <w:t xml:space="preserve">. </w:t>
      </w:r>
      <w:r>
        <w:rPr>
          <w:lang w:val="pl-PL"/>
        </w:rPr>
        <w:t>Stwierdzili, że obecne problemy polityczne sprawiły, że istniejące mechanizmy krajowe były nieskuteczne, co uniemożliwiło przeprowadzenie owocnego śledztwa</w:t>
      </w:r>
      <w:r w:rsidRPr="002C5541">
        <w:rPr>
          <w:lang w:val="pl-PL"/>
        </w:rPr>
        <w:t>.</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270</w:t>
      </w:r>
      <w:r w:rsidRPr="002C5541">
        <w:rPr>
          <w:lang w:val="pl-PL"/>
        </w:rPr>
        <w:fldChar w:fldCharType="end"/>
      </w:r>
      <w:r w:rsidRPr="002C5541">
        <w:rPr>
          <w:lang w:val="pl-PL"/>
        </w:rPr>
        <w:t>.</w:t>
      </w:r>
      <w:r>
        <w:rPr>
          <w:lang w:val="pl-PL"/>
        </w:rPr>
        <w:t xml:space="preserve"> Art.</w:t>
      </w:r>
      <w:r w:rsidRPr="002C5541">
        <w:rPr>
          <w:lang w:val="pl-PL"/>
        </w:rPr>
        <w:t xml:space="preserve"> 13 </w:t>
      </w:r>
      <w:r>
        <w:rPr>
          <w:lang w:val="pl-PL"/>
        </w:rPr>
        <w:t>ma następujące brzmienie</w:t>
      </w:r>
      <w:r w:rsidRPr="002C5541">
        <w:rPr>
          <w:lang w:val="pl-PL"/>
        </w:rPr>
        <w:t>:</w:t>
      </w:r>
    </w:p>
    <w:p w:rsidR="00110FEE" w:rsidRPr="002C5541" w:rsidRDefault="00110FEE" w:rsidP="00A936F2">
      <w:pPr>
        <w:pStyle w:val="JuQuotSub"/>
        <w:rPr>
          <w:lang w:val="pl-PL"/>
        </w:rPr>
      </w:pPr>
      <w:r w:rsidRPr="002C5541">
        <w:rPr>
          <w:lang w:val="pl-PL"/>
        </w:rPr>
        <w:t xml:space="preserve"> </w:t>
      </w:r>
      <w:r>
        <w:rPr>
          <w:lang w:val="pl-PL"/>
        </w:rPr>
        <w:t>„</w:t>
      </w:r>
      <w:r w:rsidRPr="00FE1250">
        <w:rPr>
          <w:lang w:val="pl-PL"/>
        </w:rPr>
        <w:t>Każdy, czyje prawa i wolności zawarte w niniejszej konwencji zostały naruszone, ma prawo do skutecznego środka odwoławczego do właściwego organu państwowego także wówczas, gdy naruszenia dokonały osoby wykonujące swoje funkcje urzędowe</w:t>
      </w:r>
      <w:r w:rsidRPr="002C5541">
        <w:rPr>
          <w:lang w:val="pl-PL"/>
        </w:rPr>
        <w:t>”</w:t>
      </w:r>
      <w:r>
        <w:rPr>
          <w:lang w:val="pl-PL"/>
        </w:rPr>
        <w:t>.</w:t>
      </w:r>
    </w:p>
    <w:p w:rsidR="00110FEE" w:rsidRPr="002C5541" w:rsidRDefault="00110FEE" w:rsidP="00F25813">
      <w:pPr>
        <w:pStyle w:val="ECHRPara"/>
        <w:rPr>
          <w:rFonts w:eastAsia="MS Gothic"/>
          <w:lang w:val="pl-PL"/>
        </w:rPr>
      </w:pPr>
      <w:r w:rsidRPr="002C5541">
        <w:rPr>
          <w:rFonts w:eastAsia="MS Gothic"/>
          <w:lang w:val="pl-PL"/>
        </w:rPr>
        <w:fldChar w:fldCharType="begin"/>
      </w:r>
      <w:r w:rsidRPr="002C5541">
        <w:rPr>
          <w:rFonts w:eastAsia="MS Gothic"/>
          <w:lang w:val="pl-PL"/>
        </w:rPr>
        <w:instrText xml:space="preserve"> SEQ level0 \*arabic </w:instrText>
      </w:r>
      <w:r w:rsidRPr="002C5541">
        <w:rPr>
          <w:rFonts w:eastAsia="MS Gothic"/>
          <w:lang w:val="pl-PL"/>
        </w:rPr>
        <w:fldChar w:fldCharType="separate"/>
      </w:r>
      <w:r w:rsidRPr="002C5541">
        <w:rPr>
          <w:rFonts w:eastAsia="MS Gothic"/>
          <w:noProof/>
          <w:lang w:val="pl-PL"/>
        </w:rPr>
        <w:t>271</w:t>
      </w:r>
      <w:r w:rsidRPr="002C5541">
        <w:rPr>
          <w:rFonts w:eastAsia="MS Gothic"/>
          <w:lang w:val="pl-PL"/>
        </w:rPr>
        <w:fldChar w:fldCharType="end"/>
      </w:r>
      <w:r w:rsidRPr="002C5541">
        <w:rPr>
          <w:rFonts w:eastAsia="MS Gothic"/>
          <w:lang w:val="pl-PL"/>
        </w:rPr>
        <w:t>.</w:t>
      </w:r>
      <w:r>
        <w:rPr>
          <w:rFonts w:eastAsia="MS Gothic"/>
          <w:lang w:val="pl-PL"/>
        </w:rPr>
        <w:t xml:space="preserve"> </w:t>
      </w:r>
      <w:r w:rsidRPr="00FE1250">
        <w:rPr>
          <w:rFonts w:eastAsia="MS Gothic"/>
          <w:lang w:val="pl-PL"/>
        </w:rPr>
        <w:t>Izba uznała, że w związku ze stwierdzeniem</w:t>
      </w:r>
      <w:r>
        <w:rPr>
          <w:rFonts w:eastAsia="MS Gothic"/>
          <w:lang w:val="pl-PL"/>
        </w:rPr>
        <w:t xml:space="preserve">, iż oba Państwa naruszyły aspekt proceduralny art. 2, </w:t>
      </w:r>
      <w:r w:rsidRPr="00FE1250">
        <w:rPr>
          <w:rFonts w:eastAsia="MS Gothic"/>
          <w:lang w:val="pl-PL"/>
        </w:rPr>
        <w:t xml:space="preserve">nie ma potrzeby odrębnego rozpatrywania </w:t>
      </w:r>
      <w:r>
        <w:rPr>
          <w:rFonts w:eastAsia="MS Gothic"/>
          <w:lang w:val="pl-PL"/>
        </w:rPr>
        <w:t>zarzutu</w:t>
      </w:r>
      <w:r w:rsidRPr="00FE1250">
        <w:rPr>
          <w:rFonts w:eastAsia="MS Gothic"/>
          <w:lang w:val="pl-PL"/>
        </w:rPr>
        <w:t xml:space="preserve"> skarżących na podstawie art. 13</w:t>
      </w:r>
      <w:r w:rsidRPr="002C5541">
        <w:rPr>
          <w:rFonts w:eastAsia="MS Gothic"/>
          <w:lang w:val="pl-PL"/>
        </w:rPr>
        <w:t>.</w:t>
      </w:r>
    </w:p>
    <w:p w:rsidR="00110FEE" w:rsidRPr="002C5541" w:rsidRDefault="00110FEE" w:rsidP="00F25813">
      <w:pPr>
        <w:pStyle w:val="ECHRPara"/>
        <w:rPr>
          <w:rFonts w:eastAsia="MS Gothic"/>
          <w:lang w:val="pl-PL"/>
        </w:rPr>
      </w:pPr>
      <w:r w:rsidRPr="002C5541">
        <w:rPr>
          <w:rFonts w:eastAsia="MS Gothic"/>
          <w:lang w:val="pl-PL"/>
        </w:rPr>
        <w:fldChar w:fldCharType="begin"/>
      </w:r>
      <w:r w:rsidRPr="002C5541">
        <w:rPr>
          <w:rFonts w:eastAsia="MS Gothic"/>
          <w:lang w:val="pl-PL"/>
        </w:rPr>
        <w:instrText xml:space="preserve"> SEQ level0 \*arabic </w:instrText>
      </w:r>
      <w:r w:rsidRPr="002C5541">
        <w:rPr>
          <w:rFonts w:eastAsia="MS Gothic"/>
          <w:lang w:val="pl-PL"/>
        </w:rPr>
        <w:fldChar w:fldCharType="separate"/>
      </w:r>
      <w:r w:rsidRPr="002C5541">
        <w:rPr>
          <w:rFonts w:eastAsia="MS Gothic"/>
          <w:noProof/>
          <w:lang w:val="pl-PL"/>
        </w:rPr>
        <w:t>272</w:t>
      </w:r>
      <w:r w:rsidRPr="002C5541">
        <w:rPr>
          <w:rFonts w:eastAsia="MS Gothic"/>
          <w:lang w:val="pl-PL"/>
        </w:rPr>
        <w:fldChar w:fldCharType="end"/>
      </w:r>
      <w:r w:rsidRPr="002C5541">
        <w:rPr>
          <w:rFonts w:eastAsia="MS Gothic"/>
          <w:lang w:val="pl-PL"/>
        </w:rPr>
        <w:t>.</w:t>
      </w:r>
      <w:r>
        <w:rPr>
          <w:rFonts w:eastAsia="MS Gothic"/>
          <w:lang w:val="pl-PL"/>
        </w:rPr>
        <w:t xml:space="preserve"> Pozwane Rządy nie odniosły się do tego zarzutu</w:t>
      </w:r>
      <w:r w:rsidRPr="002C5541">
        <w:rPr>
          <w:rFonts w:eastAsia="MS Gothic"/>
          <w:lang w:val="pl-PL"/>
        </w:rPr>
        <w:t>.</w:t>
      </w:r>
    </w:p>
    <w:p w:rsidR="00110FEE" w:rsidRPr="002C5541" w:rsidRDefault="00110FEE" w:rsidP="00F25813">
      <w:pPr>
        <w:pStyle w:val="ECHRPara"/>
        <w:rPr>
          <w:rFonts w:eastAsia="MS Gothic"/>
          <w:lang w:val="pl-PL"/>
        </w:rPr>
      </w:pPr>
      <w:r w:rsidRPr="002C5541">
        <w:rPr>
          <w:rFonts w:eastAsia="MS Gothic"/>
          <w:lang w:val="pl-PL"/>
        </w:rPr>
        <w:fldChar w:fldCharType="begin"/>
      </w:r>
      <w:r w:rsidRPr="002C5541">
        <w:rPr>
          <w:rFonts w:eastAsia="MS Gothic"/>
          <w:lang w:val="pl-PL"/>
        </w:rPr>
        <w:instrText xml:space="preserve"> SEQ level0 \*arabic </w:instrText>
      </w:r>
      <w:r w:rsidRPr="002C5541">
        <w:rPr>
          <w:rFonts w:eastAsia="MS Gothic"/>
          <w:lang w:val="pl-PL"/>
        </w:rPr>
        <w:fldChar w:fldCharType="separate"/>
      </w:r>
      <w:r w:rsidRPr="002C5541">
        <w:rPr>
          <w:rFonts w:eastAsia="MS Gothic"/>
          <w:noProof/>
          <w:lang w:val="pl-PL"/>
        </w:rPr>
        <w:t>273</w:t>
      </w:r>
      <w:r w:rsidRPr="002C5541">
        <w:rPr>
          <w:rFonts w:eastAsia="MS Gothic"/>
          <w:lang w:val="pl-PL"/>
        </w:rPr>
        <w:fldChar w:fldCharType="end"/>
      </w:r>
      <w:r w:rsidRPr="002C5541">
        <w:rPr>
          <w:rFonts w:eastAsia="MS Gothic"/>
          <w:lang w:val="pl-PL"/>
        </w:rPr>
        <w:t>.</w:t>
      </w:r>
      <w:r>
        <w:rPr>
          <w:rFonts w:eastAsia="MS Gothic"/>
          <w:lang w:val="pl-PL"/>
        </w:rPr>
        <w:t xml:space="preserve"> Biorąc pod uwagę powyższe wnioski </w:t>
      </w:r>
      <w:r w:rsidRPr="002C5541">
        <w:rPr>
          <w:rFonts w:eastAsia="MS Gothic"/>
          <w:lang w:val="pl-PL"/>
        </w:rPr>
        <w:t>(</w:t>
      </w:r>
      <w:r>
        <w:rPr>
          <w:rFonts w:eastAsia="MS Gothic"/>
          <w:lang w:val="pl-PL"/>
        </w:rPr>
        <w:t xml:space="preserve">zob. pkt </w:t>
      </w:r>
      <w:r w:rsidRPr="002C5541">
        <w:rPr>
          <w:rFonts w:eastAsia="MS Gothic"/>
          <w:lang w:val="pl-PL"/>
        </w:rPr>
        <w:t xml:space="preserve">267 </w:t>
      </w:r>
      <w:r>
        <w:rPr>
          <w:rFonts w:eastAsia="MS Gothic"/>
          <w:lang w:val="pl-PL"/>
        </w:rPr>
        <w:t xml:space="preserve">i </w:t>
      </w:r>
      <w:r w:rsidRPr="002C5541">
        <w:rPr>
          <w:rFonts w:eastAsia="MS Gothic"/>
          <w:lang w:val="pl-PL"/>
        </w:rPr>
        <w:t xml:space="preserve">268), </w:t>
      </w:r>
      <w:r>
        <w:rPr>
          <w:rFonts w:eastAsia="MS Gothic"/>
          <w:lang w:val="pl-PL"/>
        </w:rPr>
        <w:t>Trybunał jest zdania, że nie ma potrzeby osobno rozpatrywać zarzut skarżących na podstawie art. 13 w związku z art. 2 Konwencji</w:t>
      </w:r>
      <w:r w:rsidRPr="002C5541">
        <w:rPr>
          <w:rFonts w:eastAsia="MS Gothic"/>
          <w:lang w:val="pl-PL"/>
        </w:rPr>
        <w:t>.</w:t>
      </w:r>
    </w:p>
    <w:p w:rsidR="00110FEE" w:rsidRPr="002C5541" w:rsidRDefault="00110FEE" w:rsidP="00F25813">
      <w:pPr>
        <w:pStyle w:val="ECHRHeading1"/>
        <w:rPr>
          <w:lang w:val="pl-PL"/>
        </w:rPr>
      </w:pPr>
      <w:r w:rsidRPr="002C5541">
        <w:rPr>
          <w:lang w:val="pl-PL"/>
        </w:rPr>
        <w:t>III. </w:t>
      </w:r>
      <w:r>
        <w:rPr>
          <w:lang w:val="pl-PL"/>
        </w:rPr>
        <w:t>ZASTOSOWANIE ART. 41 KONWENCJI</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274</w:t>
      </w:r>
      <w:r w:rsidRPr="002C5541">
        <w:rPr>
          <w:lang w:val="pl-PL"/>
        </w:rPr>
        <w:fldChar w:fldCharType="end"/>
      </w:r>
      <w:r w:rsidRPr="002C5541">
        <w:rPr>
          <w:lang w:val="pl-PL"/>
        </w:rPr>
        <w:t>.</w:t>
      </w:r>
      <w:r>
        <w:rPr>
          <w:lang w:val="pl-PL"/>
        </w:rPr>
        <w:t xml:space="preserve"> </w:t>
      </w:r>
      <w:r w:rsidRPr="003E7A62">
        <w:rPr>
          <w:lang w:val="pl-PL"/>
        </w:rPr>
        <w:t xml:space="preserve">Art. </w:t>
      </w:r>
      <w:r>
        <w:rPr>
          <w:lang w:val="pl-PL"/>
        </w:rPr>
        <w:t>41 Konwencji</w:t>
      </w:r>
      <w:r w:rsidRPr="003E7A62">
        <w:rPr>
          <w:lang w:val="pl-PL"/>
        </w:rPr>
        <w:t xml:space="preserve"> ma następujące brzmienie</w:t>
      </w:r>
      <w:r w:rsidRPr="002C5541">
        <w:rPr>
          <w:lang w:val="pl-PL"/>
        </w:rPr>
        <w:t>:</w:t>
      </w:r>
    </w:p>
    <w:p w:rsidR="00110FEE" w:rsidRPr="002C5541" w:rsidRDefault="00110FEE" w:rsidP="00A936F2">
      <w:pPr>
        <w:pStyle w:val="ECHRParaQuote"/>
        <w:rPr>
          <w:lang w:val="pl-PL"/>
        </w:rPr>
      </w:pPr>
      <w:r>
        <w:rPr>
          <w:lang w:val="pl-PL"/>
        </w:rPr>
        <w:t>„</w:t>
      </w:r>
      <w:r w:rsidRPr="003E7A62">
        <w:rPr>
          <w:lang w:val="pl-PL"/>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r>
        <w:rPr>
          <w:lang w:val="pl-PL"/>
        </w:rPr>
        <w:t>”</w:t>
      </w:r>
      <w:r w:rsidRPr="002C5541">
        <w:rPr>
          <w:lang w:val="pl-PL"/>
        </w:rPr>
        <w:t>.</w:t>
      </w:r>
    </w:p>
    <w:p w:rsidR="00110FEE" w:rsidRPr="002C5541" w:rsidRDefault="00110FEE" w:rsidP="00F25813">
      <w:pPr>
        <w:pStyle w:val="ECHRHeading2"/>
        <w:keepLines w:val="0"/>
        <w:outlineLvl w:val="0"/>
        <w:rPr>
          <w:lang w:val="pl-PL"/>
        </w:rPr>
      </w:pPr>
      <w:r w:rsidRPr="002C5541">
        <w:rPr>
          <w:lang w:val="pl-PL"/>
        </w:rPr>
        <w:t>A.</w:t>
      </w:r>
      <w:r>
        <w:rPr>
          <w:lang w:val="pl-PL"/>
        </w:rPr>
        <w:t xml:space="preserve"> Szkoda</w:t>
      </w:r>
    </w:p>
    <w:p w:rsidR="00110FEE" w:rsidRPr="002C5541" w:rsidRDefault="00110FEE" w:rsidP="00F25813">
      <w:pPr>
        <w:pStyle w:val="ECHRHeading3"/>
        <w:rPr>
          <w:lang w:val="pl-PL"/>
        </w:rPr>
      </w:pPr>
      <w:r w:rsidRPr="002C5541">
        <w:rPr>
          <w:lang w:val="pl-PL"/>
        </w:rPr>
        <w:t>1.</w:t>
      </w:r>
      <w:r>
        <w:rPr>
          <w:lang w:val="pl-PL"/>
        </w:rPr>
        <w:t xml:space="preserve"> Odszkodowanie </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275</w:t>
      </w:r>
      <w:r w:rsidRPr="002C5541">
        <w:rPr>
          <w:lang w:val="pl-PL"/>
        </w:rPr>
        <w:fldChar w:fldCharType="end"/>
      </w:r>
      <w:r w:rsidRPr="002C5541">
        <w:rPr>
          <w:lang w:val="pl-PL"/>
        </w:rPr>
        <w:t>.</w:t>
      </w:r>
      <w:r>
        <w:rPr>
          <w:lang w:val="pl-PL"/>
        </w:rPr>
        <w:t xml:space="preserve"> W postępowaniu przed Izbą skarżący żądali kwoty </w:t>
      </w:r>
      <w:r w:rsidRPr="002C5541">
        <w:rPr>
          <w:lang w:val="pl-PL"/>
        </w:rPr>
        <w:t>40</w:t>
      </w:r>
      <w:r>
        <w:rPr>
          <w:lang w:val="pl-PL"/>
        </w:rPr>
        <w:t xml:space="preserve"> </w:t>
      </w:r>
      <w:r w:rsidRPr="002C5541">
        <w:rPr>
          <w:lang w:val="pl-PL"/>
        </w:rPr>
        <w:t xml:space="preserve">000 euro (EUR) </w:t>
      </w:r>
      <w:r>
        <w:rPr>
          <w:lang w:val="pl-PL"/>
        </w:rPr>
        <w:t>jako odszkodowanie</w:t>
      </w:r>
      <w:r w:rsidRPr="002C5541">
        <w:rPr>
          <w:lang w:val="pl-PL"/>
        </w:rPr>
        <w:t xml:space="preserve">. </w:t>
      </w:r>
      <w:r>
        <w:rPr>
          <w:lang w:val="pl-PL"/>
        </w:rPr>
        <w:t>Suma ta stanowić ma wydatki, który pierwszy skarżący poniósł, żeby chronić swoje życie:</w:t>
      </w:r>
      <w:r w:rsidRPr="002C5541">
        <w:rPr>
          <w:lang w:val="pl-PL"/>
        </w:rPr>
        <w:t xml:space="preserve"> </w:t>
      </w:r>
      <w:r>
        <w:rPr>
          <w:lang w:val="pl-PL"/>
        </w:rPr>
        <w:t>domowy system bezpieczeństwa</w:t>
      </w:r>
      <w:r w:rsidRPr="002C5541">
        <w:rPr>
          <w:lang w:val="pl-PL"/>
        </w:rPr>
        <w:t xml:space="preserve">, </w:t>
      </w:r>
      <w:r>
        <w:rPr>
          <w:lang w:val="pl-PL"/>
        </w:rPr>
        <w:t xml:space="preserve">zatrudnienie ochroniarza </w:t>
      </w:r>
      <w:r w:rsidRPr="002C5541">
        <w:rPr>
          <w:lang w:val="pl-PL"/>
        </w:rPr>
        <w:t>(</w:t>
      </w:r>
      <w:r>
        <w:rPr>
          <w:lang w:val="pl-PL"/>
        </w:rPr>
        <w:t xml:space="preserve">który został zamordowany w </w:t>
      </w:r>
      <w:r w:rsidRPr="002C5541">
        <w:rPr>
          <w:lang w:val="pl-PL"/>
        </w:rPr>
        <w:t>2009</w:t>
      </w:r>
      <w:r>
        <w:rPr>
          <w:lang w:val="pl-PL"/>
        </w:rPr>
        <w:t xml:space="preserve"> r.</w:t>
      </w:r>
      <w:r w:rsidRPr="002C5541">
        <w:rPr>
          <w:lang w:val="pl-PL"/>
        </w:rPr>
        <w:t xml:space="preserve">), </w:t>
      </w:r>
      <w:r>
        <w:rPr>
          <w:lang w:val="pl-PL"/>
        </w:rPr>
        <w:t>wydatki na podróż zagranicę po zamachu na jego życie i koszty prawne poniesione w postępowaniu, które wytoczono przeciwko niemu za posiadanie broni mającej służyć mu do obrony życia</w:t>
      </w:r>
      <w:r w:rsidRPr="002C5541">
        <w:rPr>
          <w:lang w:val="pl-PL"/>
        </w:rPr>
        <w:t xml:space="preserve">. </w:t>
      </w:r>
      <w:r>
        <w:rPr>
          <w:lang w:val="pl-PL"/>
        </w:rPr>
        <w:t>Skarżący przyznali, że powyższa suma została obliczona w sposób przybliżony, jako że nie posiadali żadnych dokumentów potwierdzających zgłoszone koszty</w:t>
      </w:r>
      <w:r w:rsidRPr="002C5541">
        <w:rPr>
          <w:lang w:val="pl-PL"/>
        </w:rPr>
        <w:t xml:space="preserve">. </w:t>
      </w:r>
      <w:r>
        <w:rPr>
          <w:lang w:val="pl-PL"/>
        </w:rPr>
        <w:t>Rząd Turecki podniósł, że nie było żadnego związku przyczynowego między dochodzonym odszkodowaniem majątkowych a przedmiotem skargi, która nie miała nic wspólnego z prawem do życia pierwszego skarżącego</w:t>
      </w:r>
      <w:r w:rsidRPr="002C5541">
        <w:rPr>
          <w:lang w:val="pl-PL"/>
        </w:rPr>
        <w:t>.</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276</w:t>
      </w:r>
      <w:r w:rsidRPr="002C5541">
        <w:rPr>
          <w:lang w:val="pl-PL"/>
        </w:rPr>
        <w:fldChar w:fldCharType="end"/>
      </w:r>
      <w:r w:rsidRPr="002C5541">
        <w:rPr>
          <w:lang w:val="pl-PL"/>
        </w:rPr>
        <w:t>.</w:t>
      </w:r>
      <w:r>
        <w:rPr>
          <w:lang w:val="pl-PL"/>
        </w:rPr>
        <w:t xml:space="preserve"> Izba uznała, że żądanie </w:t>
      </w:r>
      <w:r w:rsidRPr="0065638D">
        <w:rPr>
          <w:lang w:val="pl-PL"/>
        </w:rPr>
        <w:t>odszkodowani</w:t>
      </w:r>
      <w:r>
        <w:rPr>
          <w:lang w:val="pl-PL"/>
        </w:rPr>
        <w:t>a było bezpodstawne, i odrzuciła je</w:t>
      </w:r>
      <w:r w:rsidRPr="002C5541">
        <w:rPr>
          <w:lang w:val="pl-PL"/>
        </w:rPr>
        <w:t>.</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277</w:t>
      </w:r>
      <w:r w:rsidRPr="002C5541">
        <w:rPr>
          <w:lang w:val="pl-PL"/>
        </w:rPr>
        <w:fldChar w:fldCharType="end"/>
      </w:r>
      <w:r w:rsidRPr="002C5541">
        <w:rPr>
          <w:lang w:val="pl-PL"/>
        </w:rPr>
        <w:t>.</w:t>
      </w:r>
      <w:r>
        <w:rPr>
          <w:lang w:val="pl-PL"/>
        </w:rPr>
        <w:t xml:space="preserve"> Rząd Turecki wezwał</w:t>
      </w:r>
      <w:r w:rsidRPr="0065638D">
        <w:rPr>
          <w:lang w:val="pl-PL"/>
        </w:rPr>
        <w:t xml:space="preserve"> Wielk</w:t>
      </w:r>
      <w:r>
        <w:rPr>
          <w:lang w:val="pl-PL"/>
        </w:rPr>
        <w:t>ą</w:t>
      </w:r>
      <w:r w:rsidRPr="0065638D">
        <w:rPr>
          <w:lang w:val="pl-PL"/>
        </w:rPr>
        <w:t xml:space="preserve"> Izb</w:t>
      </w:r>
      <w:r>
        <w:rPr>
          <w:lang w:val="pl-PL"/>
        </w:rPr>
        <w:t>ę</w:t>
      </w:r>
      <w:r w:rsidRPr="0065638D">
        <w:rPr>
          <w:lang w:val="pl-PL"/>
        </w:rPr>
        <w:t xml:space="preserve">, aby nie </w:t>
      </w:r>
      <w:r>
        <w:rPr>
          <w:lang w:val="pl-PL"/>
        </w:rPr>
        <w:t>przyznawała</w:t>
      </w:r>
      <w:r w:rsidRPr="0065638D">
        <w:rPr>
          <w:lang w:val="pl-PL"/>
        </w:rPr>
        <w:t xml:space="preserve"> skarżącym </w:t>
      </w:r>
      <w:r>
        <w:rPr>
          <w:lang w:val="pl-PL"/>
        </w:rPr>
        <w:t>słusznego zadośćuczynienia</w:t>
      </w:r>
      <w:r w:rsidRPr="002C5541">
        <w:rPr>
          <w:lang w:val="pl-PL"/>
        </w:rPr>
        <w:t>.</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278</w:t>
      </w:r>
      <w:r w:rsidRPr="002C5541">
        <w:rPr>
          <w:lang w:val="pl-PL"/>
        </w:rPr>
        <w:fldChar w:fldCharType="end"/>
      </w:r>
      <w:r w:rsidRPr="002C5541">
        <w:rPr>
          <w:lang w:val="pl-PL"/>
        </w:rPr>
        <w:t>.</w:t>
      </w:r>
      <w:r>
        <w:rPr>
          <w:lang w:val="pl-PL"/>
        </w:rPr>
        <w:t xml:space="preserve"> Wielka Izba zgadza się z oceną Izby, a zatem odrzuca to żądanie</w:t>
      </w:r>
      <w:r w:rsidRPr="002C5541">
        <w:rPr>
          <w:lang w:val="pl-PL"/>
        </w:rPr>
        <w:t>.</w:t>
      </w:r>
    </w:p>
    <w:p w:rsidR="00110FEE" w:rsidRPr="002C5541" w:rsidRDefault="00110FEE" w:rsidP="00F25813">
      <w:pPr>
        <w:pStyle w:val="ECHRHeading3"/>
        <w:rPr>
          <w:lang w:val="pl-PL"/>
        </w:rPr>
      </w:pPr>
      <w:r w:rsidRPr="002C5541">
        <w:rPr>
          <w:lang w:val="pl-PL"/>
        </w:rPr>
        <w:t>2.</w:t>
      </w:r>
      <w:r>
        <w:rPr>
          <w:lang w:val="pl-PL"/>
        </w:rPr>
        <w:t xml:space="preserve"> Zadośćuczynienie</w:t>
      </w:r>
    </w:p>
    <w:p w:rsidR="00110FEE"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279</w:t>
      </w:r>
      <w:r w:rsidRPr="002C5541">
        <w:rPr>
          <w:lang w:val="pl-PL"/>
        </w:rPr>
        <w:fldChar w:fldCharType="end"/>
      </w:r>
      <w:r w:rsidRPr="002C5541">
        <w:rPr>
          <w:lang w:val="pl-PL"/>
        </w:rPr>
        <w:t>.</w:t>
      </w:r>
      <w:r>
        <w:rPr>
          <w:lang w:val="pl-PL"/>
        </w:rPr>
        <w:t xml:space="preserve"> W postępowaniu przed Izbą skarżący żądali łącznej sumy </w:t>
      </w:r>
      <w:r w:rsidRPr="002C5541">
        <w:rPr>
          <w:lang w:val="pl-PL"/>
        </w:rPr>
        <w:t>800</w:t>
      </w:r>
      <w:r>
        <w:rPr>
          <w:lang w:val="pl-PL"/>
        </w:rPr>
        <w:t> </w:t>
      </w:r>
      <w:r w:rsidRPr="002C5541">
        <w:rPr>
          <w:lang w:val="pl-PL"/>
        </w:rPr>
        <w:t>000</w:t>
      </w:r>
      <w:r>
        <w:rPr>
          <w:lang w:val="pl-PL"/>
        </w:rPr>
        <w:t xml:space="preserve"> euro</w:t>
      </w:r>
      <w:r w:rsidRPr="002C5541">
        <w:rPr>
          <w:lang w:val="pl-PL"/>
        </w:rPr>
        <w:t xml:space="preserve">, </w:t>
      </w:r>
      <w:r>
        <w:rPr>
          <w:lang w:val="pl-PL"/>
        </w:rPr>
        <w:t xml:space="preserve">tj. </w:t>
      </w:r>
      <w:r w:rsidRPr="002C5541">
        <w:rPr>
          <w:lang w:val="pl-PL"/>
        </w:rPr>
        <w:t>400</w:t>
      </w:r>
      <w:r>
        <w:rPr>
          <w:lang w:val="pl-PL"/>
        </w:rPr>
        <w:t xml:space="preserve"> </w:t>
      </w:r>
      <w:r w:rsidRPr="002C5541">
        <w:rPr>
          <w:lang w:val="pl-PL"/>
        </w:rPr>
        <w:t xml:space="preserve">000 </w:t>
      </w:r>
      <w:r w:rsidRPr="0065638D">
        <w:rPr>
          <w:lang w:val="pl-PL"/>
        </w:rPr>
        <w:t xml:space="preserve">euro </w:t>
      </w:r>
      <w:r>
        <w:rPr>
          <w:lang w:val="pl-PL"/>
        </w:rPr>
        <w:t>od każdego pozwanego Rządu, jako zadośćuczynienie. Suma ta obejmowała roszczenie przeciwko każdemu z Rządów na kwotę</w:t>
      </w:r>
      <w:r w:rsidRPr="002C5541">
        <w:rPr>
          <w:lang w:val="pl-PL"/>
        </w:rPr>
        <w:t xml:space="preserve"> 100</w:t>
      </w:r>
      <w:r>
        <w:rPr>
          <w:lang w:val="pl-PL"/>
        </w:rPr>
        <w:t xml:space="preserve"> </w:t>
      </w:r>
      <w:r w:rsidRPr="002C5541">
        <w:rPr>
          <w:lang w:val="pl-PL"/>
        </w:rPr>
        <w:t xml:space="preserve">000 </w:t>
      </w:r>
      <w:r w:rsidRPr="0065638D">
        <w:rPr>
          <w:lang w:val="pl-PL"/>
        </w:rPr>
        <w:t xml:space="preserve">euro </w:t>
      </w:r>
      <w:r>
        <w:rPr>
          <w:lang w:val="pl-PL"/>
        </w:rPr>
        <w:t xml:space="preserve">na rzecz pierwszego skarżącego i na kwotę </w:t>
      </w:r>
      <w:r w:rsidRPr="002C5541">
        <w:rPr>
          <w:lang w:val="pl-PL"/>
        </w:rPr>
        <w:t>50</w:t>
      </w:r>
      <w:r>
        <w:rPr>
          <w:lang w:val="pl-PL"/>
        </w:rPr>
        <w:t xml:space="preserve"> </w:t>
      </w:r>
      <w:r w:rsidRPr="002C5541">
        <w:rPr>
          <w:lang w:val="pl-PL"/>
        </w:rPr>
        <w:t xml:space="preserve">000 </w:t>
      </w:r>
      <w:r w:rsidRPr="0065638D">
        <w:rPr>
          <w:lang w:val="pl-PL"/>
        </w:rPr>
        <w:t xml:space="preserve">euro </w:t>
      </w:r>
      <w:r>
        <w:rPr>
          <w:lang w:val="pl-PL"/>
        </w:rPr>
        <w:t>dla pozostałych skarżących</w:t>
      </w:r>
      <w:r w:rsidRPr="002C5541">
        <w:rPr>
          <w:lang w:val="pl-PL"/>
        </w:rPr>
        <w:t xml:space="preserve">. </w:t>
      </w:r>
      <w:r w:rsidRPr="0065638D">
        <w:rPr>
          <w:lang w:val="pl-PL"/>
        </w:rPr>
        <w:t>Skarżący podkreślili, jak wiele nieznośnej udręki, bólu, traumy i frustracji doznali</w:t>
      </w:r>
      <w:r>
        <w:rPr>
          <w:lang w:val="pl-PL"/>
        </w:rPr>
        <w:t>, biorąc pod uwagę, jak poważne były przestępstwo skierowane</w:t>
      </w:r>
      <w:r w:rsidRPr="0065638D">
        <w:rPr>
          <w:lang w:val="pl-PL"/>
        </w:rPr>
        <w:t xml:space="preserve"> przeciwko </w:t>
      </w:r>
      <w:r>
        <w:rPr>
          <w:lang w:val="pl-PL"/>
        </w:rPr>
        <w:t>ich</w:t>
      </w:r>
      <w:r w:rsidRPr="0065638D">
        <w:rPr>
          <w:lang w:val="pl-PL"/>
        </w:rPr>
        <w:t xml:space="preserve"> rodzinie</w:t>
      </w:r>
      <w:r>
        <w:rPr>
          <w:lang w:val="pl-PL"/>
        </w:rPr>
        <w:t>,</w:t>
      </w:r>
      <w:r w:rsidRPr="0065638D">
        <w:rPr>
          <w:lang w:val="pl-PL"/>
        </w:rPr>
        <w:t xml:space="preserve"> oraz </w:t>
      </w:r>
      <w:r>
        <w:rPr>
          <w:lang w:val="pl-PL"/>
        </w:rPr>
        <w:t xml:space="preserve">uwzględniając fakt, że władze </w:t>
      </w:r>
      <w:r w:rsidRPr="00F75CAC">
        <w:rPr>
          <w:lang w:val="pl-PL"/>
        </w:rPr>
        <w:t xml:space="preserve">pozwanych </w:t>
      </w:r>
      <w:r>
        <w:rPr>
          <w:lang w:val="pl-PL"/>
        </w:rPr>
        <w:t>R</w:t>
      </w:r>
      <w:r w:rsidRPr="00F75CAC">
        <w:rPr>
          <w:lang w:val="pl-PL"/>
        </w:rPr>
        <w:t>ządów</w:t>
      </w:r>
      <w:r w:rsidRPr="0065638D">
        <w:rPr>
          <w:lang w:val="pl-PL"/>
        </w:rPr>
        <w:t xml:space="preserve"> </w:t>
      </w:r>
      <w:r>
        <w:rPr>
          <w:lang w:val="pl-PL"/>
        </w:rPr>
        <w:t xml:space="preserve">wykazały się niechęcią do </w:t>
      </w:r>
      <w:r w:rsidRPr="0065638D">
        <w:rPr>
          <w:lang w:val="pl-PL"/>
        </w:rPr>
        <w:t xml:space="preserve">współpracy i </w:t>
      </w:r>
      <w:r>
        <w:rPr>
          <w:lang w:val="pl-PL"/>
        </w:rPr>
        <w:t>nie postawiły</w:t>
      </w:r>
      <w:r w:rsidRPr="0065638D">
        <w:rPr>
          <w:lang w:val="pl-PL"/>
        </w:rPr>
        <w:t xml:space="preserve"> sprawców przed sądem</w:t>
      </w:r>
      <w:r w:rsidRPr="002C5541">
        <w:rPr>
          <w:lang w:val="pl-PL"/>
        </w:rPr>
        <w:t xml:space="preserve">. </w:t>
      </w:r>
      <w:r>
        <w:rPr>
          <w:lang w:val="pl-PL"/>
        </w:rPr>
        <w:t xml:space="preserve">Skarżący zaznaczyli, że </w:t>
      </w:r>
      <w:r w:rsidRPr="00F75CAC">
        <w:rPr>
          <w:lang w:val="pl-PL"/>
        </w:rPr>
        <w:t xml:space="preserve">zostali potraktowani z całkowitą niewrażliwością i obojętnością. </w:t>
      </w:r>
      <w:r>
        <w:rPr>
          <w:lang w:val="pl-PL"/>
        </w:rPr>
        <w:t>Wezwali więc</w:t>
      </w:r>
      <w:r w:rsidRPr="00F75CAC">
        <w:rPr>
          <w:lang w:val="pl-PL"/>
        </w:rPr>
        <w:t xml:space="preserve"> Trybunał </w:t>
      </w:r>
      <w:r>
        <w:rPr>
          <w:lang w:val="pl-PL"/>
        </w:rPr>
        <w:t>d</w:t>
      </w:r>
      <w:r w:rsidRPr="00F75CAC">
        <w:rPr>
          <w:lang w:val="pl-PL"/>
        </w:rPr>
        <w:t>o potępieni</w:t>
      </w:r>
      <w:r>
        <w:rPr>
          <w:lang w:val="pl-PL"/>
        </w:rPr>
        <w:t>a</w:t>
      </w:r>
      <w:r w:rsidRPr="00F75CAC">
        <w:rPr>
          <w:lang w:val="pl-PL"/>
        </w:rPr>
        <w:t xml:space="preserve"> bezdusznej postawy pozwanych Rządów poprzez przyznanie im </w:t>
      </w:r>
      <w:r>
        <w:rPr>
          <w:lang w:val="pl-PL"/>
        </w:rPr>
        <w:t>znacznej sumy pieniężnej</w:t>
      </w:r>
      <w:r w:rsidRPr="00F75CAC">
        <w:rPr>
          <w:lang w:val="pl-PL"/>
        </w:rPr>
        <w:t xml:space="preserve">, </w:t>
      </w:r>
      <w:r>
        <w:rPr>
          <w:lang w:val="pl-PL"/>
        </w:rPr>
        <w:t xml:space="preserve">która jednak nie mogła </w:t>
      </w:r>
      <w:r w:rsidRPr="00F75CAC">
        <w:rPr>
          <w:lang w:val="pl-PL"/>
        </w:rPr>
        <w:t>zrekompensować ogromnej straty, jaką ponieśli</w:t>
      </w:r>
      <w:r w:rsidRPr="002C5541">
        <w:rPr>
          <w:lang w:val="pl-PL"/>
        </w:rPr>
        <w:t xml:space="preserve">. </w:t>
      </w:r>
      <w:r>
        <w:rPr>
          <w:lang w:val="pl-PL"/>
        </w:rPr>
        <w:t>Ponadto</w:t>
      </w:r>
      <w:r w:rsidRPr="002C5541">
        <w:rPr>
          <w:lang w:val="pl-PL"/>
        </w:rPr>
        <w:t xml:space="preserve">, </w:t>
      </w:r>
      <w:r w:rsidRPr="00F75CAC">
        <w:rPr>
          <w:lang w:val="pl-PL"/>
        </w:rPr>
        <w:t xml:space="preserve">w związku z tym, że pozwane Rządy nie przeprowadziły </w:t>
      </w:r>
      <w:r>
        <w:rPr>
          <w:lang w:val="pl-PL"/>
        </w:rPr>
        <w:t>śledztwa</w:t>
      </w:r>
      <w:r w:rsidRPr="00F75CAC">
        <w:rPr>
          <w:lang w:val="pl-PL"/>
        </w:rPr>
        <w:t xml:space="preserve">, nie zatrzymały, nie ścigały i nie ukarały osób odpowiedzialnych za te </w:t>
      </w:r>
      <w:r>
        <w:rPr>
          <w:lang w:val="pl-PL"/>
        </w:rPr>
        <w:t>morderstwa</w:t>
      </w:r>
      <w:r w:rsidRPr="00F75CAC">
        <w:rPr>
          <w:lang w:val="pl-PL"/>
        </w:rPr>
        <w:t xml:space="preserve">, wszyscy skarżący, a w szczególności pierwszy skarżący, obawiali się o swoje życie i żyli w </w:t>
      </w:r>
      <w:r w:rsidRPr="008136B5">
        <w:rPr>
          <w:lang w:val="pl-PL"/>
        </w:rPr>
        <w:t xml:space="preserve">stanie </w:t>
      </w:r>
      <w:r w:rsidRPr="00F75CAC">
        <w:rPr>
          <w:lang w:val="pl-PL"/>
        </w:rPr>
        <w:t>ciągł</w:t>
      </w:r>
      <w:r>
        <w:rPr>
          <w:lang w:val="pl-PL"/>
        </w:rPr>
        <w:t>ego</w:t>
      </w:r>
      <w:r w:rsidRPr="00F75CAC">
        <w:rPr>
          <w:lang w:val="pl-PL"/>
        </w:rPr>
        <w:t xml:space="preserve"> strachu i niepokoju</w:t>
      </w:r>
      <w:r w:rsidRPr="002C5541">
        <w:rPr>
          <w:lang w:val="pl-PL"/>
        </w:rPr>
        <w:t xml:space="preserve">. </w:t>
      </w:r>
      <w:r w:rsidRPr="00F75CAC">
        <w:rPr>
          <w:lang w:val="pl-PL"/>
        </w:rPr>
        <w:t xml:space="preserve">Nastąpił zamach na życie pierwszego </w:t>
      </w:r>
      <w:r>
        <w:rPr>
          <w:lang w:val="pl-PL"/>
        </w:rPr>
        <w:t>skarżącego</w:t>
      </w:r>
      <w:r w:rsidRPr="00F75CAC">
        <w:rPr>
          <w:lang w:val="pl-PL"/>
        </w:rPr>
        <w:t xml:space="preserve">, a jego ochroniarz został zamordowany. W dniach i miesiącach bezpośrednio po zabójstwach musiał on również działać jako pośrednik między różnymi władzami, </w:t>
      </w:r>
      <w:r>
        <w:rPr>
          <w:lang w:val="pl-PL"/>
        </w:rPr>
        <w:t xml:space="preserve">gdyż te odmawiały współpracy </w:t>
      </w:r>
      <w:r w:rsidRPr="00F75CAC">
        <w:rPr>
          <w:lang w:val="pl-PL"/>
        </w:rPr>
        <w:t xml:space="preserve">ze sobą. Z tych właśnie powodów roszczenie pierwszego </w:t>
      </w:r>
      <w:r>
        <w:rPr>
          <w:lang w:val="pl-PL"/>
        </w:rPr>
        <w:t>skarżącego</w:t>
      </w:r>
      <w:r w:rsidRPr="00F75CAC">
        <w:rPr>
          <w:lang w:val="pl-PL"/>
        </w:rPr>
        <w:t xml:space="preserve"> </w:t>
      </w:r>
      <w:r>
        <w:rPr>
          <w:lang w:val="pl-PL"/>
        </w:rPr>
        <w:t>z tego tytułu jest</w:t>
      </w:r>
      <w:r w:rsidRPr="00F75CAC">
        <w:rPr>
          <w:lang w:val="pl-PL"/>
        </w:rPr>
        <w:t xml:space="preserve"> wyższe</w:t>
      </w:r>
      <w:r>
        <w:rPr>
          <w:lang w:val="pl-PL"/>
        </w:rPr>
        <w:t>.</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280</w:t>
      </w:r>
      <w:r w:rsidRPr="002C5541">
        <w:rPr>
          <w:lang w:val="pl-PL"/>
        </w:rPr>
        <w:fldChar w:fldCharType="end"/>
      </w:r>
      <w:r w:rsidRPr="002C5541">
        <w:rPr>
          <w:lang w:val="pl-PL"/>
        </w:rPr>
        <w:t>.</w:t>
      </w:r>
      <w:r>
        <w:rPr>
          <w:lang w:val="pl-PL"/>
        </w:rPr>
        <w:t xml:space="preserve"> W stanowisku przedstawionym przed Izbą Rząd Turecki dowodził, że Trybunał powinien odmówić przyznania jakiegokolwiek zadośćuczynienia, jako że nie doszło do żadnego naruszenia, którego </w:t>
      </w:r>
      <w:r w:rsidRPr="008136B5">
        <w:rPr>
          <w:lang w:val="pl-PL"/>
        </w:rPr>
        <w:t xml:space="preserve">zadośćuczynienie </w:t>
      </w:r>
      <w:r>
        <w:rPr>
          <w:lang w:val="pl-PL"/>
        </w:rPr>
        <w:t>mogłoby dotyczyć</w:t>
      </w:r>
      <w:r w:rsidRPr="002C5541">
        <w:rPr>
          <w:lang w:val="pl-PL"/>
        </w:rPr>
        <w:t xml:space="preserve">. </w:t>
      </w:r>
      <w:r>
        <w:rPr>
          <w:lang w:val="pl-PL"/>
        </w:rPr>
        <w:t>Gdyby jednak Trybunał uznał inaczej, samo stwierdzenie, że doszło do naruszenia, stanowiłoby samo w sobie dostatecznie słuszne zadośćuczynienie</w:t>
      </w:r>
      <w:r w:rsidRPr="002C5541">
        <w:rPr>
          <w:lang w:val="pl-PL"/>
        </w:rPr>
        <w:t xml:space="preserve">. </w:t>
      </w:r>
      <w:r>
        <w:rPr>
          <w:lang w:val="pl-PL"/>
        </w:rPr>
        <w:t>W każdym razie słuszne zadośćuczynienie nie powinno prowadzić do bezpodstawnego wzbogacenia</w:t>
      </w:r>
      <w:r w:rsidRPr="002C5541">
        <w:rPr>
          <w:lang w:val="pl-PL"/>
        </w:rPr>
        <w:t xml:space="preserve">. </w:t>
      </w:r>
      <w:r>
        <w:rPr>
          <w:lang w:val="pl-PL"/>
        </w:rPr>
        <w:t>Kwoty żądane przez skarżących były nadmierne, niesłuszne i niezgodne z kwotami przyznanymi przez Trybunał w podobnych sprawach</w:t>
      </w:r>
      <w:r w:rsidRPr="002C5541">
        <w:rPr>
          <w:lang w:val="pl-PL"/>
        </w:rPr>
        <w:t xml:space="preserve">. </w:t>
      </w:r>
      <w:r>
        <w:rPr>
          <w:lang w:val="pl-PL"/>
        </w:rPr>
        <w:t xml:space="preserve">Rząd </w:t>
      </w:r>
      <w:r w:rsidRPr="00D9678A">
        <w:rPr>
          <w:lang w:val="pl-PL"/>
        </w:rPr>
        <w:t xml:space="preserve">Turecki </w:t>
      </w:r>
      <w:r>
        <w:rPr>
          <w:lang w:val="pl-PL"/>
        </w:rPr>
        <w:t>zwracał uwagę Trybunału na kwoty przyznane w sprawach:</w:t>
      </w:r>
      <w:r w:rsidRPr="002C5541">
        <w:rPr>
          <w:lang w:val="pl-PL"/>
        </w:rPr>
        <w:t xml:space="preserve"> </w:t>
      </w:r>
      <w:r w:rsidRPr="002C5541">
        <w:rPr>
          <w:i/>
          <w:iCs/>
          <w:lang w:val="pl-PL"/>
        </w:rPr>
        <w:t xml:space="preserve">Solomou </w:t>
      </w:r>
      <w:r>
        <w:rPr>
          <w:i/>
          <w:iCs/>
          <w:lang w:val="pl-PL"/>
        </w:rPr>
        <w:t>i inni przeciwko Turcji</w:t>
      </w:r>
      <w:r w:rsidRPr="002C5541">
        <w:rPr>
          <w:lang w:val="pl-PL"/>
        </w:rPr>
        <w:t xml:space="preserve">, </w:t>
      </w:r>
      <w:r>
        <w:rPr>
          <w:lang w:val="pl-PL"/>
        </w:rPr>
        <w:t xml:space="preserve">nr </w:t>
      </w:r>
      <w:r w:rsidRPr="002C5541">
        <w:rPr>
          <w:lang w:val="pl-PL"/>
        </w:rPr>
        <w:t xml:space="preserve">36832/97, § 101, 24 </w:t>
      </w:r>
      <w:r>
        <w:rPr>
          <w:lang w:val="pl-PL"/>
        </w:rPr>
        <w:t>czerwca</w:t>
      </w:r>
      <w:r w:rsidRPr="002C5541">
        <w:rPr>
          <w:lang w:val="pl-PL"/>
        </w:rPr>
        <w:t xml:space="preserve"> 2008</w:t>
      </w:r>
      <w:r>
        <w:rPr>
          <w:lang w:val="pl-PL"/>
        </w:rPr>
        <w:t xml:space="preserve"> r.</w:t>
      </w:r>
      <w:r w:rsidRPr="002C5541">
        <w:rPr>
          <w:lang w:val="pl-PL"/>
        </w:rPr>
        <w:t>;</w:t>
      </w:r>
      <w:r w:rsidRPr="002C5541">
        <w:rPr>
          <w:i/>
          <w:iCs/>
          <w:lang w:val="pl-PL"/>
        </w:rPr>
        <w:t xml:space="preserve"> Isaak </w:t>
      </w:r>
      <w:r w:rsidRPr="00354AA2">
        <w:rPr>
          <w:i/>
          <w:iCs/>
          <w:lang w:val="pl-PL"/>
        </w:rPr>
        <w:t>przeciwko Turcji</w:t>
      </w:r>
      <w:r w:rsidRPr="002C5541">
        <w:rPr>
          <w:lang w:val="pl-PL"/>
        </w:rPr>
        <w:t xml:space="preserve">, </w:t>
      </w:r>
      <w:r w:rsidRPr="00354AA2">
        <w:rPr>
          <w:lang w:val="pl-PL"/>
        </w:rPr>
        <w:t xml:space="preserve">nr </w:t>
      </w:r>
      <w:r w:rsidRPr="002C5541">
        <w:rPr>
          <w:lang w:val="pl-PL"/>
        </w:rPr>
        <w:t>44587/98, § 139, 24 </w:t>
      </w:r>
      <w:r>
        <w:rPr>
          <w:lang w:val="pl-PL"/>
        </w:rPr>
        <w:t>czerwca</w:t>
      </w:r>
      <w:r w:rsidRPr="002C5541">
        <w:rPr>
          <w:lang w:val="pl-PL"/>
        </w:rPr>
        <w:t xml:space="preserve"> 2008</w:t>
      </w:r>
      <w:r>
        <w:rPr>
          <w:lang w:val="pl-PL"/>
        </w:rPr>
        <w:t xml:space="preserve"> r.</w:t>
      </w:r>
      <w:r w:rsidRPr="002C5541">
        <w:rPr>
          <w:lang w:val="pl-PL"/>
        </w:rPr>
        <w:t xml:space="preserve">; </w:t>
      </w:r>
      <w:r>
        <w:rPr>
          <w:lang w:val="pl-PL"/>
        </w:rPr>
        <w:t>oraz</w:t>
      </w:r>
      <w:r w:rsidRPr="002C5541">
        <w:rPr>
          <w:i/>
          <w:iCs/>
          <w:lang w:val="pl-PL"/>
        </w:rPr>
        <w:t xml:space="preserve"> Kakoulli </w:t>
      </w:r>
      <w:r w:rsidRPr="00354AA2">
        <w:rPr>
          <w:i/>
          <w:iCs/>
          <w:lang w:val="pl-PL"/>
        </w:rPr>
        <w:t>przeciwko Turcji</w:t>
      </w:r>
      <w:r w:rsidRPr="002C5541">
        <w:rPr>
          <w:lang w:val="pl-PL"/>
        </w:rPr>
        <w:t xml:space="preserve">, </w:t>
      </w:r>
      <w:r w:rsidRPr="00354AA2">
        <w:rPr>
          <w:lang w:val="pl-PL"/>
        </w:rPr>
        <w:t xml:space="preserve">nr </w:t>
      </w:r>
      <w:r w:rsidRPr="002C5541">
        <w:rPr>
          <w:lang w:val="pl-PL"/>
        </w:rPr>
        <w:t xml:space="preserve">38595/97, § 140, 22 </w:t>
      </w:r>
      <w:r>
        <w:rPr>
          <w:lang w:val="pl-PL"/>
        </w:rPr>
        <w:t>listopada</w:t>
      </w:r>
      <w:r w:rsidRPr="002C5541">
        <w:rPr>
          <w:lang w:val="pl-PL"/>
        </w:rPr>
        <w:t xml:space="preserve"> 2005</w:t>
      </w:r>
      <w:r>
        <w:rPr>
          <w:lang w:val="pl-PL"/>
        </w:rPr>
        <w:t xml:space="preserve"> r</w:t>
      </w:r>
      <w:r w:rsidRPr="002C5541">
        <w:rPr>
          <w:lang w:val="pl-PL"/>
        </w:rPr>
        <w:t>.</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281</w:t>
      </w:r>
      <w:r w:rsidRPr="002C5541">
        <w:rPr>
          <w:lang w:val="pl-PL"/>
        </w:rPr>
        <w:fldChar w:fldCharType="end"/>
      </w:r>
      <w:r w:rsidRPr="002C5541">
        <w:rPr>
          <w:lang w:val="pl-PL"/>
        </w:rPr>
        <w:t>.</w:t>
      </w:r>
      <w:r>
        <w:rPr>
          <w:lang w:val="pl-PL"/>
        </w:rPr>
        <w:t xml:space="preserve"> Izba orzekła, że w konsekwencji stwierdzonego naruszenia aspektu proceduralnego art. 2</w:t>
      </w:r>
      <w:r w:rsidRPr="002C5541">
        <w:rPr>
          <w:lang w:val="pl-PL"/>
        </w:rPr>
        <w:t xml:space="preserve"> </w:t>
      </w:r>
      <w:r>
        <w:rPr>
          <w:lang w:val="pl-PL"/>
        </w:rPr>
        <w:t>ze strony obu pozwanych Rządów skarżący ponieśli szkodę niemajątkową, której nie da się zadośćuczynić wyłącznie poprzez uznanie, że doszło do naruszenia</w:t>
      </w:r>
      <w:r w:rsidRPr="002C5541">
        <w:rPr>
          <w:lang w:val="pl-PL"/>
        </w:rPr>
        <w:t xml:space="preserve">. </w:t>
      </w:r>
      <w:r w:rsidRPr="00982FF1">
        <w:rPr>
          <w:lang w:val="pl-PL"/>
        </w:rPr>
        <w:t xml:space="preserve">W oparciu </w:t>
      </w:r>
      <w:r>
        <w:rPr>
          <w:lang w:val="pl-PL"/>
        </w:rPr>
        <w:t>o</w:t>
      </w:r>
      <w:r w:rsidRPr="00982FF1">
        <w:rPr>
          <w:lang w:val="pl-PL"/>
        </w:rPr>
        <w:t xml:space="preserve"> zasa</w:t>
      </w:r>
      <w:r>
        <w:rPr>
          <w:lang w:val="pl-PL"/>
        </w:rPr>
        <w:t>dę</w:t>
      </w:r>
      <w:r w:rsidRPr="00982FF1">
        <w:rPr>
          <w:lang w:val="pl-PL"/>
        </w:rPr>
        <w:t xml:space="preserve"> słuszności</w:t>
      </w:r>
      <w:r>
        <w:rPr>
          <w:lang w:val="pl-PL"/>
        </w:rPr>
        <w:t xml:space="preserve"> Izba zdecydowała, że każdy z pozwanych Rządów ma zapłacić kwotę</w:t>
      </w:r>
      <w:r w:rsidRPr="002C5541">
        <w:rPr>
          <w:lang w:val="pl-PL"/>
        </w:rPr>
        <w:t xml:space="preserve"> 8</w:t>
      </w:r>
      <w:r>
        <w:rPr>
          <w:lang w:val="pl-PL"/>
        </w:rPr>
        <w:t> </w:t>
      </w:r>
      <w:r w:rsidRPr="002C5541">
        <w:rPr>
          <w:lang w:val="pl-PL"/>
        </w:rPr>
        <w:t>500</w:t>
      </w:r>
      <w:r>
        <w:rPr>
          <w:lang w:val="pl-PL"/>
        </w:rPr>
        <w:t xml:space="preserve"> euro </w:t>
      </w:r>
      <w:r w:rsidRPr="008136B5">
        <w:rPr>
          <w:lang w:val="pl-PL"/>
        </w:rPr>
        <w:t>wraz z ewentualnymi podatkami</w:t>
      </w:r>
      <w:r>
        <w:rPr>
          <w:lang w:val="pl-PL"/>
        </w:rPr>
        <w:t xml:space="preserve"> na rzecz każdego ze skarżących</w:t>
      </w:r>
      <w:r w:rsidRPr="002C5541">
        <w:rPr>
          <w:lang w:val="pl-PL"/>
        </w:rPr>
        <w:t>.</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282</w:t>
      </w:r>
      <w:r w:rsidRPr="002C5541">
        <w:rPr>
          <w:lang w:val="pl-PL"/>
        </w:rPr>
        <w:fldChar w:fldCharType="end"/>
      </w:r>
      <w:r w:rsidRPr="002C5541">
        <w:rPr>
          <w:lang w:val="pl-PL"/>
        </w:rPr>
        <w:t>.</w:t>
      </w:r>
      <w:r>
        <w:rPr>
          <w:lang w:val="pl-PL"/>
        </w:rPr>
        <w:t xml:space="preserve"> Przed Wielką Izbą skarżący nie skomentowali swoich roszczeń. Rząd Turecki jedynie wezwał Wielką Izbę o odrzucenie roszczenia o słuszne zadośćuczynienie</w:t>
      </w:r>
      <w:r w:rsidRPr="002C5541">
        <w:rPr>
          <w:lang w:val="pl-PL"/>
        </w:rPr>
        <w:t>.</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283</w:t>
      </w:r>
      <w:r w:rsidRPr="002C5541">
        <w:rPr>
          <w:lang w:val="pl-PL"/>
        </w:rPr>
        <w:fldChar w:fldCharType="end"/>
      </w:r>
      <w:r w:rsidRPr="002C5541">
        <w:rPr>
          <w:lang w:val="pl-PL"/>
        </w:rPr>
        <w:t>.</w:t>
      </w:r>
      <w:r>
        <w:rPr>
          <w:lang w:val="pl-PL"/>
        </w:rPr>
        <w:t xml:space="preserve"> Wielka Izba zwraca uwagę, że stwierdziła naruszenie aspektu proceduralnego art. 2, polegające na tym, że Turcja nie podjęła współpracy dla celów skutecznego śledztwa w sprawie śmierci krewnych skarżących. W wyniku stwierdzonego naruszenia skarżący ponieśli szkodę niemajątkową,</w:t>
      </w:r>
      <w:r w:rsidRPr="00982FF1">
        <w:rPr>
          <w:lang w:val="pl-PL"/>
        </w:rPr>
        <w:t xml:space="preserve"> której nie da się zadośćuczynić wyłącznie poprzez uznanie, że doszło do naruszenia</w:t>
      </w:r>
      <w:r w:rsidRPr="002C5541">
        <w:rPr>
          <w:lang w:val="pl-PL"/>
        </w:rPr>
        <w:t>.</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284</w:t>
      </w:r>
      <w:r w:rsidRPr="002C5541">
        <w:rPr>
          <w:lang w:val="pl-PL"/>
        </w:rPr>
        <w:fldChar w:fldCharType="end"/>
      </w:r>
      <w:r w:rsidRPr="002C5541">
        <w:rPr>
          <w:lang w:val="pl-PL"/>
        </w:rPr>
        <w:t>.</w:t>
      </w:r>
      <w:r>
        <w:rPr>
          <w:lang w:val="pl-PL"/>
        </w:rPr>
        <w:t xml:space="preserve"> </w:t>
      </w:r>
      <w:r w:rsidRPr="00982FF1">
        <w:rPr>
          <w:lang w:val="pl-PL"/>
        </w:rPr>
        <w:t>Mając na uwadze powody, dla których stwierdzono naruszenie</w:t>
      </w:r>
      <w:r>
        <w:rPr>
          <w:lang w:val="pl-PL"/>
        </w:rPr>
        <w:t>,</w:t>
      </w:r>
      <w:r w:rsidRPr="00982FF1">
        <w:rPr>
          <w:lang w:val="pl-PL"/>
        </w:rPr>
        <w:t xml:space="preserve"> oraz okoliczności sprawy, Wielka Izba, orzekając </w:t>
      </w:r>
      <w:r>
        <w:rPr>
          <w:lang w:val="pl-PL"/>
        </w:rPr>
        <w:t xml:space="preserve">w </w:t>
      </w:r>
      <w:r w:rsidRPr="00982FF1">
        <w:rPr>
          <w:lang w:val="pl-PL"/>
        </w:rPr>
        <w:t>oparciu o zasadę słuszności, zgodnie z wymogami art. 41 Konwencji, postanawia, że Turcja powinna wypłacić każdemu ze skarżących kwotę 8</w:t>
      </w:r>
      <w:r>
        <w:rPr>
          <w:lang w:val="pl-PL"/>
        </w:rPr>
        <w:t xml:space="preserve"> </w:t>
      </w:r>
      <w:r w:rsidRPr="00982FF1">
        <w:rPr>
          <w:lang w:val="pl-PL"/>
        </w:rPr>
        <w:t xml:space="preserve">500 </w:t>
      </w:r>
      <w:r>
        <w:rPr>
          <w:lang w:val="pl-PL"/>
        </w:rPr>
        <w:t xml:space="preserve">euro </w:t>
      </w:r>
      <w:r w:rsidRPr="007F38D5">
        <w:rPr>
          <w:lang w:val="pl-PL"/>
        </w:rPr>
        <w:t>wraz z ewentualnymi podatkami</w:t>
      </w:r>
      <w:r w:rsidRPr="002C5541">
        <w:rPr>
          <w:lang w:val="pl-PL"/>
        </w:rPr>
        <w:t>.</w:t>
      </w:r>
    </w:p>
    <w:p w:rsidR="00110FEE" w:rsidRPr="002C5541" w:rsidRDefault="00110FEE" w:rsidP="00F25813">
      <w:pPr>
        <w:pStyle w:val="ECHRHeading2"/>
        <w:outlineLvl w:val="0"/>
        <w:rPr>
          <w:lang w:val="pl-PL"/>
        </w:rPr>
      </w:pPr>
      <w:r w:rsidRPr="002C5541">
        <w:rPr>
          <w:lang w:val="pl-PL"/>
        </w:rPr>
        <w:t>B.</w:t>
      </w:r>
      <w:r>
        <w:rPr>
          <w:lang w:val="pl-PL"/>
        </w:rPr>
        <w:t xml:space="preserve"> Koszty i wydatki</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285</w:t>
      </w:r>
      <w:r w:rsidRPr="002C5541">
        <w:rPr>
          <w:lang w:val="pl-PL"/>
        </w:rPr>
        <w:fldChar w:fldCharType="end"/>
      </w:r>
      <w:r w:rsidRPr="002C5541">
        <w:rPr>
          <w:lang w:val="pl-PL"/>
        </w:rPr>
        <w:t>.</w:t>
      </w:r>
      <w:r>
        <w:rPr>
          <w:lang w:val="pl-PL"/>
        </w:rPr>
        <w:t xml:space="preserve"> Skarżący zażądali łącznie </w:t>
      </w:r>
      <w:r w:rsidRPr="002C5541">
        <w:rPr>
          <w:lang w:val="pl-PL"/>
        </w:rPr>
        <w:t>40</w:t>
      </w:r>
      <w:r>
        <w:rPr>
          <w:lang w:val="pl-PL"/>
        </w:rPr>
        <w:t xml:space="preserve"> </w:t>
      </w:r>
      <w:r w:rsidRPr="002C5541">
        <w:rPr>
          <w:lang w:val="pl-PL"/>
        </w:rPr>
        <w:t xml:space="preserve">000 </w:t>
      </w:r>
      <w:r>
        <w:rPr>
          <w:lang w:val="pl-PL"/>
        </w:rPr>
        <w:t xml:space="preserve">funtów szterlingów </w:t>
      </w:r>
      <w:r w:rsidRPr="002C5541">
        <w:rPr>
          <w:lang w:val="pl-PL"/>
        </w:rPr>
        <w:t xml:space="preserve">(GBP) </w:t>
      </w:r>
      <w:r>
        <w:rPr>
          <w:lang w:val="pl-PL"/>
        </w:rPr>
        <w:t>z tytułu wynagrodzenia prawników za postępowanie przez Trybunałem. Skarżący podnieśli, że na taką kwotę się zgodzili i przedstawili list intencyjny (wskazujący wynagrodzenie prawników</w:t>
      </w:r>
      <w:r w:rsidRPr="002C5541">
        <w:rPr>
          <w:lang w:val="pl-PL"/>
        </w:rPr>
        <w:t xml:space="preserve">) </w:t>
      </w:r>
      <w:r>
        <w:rPr>
          <w:lang w:val="pl-PL"/>
        </w:rPr>
        <w:t>z dnia</w:t>
      </w:r>
      <w:r w:rsidRPr="002C5541">
        <w:rPr>
          <w:lang w:val="pl-PL"/>
        </w:rPr>
        <w:t xml:space="preserve"> 5 </w:t>
      </w:r>
      <w:r>
        <w:rPr>
          <w:lang w:val="pl-PL"/>
        </w:rPr>
        <w:t xml:space="preserve">grudnia </w:t>
      </w:r>
      <w:r w:rsidRPr="002C5541">
        <w:rPr>
          <w:lang w:val="pl-PL"/>
        </w:rPr>
        <w:t>2005</w:t>
      </w:r>
      <w:r>
        <w:rPr>
          <w:lang w:val="pl-PL"/>
        </w:rPr>
        <w:t xml:space="preserve"> r.</w:t>
      </w:r>
      <w:r w:rsidRPr="002C5541">
        <w:rPr>
          <w:lang w:val="pl-PL"/>
        </w:rPr>
        <w:t xml:space="preserve">, </w:t>
      </w:r>
      <w:r>
        <w:rPr>
          <w:lang w:val="pl-PL"/>
        </w:rPr>
        <w:t>podpisany przez czwartą skarżącą</w:t>
      </w:r>
      <w:r w:rsidRPr="002C5541">
        <w:rPr>
          <w:lang w:val="pl-PL"/>
        </w:rPr>
        <w:t xml:space="preserve">. </w:t>
      </w:r>
      <w:r>
        <w:rPr>
          <w:lang w:val="pl-PL"/>
        </w:rPr>
        <w:t xml:space="preserve">Zgodnie z tą umową powyższa kwota została podzielona w następujący sposób: opłata </w:t>
      </w:r>
      <w:r w:rsidRPr="002C5541">
        <w:rPr>
          <w:lang w:val="pl-PL"/>
        </w:rPr>
        <w:t>20</w:t>
      </w:r>
      <w:r>
        <w:rPr>
          <w:lang w:val="pl-PL"/>
        </w:rPr>
        <w:t xml:space="preserve"> </w:t>
      </w:r>
      <w:r w:rsidRPr="002C5541">
        <w:rPr>
          <w:lang w:val="pl-PL"/>
        </w:rPr>
        <w:t xml:space="preserve">000 </w:t>
      </w:r>
      <w:r>
        <w:rPr>
          <w:lang w:val="pl-PL"/>
        </w:rPr>
        <w:t xml:space="preserve">funtów </w:t>
      </w:r>
      <w:r w:rsidRPr="00152F12">
        <w:rPr>
          <w:lang w:val="pl-PL"/>
        </w:rPr>
        <w:t xml:space="preserve">szterlingów </w:t>
      </w:r>
      <w:r>
        <w:rPr>
          <w:lang w:val="pl-PL"/>
        </w:rPr>
        <w:t xml:space="preserve">za pracę zrealizowaną przez ich przedstawiciela przed władzami pozwanych Rządów i </w:t>
      </w:r>
      <w:r w:rsidRPr="002C5541">
        <w:rPr>
          <w:lang w:val="pl-PL"/>
        </w:rPr>
        <w:t xml:space="preserve">UNFICYP; </w:t>
      </w:r>
      <w:r>
        <w:rPr>
          <w:lang w:val="pl-PL"/>
        </w:rPr>
        <w:t>oraz łączną kwotę w wysokości</w:t>
      </w:r>
      <w:r w:rsidRPr="002C5541">
        <w:rPr>
          <w:lang w:val="pl-PL"/>
        </w:rPr>
        <w:t xml:space="preserve"> 20</w:t>
      </w:r>
      <w:r>
        <w:rPr>
          <w:lang w:val="pl-PL"/>
        </w:rPr>
        <w:t xml:space="preserve"> </w:t>
      </w:r>
      <w:r w:rsidRPr="002C5541">
        <w:rPr>
          <w:lang w:val="pl-PL"/>
        </w:rPr>
        <w:t xml:space="preserve">000 </w:t>
      </w:r>
      <w:r>
        <w:rPr>
          <w:lang w:val="pl-PL"/>
        </w:rPr>
        <w:t xml:space="preserve">funtów </w:t>
      </w:r>
      <w:r w:rsidRPr="00152F12">
        <w:rPr>
          <w:lang w:val="pl-PL"/>
        </w:rPr>
        <w:t xml:space="preserve">szterlingów </w:t>
      </w:r>
      <w:r>
        <w:rPr>
          <w:lang w:val="pl-PL"/>
        </w:rPr>
        <w:t>za koszty i wydatki poniesione przed Trybunałem na wypadek złożenia skargi</w:t>
      </w:r>
      <w:r w:rsidRPr="002C5541">
        <w:rPr>
          <w:lang w:val="pl-PL"/>
        </w:rPr>
        <w:t xml:space="preserve">. </w:t>
      </w:r>
      <w:r>
        <w:rPr>
          <w:lang w:val="pl-PL"/>
        </w:rPr>
        <w:t xml:space="preserve">W tym zakresie umowa przewidywała, że każdy etap postępowania kosztować będzie łącznie </w:t>
      </w:r>
      <w:r w:rsidRPr="002C5541">
        <w:rPr>
          <w:lang w:val="pl-PL"/>
        </w:rPr>
        <w:t>7</w:t>
      </w:r>
      <w:r>
        <w:rPr>
          <w:lang w:val="pl-PL"/>
        </w:rPr>
        <w:t> 0</w:t>
      </w:r>
      <w:r w:rsidRPr="002C5541">
        <w:rPr>
          <w:lang w:val="pl-PL"/>
        </w:rPr>
        <w:t>00</w:t>
      </w:r>
      <w:r>
        <w:rPr>
          <w:lang w:val="pl-PL"/>
        </w:rPr>
        <w:t xml:space="preserve"> funtów</w:t>
      </w:r>
      <w:r w:rsidRPr="002C5541">
        <w:rPr>
          <w:lang w:val="pl-PL"/>
        </w:rPr>
        <w:t xml:space="preserve">: </w:t>
      </w:r>
      <w:r>
        <w:rPr>
          <w:lang w:val="pl-PL"/>
        </w:rPr>
        <w:t>pierwszy etap obejmował złożenie skargi</w:t>
      </w:r>
      <w:r w:rsidRPr="002C5541">
        <w:rPr>
          <w:lang w:val="pl-PL"/>
        </w:rPr>
        <w:t xml:space="preserve">; </w:t>
      </w:r>
      <w:r>
        <w:rPr>
          <w:lang w:val="pl-PL"/>
        </w:rPr>
        <w:t>drugi etap obejmował pracę nad przygotowaniem pism procesowych na wypadek, gdyby skarga została uznana za bezpodstawną,</w:t>
      </w:r>
      <w:r w:rsidRPr="002C5541">
        <w:rPr>
          <w:lang w:val="pl-PL"/>
        </w:rPr>
        <w:t xml:space="preserve"> </w:t>
      </w:r>
      <w:r>
        <w:rPr>
          <w:lang w:val="pl-PL"/>
        </w:rPr>
        <w:t>i nad negocjacjami na wypadek ugody</w:t>
      </w:r>
      <w:r w:rsidRPr="002C5541">
        <w:rPr>
          <w:lang w:val="pl-PL"/>
        </w:rPr>
        <w:t xml:space="preserve">; </w:t>
      </w:r>
      <w:r>
        <w:rPr>
          <w:lang w:val="pl-PL"/>
        </w:rPr>
        <w:t>trzeci etap, gdyby nie doszło do zawarcia ugody, obejmował przygotowanie uwag lub reprezentację na rozprawie</w:t>
      </w:r>
      <w:r w:rsidRPr="002C5541">
        <w:rPr>
          <w:lang w:val="pl-PL"/>
        </w:rPr>
        <w:t xml:space="preserve">. </w:t>
      </w:r>
      <w:r>
        <w:rPr>
          <w:lang w:val="pl-PL"/>
        </w:rPr>
        <w:t xml:space="preserve">Łączą kwotę </w:t>
      </w:r>
      <w:r w:rsidRPr="002C5541">
        <w:rPr>
          <w:lang w:val="pl-PL"/>
        </w:rPr>
        <w:t>21</w:t>
      </w:r>
      <w:r>
        <w:rPr>
          <w:lang w:val="pl-PL"/>
        </w:rPr>
        <w:t xml:space="preserve"> </w:t>
      </w:r>
      <w:r w:rsidRPr="002C5541">
        <w:rPr>
          <w:lang w:val="pl-PL"/>
        </w:rPr>
        <w:t xml:space="preserve">000 </w:t>
      </w:r>
      <w:r>
        <w:rPr>
          <w:lang w:val="pl-PL"/>
        </w:rPr>
        <w:t>funtów</w:t>
      </w:r>
      <w:r w:rsidRPr="00152F12">
        <w:rPr>
          <w:lang w:val="pl-PL"/>
        </w:rPr>
        <w:t xml:space="preserve"> szterlingów</w:t>
      </w:r>
      <w:r>
        <w:rPr>
          <w:lang w:val="pl-PL"/>
        </w:rPr>
        <w:t xml:space="preserve"> zaokrąglono w dół do kwoty</w:t>
      </w:r>
      <w:r w:rsidRPr="002C5541">
        <w:rPr>
          <w:lang w:val="pl-PL"/>
        </w:rPr>
        <w:t xml:space="preserve"> 20</w:t>
      </w:r>
      <w:r>
        <w:rPr>
          <w:lang w:val="pl-PL"/>
        </w:rPr>
        <w:t xml:space="preserve"> </w:t>
      </w:r>
      <w:r w:rsidRPr="002C5541">
        <w:rPr>
          <w:lang w:val="pl-PL"/>
        </w:rPr>
        <w:t>000</w:t>
      </w:r>
      <w:r>
        <w:rPr>
          <w:lang w:val="pl-PL"/>
        </w:rPr>
        <w:t xml:space="preserve"> </w:t>
      </w:r>
      <w:r w:rsidRPr="00031561">
        <w:rPr>
          <w:lang w:val="pl-PL"/>
        </w:rPr>
        <w:t>funtów</w:t>
      </w:r>
      <w:r w:rsidRPr="00152F12">
        <w:rPr>
          <w:lang w:val="pl-PL"/>
        </w:rPr>
        <w:t xml:space="preserve"> szterlingów</w:t>
      </w:r>
      <w:r w:rsidRPr="002C5541">
        <w:rPr>
          <w:lang w:val="pl-PL"/>
        </w:rPr>
        <w:t xml:space="preserve">. </w:t>
      </w:r>
      <w:r>
        <w:rPr>
          <w:lang w:val="pl-PL"/>
        </w:rPr>
        <w:t>Kwota ta nie podlegała podatkowi VAT</w:t>
      </w:r>
      <w:r w:rsidRPr="002C5541">
        <w:rPr>
          <w:lang w:val="pl-PL"/>
        </w:rPr>
        <w:t>.</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286</w:t>
      </w:r>
      <w:r w:rsidRPr="002C5541">
        <w:rPr>
          <w:lang w:val="pl-PL"/>
        </w:rPr>
        <w:fldChar w:fldCharType="end"/>
      </w:r>
      <w:r w:rsidRPr="002C5541">
        <w:rPr>
          <w:lang w:val="pl-PL"/>
        </w:rPr>
        <w:t>.</w:t>
      </w:r>
      <w:r>
        <w:rPr>
          <w:lang w:val="pl-PL"/>
        </w:rPr>
        <w:t xml:space="preserve"> Rząd Turecki podniósł przed Izbą, że kwoty żądane na podstawie umowy o opłatę były spekulacyjne lub abstrakcyjne i bezpodstawne</w:t>
      </w:r>
      <w:r w:rsidRPr="002C5541">
        <w:rPr>
          <w:lang w:val="pl-PL"/>
        </w:rPr>
        <w:t xml:space="preserve">. </w:t>
      </w:r>
      <w:r>
        <w:rPr>
          <w:lang w:val="pl-PL"/>
        </w:rPr>
        <w:t>Nie przedstawiono harmonogramu uwzględniającego faktyczną pracę, jaka została wykonana</w:t>
      </w:r>
      <w:r w:rsidRPr="002C5541">
        <w:rPr>
          <w:lang w:val="pl-PL"/>
        </w:rPr>
        <w:t xml:space="preserve">, </w:t>
      </w:r>
      <w:r>
        <w:rPr>
          <w:lang w:val="pl-PL"/>
        </w:rPr>
        <w:t>ani pokwitowań lub dokumentów potwierdzających te koszty</w:t>
      </w:r>
      <w:r w:rsidRPr="002C5541">
        <w:rPr>
          <w:lang w:val="pl-PL"/>
        </w:rPr>
        <w:t xml:space="preserve">. </w:t>
      </w:r>
      <w:r>
        <w:rPr>
          <w:lang w:val="pl-PL"/>
        </w:rPr>
        <w:t xml:space="preserve">Odwołał się do wyroku Trybunału w sprawie </w:t>
      </w:r>
      <w:r w:rsidRPr="002C5541">
        <w:rPr>
          <w:i/>
          <w:iCs/>
          <w:lang w:val="pl-PL"/>
        </w:rPr>
        <w:t xml:space="preserve">Mohd </w:t>
      </w:r>
      <w:r>
        <w:rPr>
          <w:i/>
          <w:iCs/>
          <w:lang w:val="pl-PL"/>
        </w:rPr>
        <w:t xml:space="preserve">przeciwko Grecji </w:t>
      </w:r>
      <w:r w:rsidRPr="002C5541">
        <w:rPr>
          <w:lang w:val="pl-PL"/>
        </w:rPr>
        <w:t>(</w:t>
      </w:r>
      <w:r>
        <w:rPr>
          <w:lang w:val="pl-PL"/>
        </w:rPr>
        <w:t>nr</w:t>
      </w:r>
      <w:r w:rsidRPr="002C5541">
        <w:rPr>
          <w:lang w:val="pl-PL"/>
        </w:rPr>
        <w:t xml:space="preserve"> 11919/03, §§ 29-32, 27 </w:t>
      </w:r>
      <w:r>
        <w:rPr>
          <w:lang w:val="pl-PL"/>
        </w:rPr>
        <w:t>kwietnia</w:t>
      </w:r>
      <w:r w:rsidRPr="002C5541">
        <w:rPr>
          <w:lang w:val="pl-PL"/>
        </w:rPr>
        <w:t xml:space="preserve"> 2006</w:t>
      </w:r>
      <w:r>
        <w:rPr>
          <w:lang w:val="pl-PL"/>
        </w:rPr>
        <w:t xml:space="preserve"> r.</w:t>
      </w:r>
      <w:r w:rsidRPr="002C5541">
        <w:rPr>
          <w:lang w:val="pl-PL"/>
        </w:rPr>
        <w:t xml:space="preserve">). </w:t>
      </w:r>
      <w:r>
        <w:rPr>
          <w:lang w:val="pl-PL"/>
        </w:rPr>
        <w:t>W każdym razie skarżący nie mogą żądać kosztów poniesionych na poziomie krajowym</w:t>
      </w:r>
      <w:r w:rsidRPr="002C5541">
        <w:rPr>
          <w:lang w:val="pl-PL"/>
        </w:rPr>
        <w:t xml:space="preserve">, </w:t>
      </w:r>
      <w:r>
        <w:rPr>
          <w:lang w:val="pl-PL"/>
        </w:rPr>
        <w:t>zaś kwota żądana za wniesienie skargi przed Trybunałem jest nadmierna</w:t>
      </w:r>
      <w:r w:rsidRPr="002C5541">
        <w:rPr>
          <w:lang w:val="pl-PL"/>
        </w:rPr>
        <w:t>.</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287</w:t>
      </w:r>
      <w:r w:rsidRPr="002C5541">
        <w:rPr>
          <w:lang w:val="pl-PL"/>
        </w:rPr>
        <w:fldChar w:fldCharType="end"/>
      </w:r>
      <w:r w:rsidRPr="002C5541">
        <w:rPr>
          <w:lang w:val="pl-PL"/>
        </w:rPr>
        <w:t>.</w:t>
      </w:r>
      <w:r>
        <w:rPr>
          <w:lang w:val="pl-PL"/>
        </w:rPr>
        <w:t xml:space="preserve"> Izba zauważyła, że umowa o opłatę, która została podpisana wyłącznie przez czwartą skarżącą przed złożeniem skargi, odwoływała się jedynie do łącznych sum, które nie zostały szczegółowo wykazane</w:t>
      </w:r>
      <w:r w:rsidRPr="002C5541">
        <w:rPr>
          <w:lang w:val="pl-PL"/>
        </w:rPr>
        <w:t xml:space="preserve">. </w:t>
      </w:r>
      <w:r w:rsidRPr="00C16E45">
        <w:rPr>
          <w:lang w:val="pl-PL"/>
        </w:rPr>
        <w:t xml:space="preserve">Nie odniesiono się do konkretnej, faktycznie wykonanej pracy, liczby przepracowanych godzin ani do naliczanej stawki godzinowej. Skarżący nie przedstawili żadnych innych dokumentów </w:t>
      </w:r>
      <w:r>
        <w:rPr>
          <w:lang w:val="pl-PL"/>
        </w:rPr>
        <w:t>pomocniczych</w:t>
      </w:r>
      <w:r w:rsidRPr="00C16E45">
        <w:rPr>
          <w:lang w:val="pl-PL"/>
        </w:rPr>
        <w:t xml:space="preserve">, takich jak szczegółowe rachunki lub faktury, które uzasadniałyby ich wniosek. W związku z tym Izba nie </w:t>
      </w:r>
      <w:r>
        <w:rPr>
          <w:lang w:val="pl-PL"/>
        </w:rPr>
        <w:t>przyznała kwoty z tego tytułu</w:t>
      </w:r>
      <w:r w:rsidRPr="002C5541">
        <w:rPr>
          <w:lang w:val="pl-PL"/>
        </w:rPr>
        <w:t>.</w:t>
      </w:r>
    </w:p>
    <w:p w:rsidR="00110FEE"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288</w:t>
      </w:r>
      <w:r w:rsidRPr="002C5541">
        <w:rPr>
          <w:lang w:val="pl-PL"/>
        </w:rPr>
        <w:fldChar w:fldCharType="end"/>
      </w:r>
      <w:r w:rsidRPr="002C5541">
        <w:rPr>
          <w:lang w:val="pl-PL"/>
        </w:rPr>
        <w:t>.</w:t>
      </w:r>
      <w:r>
        <w:rPr>
          <w:lang w:val="pl-PL"/>
        </w:rPr>
        <w:t xml:space="preserve"> Przed Wielką Izbą skarżący wyjaśnili, że pierwsza opłata w wysokości </w:t>
      </w:r>
      <w:r w:rsidRPr="002C5541">
        <w:rPr>
          <w:lang w:val="pl-PL"/>
        </w:rPr>
        <w:t>20</w:t>
      </w:r>
      <w:r>
        <w:rPr>
          <w:lang w:val="pl-PL"/>
        </w:rPr>
        <w:t xml:space="preserve"> </w:t>
      </w:r>
      <w:r w:rsidRPr="002C5541">
        <w:rPr>
          <w:lang w:val="pl-PL"/>
        </w:rPr>
        <w:t xml:space="preserve">000 </w:t>
      </w:r>
      <w:r w:rsidRPr="00031561">
        <w:rPr>
          <w:lang w:val="pl-PL"/>
        </w:rPr>
        <w:t xml:space="preserve">funtów </w:t>
      </w:r>
      <w:r w:rsidRPr="00152F12">
        <w:rPr>
          <w:lang w:val="pl-PL"/>
        </w:rPr>
        <w:t xml:space="preserve">szterlingów </w:t>
      </w:r>
      <w:r>
        <w:rPr>
          <w:lang w:val="pl-PL"/>
        </w:rPr>
        <w:t>podlega zwrotowi z tytułu odszkodowania</w:t>
      </w:r>
      <w:r w:rsidRPr="002C5541">
        <w:rPr>
          <w:lang w:val="pl-PL"/>
        </w:rPr>
        <w:t xml:space="preserve">. </w:t>
      </w:r>
      <w:r w:rsidRPr="001679AF">
        <w:rPr>
          <w:lang w:val="pl-PL"/>
        </w:rPr>
        <w:t xml:space="preserve">Druga opłata w wysokości 20 000 funtów </w:t>
      </w:r>
      <w:r w:rsidRPr="00152F12">
        <w:rPr>
          <w:lang w:val="pl-PL"/>
        </w:rPr>
        <w:t xml:space="preserve">szterlingów </w:t>
      </w:r>
      <w:r w:rsidRPr="001679AF">
        <w:rPr>
          <w:lang w:val="pl-PL"/>
        </w:rPr>
        <w:t>również podlegała zwrotowi, chociaż faktycznie zapłacono tylko 10 000 funtów</w:t>
      </w:r>
      <w:r w:rsidRPr="00152F12">
        <w:rPr>
          <w:lang w:val="pl-PL"/>
        </w:rPr>
        <w:t xml:space="preserve"> szterlingów</w:t>
      </w:r>
      <w:r w:rsidRPr="001679AF">
        <w:rPr>
          <w:lang w:val="pl-PL"/>
        </w:rPr>
        <w:t xml:space="preserve">. Skarżący wystąpili dodatkowo o kwotę 20 000 funtów </w:t>
      </w:r>
      <w:r w:rsidRPr="00152F12">
        <w:rPr>
          <w:lang w:val="pl-PL"/>
        </w:rPr>
        <w:t xml:space="preserve">szterlingów </w:t>
      </w:r>
      <w:r w:rsidRPr="001679AF">
        <w:rPr>
          <w:lang w:val="pl-PL"/>
        </w:rPr>
        <w:t xml:space="preserve">na postępowanie przed Wielką Izbą. W odniesieniu do niniejszego postępowania podnieśli oni, że ich adwokat poświęcił 50 godzin </w:t>
      </w:r>
      <w:r>
        <w:rPr>
          <w:lang w:val="pl-PL"/>
        </w:rPr>
        <w:t>na pracę</w:t>
      </w:r>
      <w:r w:rsidRPr="001679AF">
        <w:rPr>
          <w:lang w:val="pl-PL"/>
        </w:rPr>
        <w:t xml:space="preserve"> nad sprawą za stawkę godzinową w wysokości 300 funtów</w:t>
      </w:r>
      <w:r>
        <w:rPr>
          <w:lang w:val="pl-PL"/>
        </w:rPr>
        <w:t xml:space="preserve"> </w:t>
      </w:r>
      <w:r w:rsidRPr="00152F12">
        <w:rPr>
          <w:lang w:val="pl-PL"/>
        </w:rPr>
        <w:t xml:space="preserve">szterlingów </w:t>
      </w:r>
      <w:r>
        <w:rPr>
          <w:lang w:val="pl-PL"/>
        </w:rPr>
        <w:t>zgodnie z poniższym</w:t>
      </w:r>
      <w:r w:rsidRPr="001679AF">
        <w:rPr>
          <w:lang w:val="pl-PL"/>
        </w:rPr>
        <w:t xml:space="preserve">: 10 godzin na zapoznanie się z wyrokiem; 10 godzin na zapoznanie się z wnioskami o </w:t>
      </w:r>
      <w:r>
        <w:rPr>
          <w:lang w:val="pl-PL"/>
        </w:rPr>
        <w:t>skierowanie sprawy</w:t>
      </w:r>
      <w:r w:rsidRPr="001679AF">
        <w:rPr>
          <w:lang w:val="pl-PL"/>
        </w:rPr>
        <w:t xml:space="preserve">; 30 godzin na sformułowanie uwag. Za </w:t>
      </w:r>
      <w:r w:rsidRPr="00E940F1">
        <w:rPr>
          <w:lang w:val="pl-PL"/>
        </w:rPr>
        <w:t>przygotowanie</w:t>
      </w:r>
      <w:r>
        <w:rPr>
          <w:lang w:val="pl-PL"/>
        </w:rPr>
        <w:t xml:space="preserve"> </w:t>
      </w:r>
      <w:r w:rsidRPr="00E940F1">
        <w:rPr>
          <w:lang w:val="pl-PL"/>
        </w:rPr>
        <w:t xml:space="preserve">i przeprowadzenie rozprawy została pobrana dodatkowa opłata w wysokości </w:t>
      </w:r>
      <w:r w:rsidRPr="001679AF">
        <w:rPr>
          <w:lang w:val="pl-PL"/>
        </w:rPr>
        <w:t>5</w:t>
      </w:r>
      <w:r>
        <w:rPr>
          <w:lang w:val="pl-PL"/>
        </w:rPr>
        <w:t xml:space="preserve"> </w:t>
      </w:r>
      <w:r w:rsidRPr="001679AF">
        <w:rPr>
          <w:lang w:val="pl-PL"/>
        </w:rPr>
        <w:t xml:space="preserve">000 </w:t>
      </w:r>
      <w:r>
        <w:rPr>
          <w:lang w:val="pl-PL"/>
        </w:rPr>
        <w:t>funtów</w:t>
      </w:r>
      <w:r w:rsidRPr="00152F12">
        <w:rPr>
          <w:lang w:val="pl-PL"/>
        </w:rPr>
        <w:t xml:space="preserve"> szterlingów</w:t>
      </w:r>
      <w:r w:rsidRPr="001679AF">
        <w:rPr>
          <w:lang w:val="pl-PL"/>
        </w:rPr>
        <w:t xml:space="preserve">. </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289</w:t>
      </w:r>
      <w:r w:rsidRPr="002C5541">
        <w:rPr>
          <w:lang w:val="pl-PL"/>
        </w:rPr>
        <w:fldChar w:fldCharType="end"/>
      </w:r>
      <w:r w:rsidRPr="002C5541">
        <w:rPr>
          <w:lang w:val="pl-PL"/>
        </w:rPr>
        <w:t>.</w:t>
      </w:r>
      <w:r>
        <w:rPr>
          <w:lang w:val="pl-PL"/>
        </w:rPr>
        <w:t xml:space="preserve"> Rząd Turecki nie przedstawił żadnych uwag w tej kwestii przed Wielką Izbą</w:t>
      </w:r>
      <w:r w:rsidRPr="002C5541">
        <w:rPr>
          <w:lang w:val="pl-PL"/>
        </w:rPr>
        <w:t>.</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290</w:t>
      </w:r>
      <w:r w:rsidRPr="002C5541">
        <w:rPr>
          <w:lang w:val="pl-PL"/>
        </w:rPr>
        <w:fldChar w:fldCharType="end"/>
      </w:r>
      <w:r w:rsidRPr="002C5541">
        <w:rPr>
          <w:lang w:val="pl-PL"/>
        </w:rPr>
        <w:t>.</w:t>
      </w:r>
      <w:r>
        <w:rPr>
          <w:lang w:val="pl-PL"/>
        </w:rPr>
        <w:t xml:space="preserve"> Wielka Izba w pełni zgadza się z orzeczeniem Izby w odniesieniu do żądania zwrotu kosztów i wydatków w postępowaniach krajowych i przed Trybunałem</w:t>
      </w:r>
      <w:r w:rsidRPr="002C5541">
        <w:rPr>
          <w:lang w:val="pl-PL"/>
        </w:rPr>
        <w:t xml:space="preserve">. </w:t>
      </w:r>
      <w:r>
        <w:rPr>
          <w:lang w:val="pl-PL"/>
        </w:rPr>
        <w:t>Jeśli chodzi o postępowanie przed Wielką Izbą, Trybunał zauważa, że zgodnie z orzecznictwem skarżący jest uprawniony do otrzymania zwrotu kosztów i wydatków tylko w takim zakresie, w jakim udowodni, że koszty i wydatki tego rodzaju zostały faktycznie poniesione, były niezbędne oraz że ich kwota jest zasadna</w:t>
      </w:r>
      <w:r w:rsidRPr="002C5541">
        <w:rPr>
          <w:lang w:val="pl-PL"/>
        </w:rPr>
        <w:t xml:space="preserve">. </w:t>
      </w:r>
      <w:r>
        <w:rPr>
          <w:lang w:val="pl-PL"/>
        </w:rPr>
        <w:t>Ponadto</w:t>
      </w:r>
      <w:r w:rsidRPr="002C5541">
        <w:rPr>
          <w:lang w:val="pl-PL"/>
        </w:rPr>
        <w:t>,</w:t>
      </w:r>
      <w:r>
        <w:rPr>
          <w:lang w:val="pl-PL"/>
        </w:rPr>
        <w:t xml:space="preserve"> koszty i wydatki można odzyskać tylko w zakresie, w jakim dotyczą one udowodnionego naruszenia</w:t>
      </w:r>
      <w:r w:rsidRPr="002C5541">
        <w:rPr>
          <w:lang w:val="pl-PL"/>
        </w:rPr>
        <w:t xml:space="preserve"> (</w:t>
      </w:r>
      <w:r>
        <w:rPr>
          <w:lang w:val="pl-PL"/>
        </w:rPr>
        <w:t xml:space="preserve">zob. </w:t>
      </w:r>
      <w:r w:rsidRPr="002C5541">
        <w:rPr>
          <w:i/>
          <w:iCs/>
          <w:lang w:val="pl-PL"/>
        </w:rPr>
        <w:t xml:space="preserve">Denisov </w:t>
      </w:r>
      <w:r>
        <w:rPr>
          <w:i/>
          <w:iCs/>
          <w:lang w:val="pl-PL"/>
        </w:rPr>
        <w:t>przeciwko Ukrainie</w:t>
      </w:r>
      <w:r w:rsidRPr="002C5541">
        <w:rPr>
          <w:lang w:val="pl-PL"/>
        </w:rPr>
        <w:t xml:space="preserve"> [GC],</w:t>
      </w:r>
      <w:r w:rsidRPr="002C5541">
        <w:rPr>
          <w:lang w:val="pl-PL" w:eastAsia="en-GB"/>
        </w:rPr>
        <w:t xml:space="preserve"> </w:t>
      </w:r>
      <w:r>
        <w:rPr>
          <w:lang w:val="pl-PL" w:eastAsia="en-GB"/>
        </w:rPr>
        <w:t xml:space="preserve">nr </w:t>
      </w:r>
      <w:r w:rsidRPr="002C5541">
        <w:rPr>
          <w:lang w:val="pl-PL"/>
        </w:rPr>
        <w:t xml:space="preserve">76639/11, § 146, 25 </w:t>
      </w:r>
      <w:r>
        <w:rPr>
          <w:lang w:val="pl-PL"/>
        </w:rPr>
        <w:t>września</w:t>
      </w:r>
      <w:r w:rsidRPr="002C5541">
        <w:rPr>
          <w:lang w:val="pl-PL"/>
        </w:rPr>
        <w:t xml:space="preserve"> 2018</w:t>
      </w:r>
      <w:r>
        <w:rPr>
          <w:lang w:val="pl-PL"/>
        </w:rPr>
        <w:t xml:space="preserve"> r.</w:t>
      </w:r>
      <w:r w:rsidRPr="002C5541">
        <w:rPr>
          <w:lang w:val="pl-PL"/>
        </w:rPr>
        <w:t>)</w:t>
      </w:r>
      <w:r w:rsidRPr="002C5541">
        <w:rPr>
          <w:snapToGrid w:val="0"/>
          <w:lang w:val="pl-PL"/>
        </w:rPr>
        <w:t xml:space="preserve">. </w:t>
      </w:r>
      <w:r>
        <w:rPr>
          <w:snapToGrid w:val="0"/>
          <w:lang w:val="pl-PL"/>
        </w:rPr>
        <w:t xml:space="preserve">W niniejszej sprawie Trybunał </w:t>
      </w:r>
      <w:r>
        <w:rPr>
          <w:lang w:val="pl-PL"/>
        </w:rPr>
        <w:t>uznał, że Cypr nie jest odpowiedzialny za jakiekolwiek naruszenie Konwencji</w:t>
      </w:r>
      <w:r w:rsidRPr="002C5541">
        <w:rPr>
          <w:lang w:val="pl-PL"/>
        </w:rPr>
        <w:t xml:space="preserve">. </w:t>
      </w:r>
      <w:r>
        <w:rPr>
          <w:lang w:val="pl-PL"/>
        </w:rPr>
        <w:t xml:space="preserve">Zgodnie z powyższym Trybunał nie nakłada na Cypr obowiązku zwrotu kosztów i wydatków </w:t>
      </w:r>
      <w:r w:rsidRPr="002C5541">
        <w:rPr>
          <w:lang w:val="pl-PL"/>
        </w:rPr>
        <w:t>(</w:t>
      </w:r>
      <w:r>
        <w:rPr>
          <w:lang w:val="pl-PL"/>
        </w:rPr>
        <w:t>zob.</w:t>
      </w:r>
      <w:r w:rsidRPr="002C5541">
        <w:rPr>
          <w:lang w:val="pl-PL"/>
        </w:rPr>
        <w:t xml:space="preserve"> </w:t>
      </w:r>
      <w:r w:rsidRPr="002C5541">
        <w:rPr>
          <w:i/>
          <w:iCs/>
          <w:lang w:val="pl-PL"/>
        </w:rPr>
        <w:t xml:space="preserve">Mozer, </w:t>
      </w:r>
      <w:r>
        <w:rPr>
          <w:lang w:val="pl-PL"/>
        </w:rPr>
        <w:t xml:space="preserve">wyrok cytowany </w:t>
      </w:r>
      <w:r w:rsidRPr="002C5541">
        <w:rPr>
          <w:lang w:val="pl-PL"/>
        </w:rPr>
        <w:t xml:space="preserve">powyżej, § 239). </w:t>
      </w:r>
      <w:r>
        <w:rPr>
          <w:lang w:val="pl-PL"/>
        </w:rPr>
        <w:t>Uwzględniając posiadane dokumenty i powyższe kryteria, Trybunał uznaje za zasadne przyznanie skarżącym kwoty</w:t>
      </w:r>
      <w:r w:rsidRPr="002C5541">
        <w:rPr>
          <w:lang w:val="pl-PL"/>
        </w:rPr>
        <w:t xml:space="preserve"> 10</w:t>
      </w:r>
      <w:r>
        <w:rPr>
          <w:lang w:val="pl-PL"/>
        </w:rPr>
        <w:t xml:space="preserve"> </w:t>
      </w:r>
      <w:r w:rsidRPr="002C5541">
        <w:rPr>
          <w:lang w:val="pl-PL"/>
        </w:rPr>
        <w:t xml:space="preserve">000 </w:t>
      </w:r>
      <w:r>
        <w:rPr>
          <w:lang w:val="pl-PL"/>
        </w:rPr>
        <w:t>euro z tytułu kosztów i wydatków poniesionych w postępowaniu przed Trybunałem, którą to kwotę zapłaci Turcja,</w:t>
      </w:r>
      <w:r w:rsidRPr="002C5541">
        <w:rPr>
          <w:lang w:val="pl-PL"/>
        </w:rPr>
        <w:t xml:space="preserve"> </w:t>
      </w:r>
      <w:r w:rsidRPr="00D205BE">
        <w:rPr>
          <w:lang w:val="pl-PL"/>
        </w:rPr>
        <w:t xml:space="preserve">w przeliczeniu na funty </w:t>
      </w:r>
      <w:r w:rsidRPr="00152F12">
        <w:rPr>
          <w:lang w:val="pl-PL"/>
        </w:rPr>
        <w:t>szterling</w:t>
      </w:r>
      <w:r>
        <w:rPr>
          <w:lang w:val="pl-PL"/>
        </w:rPr>
        <w:t>i</w:t>
      </w:r>
      <w:r w:rsidRPr="00152F12">
        <w:rPr>
          <w:lang w:val="pl-PL"/>
        </w:rPr>
        <w:t xml:space="preserve"> </w:t>
      </w:r>
      <w:r w:rsidRPr="00D205BE">
        <w:rPr>
          <w:lang w:val="pl-PL"/>
        </w:rPr>
        <w:t>po kursie wymiany obowiązującym w dniu rozliczenia</w:t>
      </w:r>
      <w:r w:rsidRPr="002C5541">
        <w:rPr>
          <w:lang w:val="pl-PL"/>
        </w:rPr>
        <w:t>.</w:t>
      </w:r>
    </w:p>
    <w:p w:rsidR="00110FEE" w:rsidRPr="002C5541" w:rsidRDefault="00110FEE" w:rsidP="00F25813">
      <w:pPr>
        <w:pStyle w:val="ECHRHeading2"/>
        <w:outlineLvl w:val="0"/>
        <w:rPr>
          <w:lang w:val="pl-PL"/>
        </w:rPr>
      </w:pPr>
      <w:r w:rsidRPr="002C5541">
        <w:rPr>
          <w:lang w:val="pl-PL"/>
        </w:rPr>
        <w:t>C.</w:t>
      </w:r>
      <w:r>
        <w:rPr>
          <w:lang w:val="pl-PL"/>
        </w:rPr>
        <w:t xml:space="preserve"> </w:t>
      </w:r>
      <w:r w:rsidRPr="00830A25">
        <w:rPr>
          <w:lang w:val="pl-PL"/>
        </w:rPr>
        <w:t>Odsetki</w:t>
      </w:r>
      <w:r>
        <w:rPr>
          <w:lang w:val="pl-PL"/>
        </w:rPr>
        <w:t xml:space="preserve"> za zwłokę</w:t>
      </w:r>
    </w:p>
    <w:p w:rsidR="00110FEE" w:rsidRPr="002C5541" w:rsidRDefault="00110FEE" w:rsidP="00F25813">
      <w:pPr>
        <w:pStyle w:val="ECHRPara"/>
        <w:rPr>
          <w:lang w:val="pl-PL"/>
        </w:rPr>
      </w:pPr>
      <w:r w:rsidRPr="002C5541">
        <w:rPr>
          <w:lang w:val="pl-PL"/>
        </w:rPr>
        <w:fldChar w:fldCharType="begin"/>
      </w:r>
      <w:r w:rsidRPr="002C5541">
        <w:rPr>
          <w:lang w:val="pl-PL"/>
        </w:rPr>
        <w:instrText xml:space="preserve"> SEQ level0 \*arabic </w:instrText>
      </w:r>
      <w:r w:rsidRPr="002C5541">
        <w:rPr>
          <w:lang w:val="pl-PL"/>
        </w:rPr>
        <w:fldChar w:fldCharType="separate"/>
      </w:r>
      <w:r w:rsidRPr="002C5541">
        <w:rPr>
          <w:noProof/>
          <w:lang w:val="pl-PL"/>
        </w:rPr>
        <w:t>291</w:t>
      </w:r>
      <w:r w:rsidRPr="002C5541">
        <w:rPr>
          <w:lang w:val="pl-PL"/>
        </w:rPr>
        <w:fldChar w:fldCharType="end"/>
      </w:r>
      <w:r w:rsidRPr="002C5541">
        <w:rPr>
          <w:lang w:val="pl-PL"/>
        </w:rPr>
        <w:t>.</w:t>
      </w:r>
      <w:r>
        <w:rPr>
          <w:lang w:val="pl-PL"/>
        </w:rPr>
        <w:t xml:space="preserve"> </w:t>
      </w:r>
      <w:r w:rsidRPr="00830A25">
        <w:rPr>
          <w:lang w:val="pl-PL"/>
        </w:rPr>
        <w:t>Trybunał uznaje za właściwe, by odsetki z tytułu niewypłacenia zasądzonych kwot zostały ustalone zgodnie z marginalną stopą procentową Europejskiego Banku Centralnego, plus trzy punkty procentowe</w:t>
      </w:r>
      <w:r w:rsidRPr="002C5541">
        <w:rPr>
          <w:lang w:val="pl-PL"/>
        </w:rPr>
        <w:t>.</w:t>
      </w:r>
    </w:p>
    <w:p w:rsidR="00110FEE" w:rsidRPr="002C5541" w:rsidRDefault="00110FEE" w:rsidP="00F25813">
      <w:pPr>
        <w:pStyle w:val="ECHRPara"/>
        <w:rPr>
          <w:lang w:val="pl-PL"/>
        </w:rPr>
      </w:pPr>
    </w:p>
    <w:p w:rsidR="00110FEE" w:rsidRPr="002C5541" w:rsidRDefault="00110FEE" w:rsidP="00F25813">
      <w:pPr>
        <w:pStyle w:val="ECHRTitle1"/>
        <w:rPr>
          <w:lang w:val="pl-PL"/>
        </w:rPr>
      </w:pPr>
      <w:r w:rsidRPr="00143A00">
        <w:rPr>
          <w:lang w:val="pl-PL"/>
        </w:rPr>
        <w:t>W ZWIĄZKU Z POWYŻSZYM TRYBUNAŁ</w:t>
      </w:r>
    </w:p>
    <w:p w:rsidR="00110FEE" w:rsidRPr="002C5541" w:rsidRDefault="00110FEE" w:rsidP="00F25813">
      <w:pPr>
        <w:pStyle w:val="JuList"/>
        <w:rPr>
          <w:lang w:val="pl-PL"/>
        </w:rPr>
      </w:pPr>
      <w:r w:rsidRPr="002C5541">
        <w:rPr>
          <w:lang w:val="pl-PL"/>
        </w:rPr>
        <w:t>1.</w:t>
      </w:r>
      <w:r>
        <w:rPr>
          <w:lang w:val="pl-PL"/>
        </w:rPr>
        <w:t xml:space="preserve"> </w:t>
      </w:r>
      <w:r w:rsidRPr="00143A00">
        <w:rPr>
          <w:lang w:val="pl-PL"/>
        </w:rPr>
        <w:t>Jednomyślnie oddala wstępny zarzut Rządu</w:t>
      </w:r>
      <w:r>
        <w:rPr>
          <w:lang w:val="pl-PL"/>
        </w:rPr>
        <w:t xml:space="preserve"> Tureckiego dotyczący niezgodności</w:t>
      </w:r>
      <w:r w:rsidRPr="002C5541">
        <w:rPr>
          <w:lang w:val="pl-PL"/>
        </w:rPr>
        <w:t xml:space="preserve"> </w:t>
      </w:r>
      <w:r w:rsidRPr="002C5541">
        <w:rPr>
          <w:i/>
          <w:iCs/>
          <w:lang w:val="pl-PL"/>
        </w:rPr>
        <w:t>ratione loci</w:t>
      </w:r>
      <w:r w:rsidRPr="002C5541">
        <w:rPr>
          <w:lang w:val="pl-PL"/>
        </w:rPr>
        <w:t>;</w:t>
      </w:r>
    </w:p>
    <w:p w:rsidR="00110FEE" w:rsidRPr="002C5541" w:rsidRDefault="00110FEE" w:rsidP="00F25813">
      <w:pPr>
        <w:pStyle w:val="JuList"/>
        <w:rPr>
          <w:lang w:val="pl-PL"/>
        </w:rPr>
      </w:pPr>
    </w:p>
    <w:p w:rsidR="00110FEE" w:rsidRPr="002C5541" w:rsidRDefault="00110FEE" w:rsidP="00F25813">
      <w:pPr>
        <w:pStyle w:val="JuList"/>
        <w:rPr>
          <w:lang w:val="pl-PL"/>
        </w:rPr>
      </w:pPr>
      <w:r w:rsidRPr="002C5541">
        <w:rPr>
          <w:lang w:val="pl-PL"/>
        </w:rPr>
        <w:t>2.</w:t>
      </w:r>
      <w:r>
        <w:rPr>
          <w:lang w:val="pl-PL"/>
        </w:rPr>
        <w:t xml:space="preserve"> </w:t>
      </w:r>
      <w:r w:rsidRPr="00143A00">
        <w:rPr>
          <w:lang w:val="pl-PL"/>
        </w:rPr>
        <w:t xml:space="preserve">Orzeka </w:t>
      </w:r>
      <w:r>
        <w:rPr>
          <w:lang w:val="pl-PL"/>
        </w:rPr>
        <w:t>piętnastoma</w:t>
      </w:r>
      <w:r w:rsidRPr="00143A00">
        <w:rPr>
          <w:lang w:val="pl-PL"/>
        </w:rPr>
        <w:t xml:space="preserve"> głosami do </w:t>
      </w:r>
      <w:r>
        <w:rPr>
          <w:lang w:val="pl-PL"/>
        </w:rPr>
        <w:t>dwóch</w:t>
      </w:r>
      <w:r w:rsidRPr="002C5541">
        <w:rPr>
          <w:lang w:val="pl-PL"/>
        </w:rPr>
        <w:t xml:space="preserve">, </w:t>
      </w:r>
      <w:r>
        <w:rPr>
          <w:lang w:val="pl-PL"/>
        </w:rPr>
        <w:t>że Cypr nie popełnił naruszenia aspektu proceduralnego art. 2 Konwencji</w:t>
      </w:r>
      <w:r w:rsidRPr="002C5541">
        <w:rPr>
          <w:lang w:val="pl-PL"/>
        </w:rPr>
        <w:t>;</w:t>
      </w:r>
    </w:p>
    <w:p w:rsidR="00110FEE" w:rsidRPr="002C5541" w:rsidRDefault="00110FEE" w:rsidP="00F25813">
      <w:pPr>
        <w:pStyle w:val="JuList"/>
        <w:rPr>
          <w:lang w:val="pl-PL"/>
        </w:rPr>
      </w:pPr>
    </w:p>
    <w:p w:rsidR="00110FEE" w:rsidRPr="002C5541" w:rsidRDefault="00110FEE" w:rsidP="00F25813">
      <w:pPr>
        <w:pStyle w:val="JuList"/>
        <w:rPr>
          <w:lang w:val="pl-PL"/>
        </w:rPr>
      </w:pPr>
      <w:r w:rsidRPr="002C5541">
        <w:rPr>
          <w:lang w:val="pl-PL"/>
        </w:rPr>
        <w:t>3.</w:t>
      </w:r>
      <w:r>
        <w:rPr>
          <w:lang w:val="pl-PL"/>
        </w:rPr>
        <w:t xml:space="preserve"> </w:t>
      </w:r>
      <w:r w:rsidRPr="00143A00">
        <w:rPr>
          <w:lang w:val="pl-PL"/>
        </w:rPr>
        <w:t>Uznaje, jednogłośnie</w:t>
      </w:r>
      <w:r w:rsidRPr="002C5541">
        <w:rPr>
          <w:lang w:val="pl-PL"/>
        </w:rPr>
        <w:t xml:space="preserve">, </w:t>
      </w:r>
      <w:r>
        <w:rPr>
          <w:lang w:val="pl-PL"/>
        </w:rPr>
        <w:t>że Turcja</w:t>
      </w:r>
      <w:r w:rsidRPr="00143A00">
        <w:rPr>
          <w:lang w:val="pl-PL"/>
        </w:rPr>
        <w:t xml:space="preserve"> popełnił</w:t>
      </w:r>
      <w:r>
        <w:rPr>
          <w:lang w:val="pl-PL"/>
        </w:rPr>
        <w:t>a</w:t>
      </w:r>
      <w:r w:rsidRPr="00143A00">
        <w:rPr>
          <w:lang w:val="pl-PL"/>
        </w:rPr>
        <w:t xml:space="preserve"> naruszeni</w:t>
      </w:r>
      <w:r>
        <w:rPr>
          <w:lang w:val="pl-PL"/>
        </w:rPr>
        <w:t>e</w:t>
      </w:r>
      <w:r w:rsidRPr="00143A00">
        <w:rPr>
          <w:lang w:val="pl-PL"/>
        </w:rPr>
        <w:t xml:space="preserve"> aspektu proceduralnego art. 2 Konwencji</w:t>
      </w:r>
      <w:r>
        <w:rPr>
          <w:lang w:val="pl-PL"/>
        </w:rPr>
        <w:t xml:space="preserve"> z tytułu niepodjęcia współpracy</w:t>
      </w:r>
      <w:r w:rsidRPr="002C5541">
        <w:rPr>
          <w:lang w:val="pl-PL"/>
        </w:rPr>
        <w:t>;</w:t>
      </w:r>
    </w:p>
    <w:p w:rsidR="00110FEE" w:rsidRPr="002C5541" w:rsidRDefault="00110FEE" w:rsidP="00F25813">
      <w:pPr>
        <w:pStyle w:val="JuList"/>
        <w:rPr>
          <w:lang w:val="pl-PL"/>
        </w:rPr>
      </w:pPr>
    </w:p>
    <w:p w:rsidR="00110FEE" w:rsidRPr="002C5541" w:rsidRDefault="00110FEE" w:rsidP="00F25813">
      <w:pPr>
        <w:pStyle w:val="JuList"/>
        <w:rPr>
          <w:lang w:val="pl-PL"/>
        </w:rPr>
      </w:pPr>
      <w:r w:rsidRPr="002C5541">
        <w:rPr>
          <w:lang w:val="pl-PL"/>
        </w:rPr>
        <w:t>4.</w:t>
      </w:r>
      <w:r>
        <w:rPr>
          <w:lang w:val="pl-PL"/>
        </w:rPr>
        <w:t xml:space="preserve"> </w:t>
      </w:r>
      <w:r w:rsidRPr="00143A00">
        <w:rPr>
          <w:lang w:val="pl-PL"/>
        </w:rPr>
        <w:t>Uznaje, jednogłośnie, że</w:t>
      </w:r>
      <w:r>
        <w:rPr>
          <w:lang w:val="pl-PL"/>
        </w:rPr>
        <w:t xml:space="preserve"> nie ma potrzeby odrębnej analizy skargi w odniesieniu do art. 13 Konwencji w związku z art. 2 Konwencji</w:t>
      </w:r>
      <w:r w:rsidRPr="002C5541">
        <w:rPr>
          <w:lang w:val="pl-PL"/>
        </w:rPr>
        <w:t>;</w:t>
      </w:r>
    </w:p>
    <w:p w:rsidR="00110FEE" w:rsidRPr="002C5541" w:rsidRDefault="00110FEE" w:rsidP="00F25813">
      <w:pPr>
        <w:pStyle w:val="JuList"/>
        <w:ind w:left="0" w:firstLine="0"/>
        <w:rPr>
          <w:lang w:val="pl-PL"/>
        </w:rPr>
      </w:pPr>
    </w:p>
    <w:p w:rsidR="00110FEE" w:rsidRPr="002C5541" w:rsidRDefault="00110FEE" w:rsidP="00F25813">
      <w:pPr>
        <w:pStyle w:val="JuList"/>
        <w:rPr>
          <w:lang w:val="pl-PL"/>
        </w:rPr>
      </w:pPr>
      <w:r w:rsidRPr="002C5541">
        <w:rPr>
          <w:lang w:val="pl-PL"/>
        </w:rPr>
        <w:t>5.</w:t>
      </w:r>
      <w:r>
        <w:rPr>
          <w:lang w:val="pl-PL"/>
        </w:rPr>
        <w:t xml:space="preserve"> </w:t>
      </w:r>
      <w:r w:rsidRPr="00516F26">
        <w:rPr>
          <w:lang w:val="pl-PL"/>
        </w:rPr>
        <w:t>Uznaje, jednogłośnie</w:t>
      </w:r>
      <w:r w:rsidRPr="002C5541">
        <w:rPr>
          <w:lang w:val="pl-PL"/>
        </w:rPr>
        <w:t>,</w:t>
      </w:r>
    </w:p>
    <w:p w:rsidR="00110FEE" w:rsidRPr="002C5541" w:rsidRDefault="00110FEE" w:rsidP="00F25813">
      <w:pPr>
        <w:pStyle w:val="JuLista"/>
        <w:rPr>
          <w:lang w:val="pl-PL"/>
        </w:rPr>
      </w:pPr>
      <w:r w:rsidRPr="002C5541">
        <w:rPr>
          <w:lang w:val="pl-PL"/>
        </w:rPr>
        <w:t xml:space="preserve">(a) </w:t>
      </w:r>
      <w:r>
        <w:rPr>
          <w:lang w:val="pl-PL"/>
        </w:rPr>
        <w:t>że Rząd Turecki ma obowiązek zapłacić skarżącym w terminie trzech miesięcy następujące kwoty</w:t>
      </w:r>
      <w:r w:rsidRPr="002C5541">
        <w:rPr>
          <w:lang w:val="pl-PL"/>
        </w:rPr>
        <w:t>:</w:t>
      </w:r>
    </w:p>
    <w:p w:rsidR="00110FEE" w:rsidRPr="002C5541" w:rsidRDefault="00110FEE" w:rsidP="00F25813">
      <w:pPr>
        <w:pStyle w:val="JuLista"/>
        <w:ind w:firstLine="374"/>
        <w:rPr>
          <w:lang w:val="pl-PL"/>
        </w:rPr>
      </w:pPr>
      <w:r w:rsidRPr="002C5541">
        <w:rPr>
          <w:lang w:val="pl-PL"/>
        </w:rPr>
        <w:t>(i) 8</w:t>
      </w:r>
      <w:r>
        <w:rPr>
          <w:lang w:val="pl-PL"/>
        </w:rPr>
        <w:t xml:space="preserve"> </w:t>
      </w:r>
      <w:r w:rsidRPr="002C5541">
        <w:rPr>
          <w:lang w:val="pl-PL"/>
        </w:rPr>
        <w:t>500 (</w:t>
      </w:r>
      <w:r>
        <w:rPr>
          <w:lang w:val="pl-PL"/>
        </w:rPr>
        <w:t>osiem i pół tysiąca</w:t>
      </w:r>
      <w:r w:rsidRPr="002C5541">
        <w:rPr>
          <w:lang w:val="pl-PL"/>
        </w:rPr>
        <w:t xml:space="preserve">) </w:t>
      </w:r>
      <w:r>
        <w:rPr>
          <w:lang w:val="pl-PL"/>
        </w:rPr>
        <w:t xml:space="preserve">euro dla każdego ze skarżących </w:t>
      </w:r>
      <w:r w:rsidRPr="00516F26">
        <w:rPr>
          <w:lang w:val="pl-PL"/>
        </w:rPr>
        <w:t>wraz z ewentualnymi podatkami, z tytułu poniesionej szkody niemajątkowej</w:t>
      </w:r>
      <w:r w:rsidRPr="002C5541">
        <w:rPr>
          <w:lang w:val="pl-PL"/>
        </w:rPr>
        <w:t>;</w:t>
      </w:r>
    </w:p>
    <w:p w:rsidR="00110FEE" w:rsidRPr="002C5541" w:rsidRDefault="00110FEE" w:rsidP="00F25813">
      <w:pPr>
        <w:pStyle w:val="JuLista"/>
        <w:ind w:firstLine="374"/>
        <w:rPr>
          <w:lang w:val="pl-PL"/>
        </w:rPr>
      </w:pPr>
      <w:r w:rsidRPr="002C5541">
        <w:rPr>
          <w:lang w:val="pl-PL"/>
        </w:rPr>
        <w:t>(ii) 10</w:t>
      </w:r>
      <w:r>
        <w:rPr>
          <w:lang w:val="pl-PL"/>
        </w:rPr>
        <w:t xml:space="preserve"> </w:t>
      </w:r>
      <w:r w:rsidRPr="002C5541">
        <w:rPr>
          <w:lang w:val="pl-PL"/>
        </w:rPr>
        <w:t>000 (</w:t>
      </w:r>
      <w:r>
        <w:rPr>
          <w:lang w:val="pl-PL"/>
        </w:rPr>
        <w:t>dziesięć tysięcy</w:t>
      </w:r>
      <w:r w:rsidRPr="002C5541">
        <w:rPr>
          <w:lang w:val="pl-PL"/>
        </w:rPr>
        <w:t>)</w:t>
      </w:r>
      <w:r>
        <w:rPr>
          <w:lang w:val="pl-PL"/>
        </w:rPr>
        <w:t xml:space="preserve"> euro</w:t>
      </w:r>
      <w:r w:rsidRPr="002C5541">
        <w:rPr>
          <w:lang w:val="pl-PL"/>
        </w:rPr>
        <w:t xml:space="preserve">, </w:t>
      </w:r>
      <w:r w:rsidRPr="00516F26">
        <w:rPr>
          <w:lang w:val="pl-PL"/>
        </w:rPr>
        <w:t>wraz z ewentualnymi podatkami</w:t>
      </w:r>
      <w:r w:rsidRPr="002C5541">
        <w:rPr>
          <w:lang w:val="pl-PL"/>
        </w:rPr>
        <w:t xml:space="preserve">, </w:t>
      </w:r>
      <w:r>
        <w:rPr>
          <w:lang w:val="pl-PL"/>
        </w:rPr>
        <w:t>w zakresie kosztów i wydatków</w:t>
      </w:r>
      <w:r w:rsidRPr="002C5541">
        <w:rPr>
          <w:lang w:val="pl-PL"/>
        </w:rPr>
        <w:t xml:space="preserve">, </w:t>
      </w:r>
      <w:r w:rsidRPr="00516F26">
        <w:rPr>
          <w:lang w:val="pl-PL"/>
        </w:rPr>
        <w:t xml:space="preserve">w przeliczeniu na </w:t>
      </w:r>
      <w:r>
        <w:rPr>
          <w:lang w:val="pl-PL"/>
        </w:rPr>
        <w:t xml:space="preserve">funty </w:t>
      </w:r>
      <w:r w:rsidRPr="00152F12">
        <w:rPr>
          <w:lang w:val="pl-PL"/>
        </w:rPr>
        <w:t>szterling</w:t>
      </w:r>
      <w:r>
        <w:rPr>
          <w:lang w:val="pl-PL"/>
        </w:rPr>
        <w:t>i</w:t>
      </w:r>
      <w:r w:rsidRPr="00152F12">
        <w:rPr>
          <w:lang w:val="pl-PL"/>
        </w:rPr>
        <w:t xml:space="preserve"> </w:t>
      </w:r>
      <w:r w:rsidRPr="00516F26">
        <w:rPr>
          <w:lang w:val="pl-PL"/>
        </w:rPr>
        <w:t>po kursie wymiany obowiązującym w dniu rozliczenia</w:t>
      </w:r>
      <w:r w:rsidRPr="002C5541">
        <w:rPr>
          <w:lang w:val="pl-PL"/>
        </w:rPr>
        <w:t>;</w:t>
      </w:r>
    </w:p>
    <w:p w:rsidR="00110FEE" w:rsidRPr="002C5541" w:rsidRDefault="00110FEE" w:rsidP="00F25813">
      <w:pPr>
        <w:pStyle w:val="JuLista"/>
        <w:rPr>
          <w:lang w:val="pl-PL"/>
        </w:rPr>
      </w:pPr>
      <w:r w:rsidRPr="002C5541">
        <w:rPr>
          <w:lang w:val="pl-PL"/>
        </w:rPr>
        <w:t>(b)</w:t>
      </w:r>
      <w:r>
        <w:rPr>
          <w:lang w:val="pl-PL"/>
        </w:rPr>
        <w:t xml:space="preserve"> </w:t>
      </w:r>
      <w:r w:rsidRPr="00516F26">
        <w:rPr>
          <w:lang w:val="pl-PL"/>
        </w:rPr>
        <w:t>od wygaśnięcia powyższego trzymiesięcznego terminu do momentu zapłaty płatne od tych sum będą zwykłe odsetki obliczone według marginalnej stopy procentowej Europejskiego Banku Centralnego w okresie opóźnienia plus trzy punkty procentowe</w:t>
      </w:r>
      <w:r w:rsidRPr="002C5541">
        <w:rPr>
          <w:lang w:val="pl-PL"/>
        </w:rPr>
        <w:t>;</w:t>
      </w:r>
    </w:p>
    <w:p w:rsidR="00110FEE" w:rsidRPr="002C5541" w:rsidRDefault="00110FEE" w:rsidP="00F25813">
      <w:pPr>
        <w:pStyle w:val="JuList"/>
        <w:rPr>
          <w:lang w:val="pl-PL"/>
        </w:rPr>
      </w:pPr>
    </w:p>
    <w:p w:rsidR="00110FEE" w:rsidRPr="002C5541" w:rsidRDefault="00110FEE" w:rsidP="00F25813">
      <w:pPr>
        <w:pStyle w:val="JuList"/>
        <w:rPr>
          <w:lang w:val="pl-PL"/>
        </w:rPr>
      </w:pPr>
      <w:r w:rsidRPr="002C5541">
        <w:rPr>
          <w:lang w:val="pl-PL"/>
        </w:rPr>
        <w:t>6.</w:t>
      </w:r>
      <w:r>
        <w:rPr>
          <w:lang w:val="pl-PL"/>
        </w:rPr>
        <w:t xml:space="preserve"> </w:t>
      </w:r>
      <w:r w:rsidRPr="00516F26">
        <w:rPr>
          <w:lang w:val="pl-PL"/>
        </w:rPr>
        <w:t>Oddala, jednogłośnie, pozostałą część roszczenia skarżąc</w:t>
      </w:r>
      <w:r>
        <w:rPr>
          <w:lang w:val="pl-PL"/>
        </w:rPr>
        <w:t xml:space="preserve">ych </w:t>
      </w:r>
      <w:r w:rsidRPr="00516F26">
        <w:rPr>
          <w:lang w:val="pl-PL"/>
        </w:rPr>
        <w:t>dotyczącą słusznego zadośćuczynienia</w:t>
      </w:r>
      <w:r w:rsidRPr="002C5541">
        <w:rPr>
          <w:lang w:val="pl-PL"/>
        </w:rPr>
        <w:t>.</w:t>
      </w:r>
    </w:p>
    <w:p w:rsidR="00110FEE" w:rsidRPr="002C5541" w:rsidRDefault="00110FEE" w:rsidP="00F25813">
      <w:pPr>
        <w:pStyle w:val="JuParaLast"/>
        <w:rPr>
          <w:lang w:val="pl-PL"/>
        </w:rPr>
      </w:pPr>
      <w:r w:rsidRPr="00516F26">
        <w:rPr>
          <w:lang w:val="pl-PL"/>
        </w:rPr>
        <w:t xml:space="preserve">Sporządzono w języku angielskim i francuskim, i ogłoszono na rozprawie </w:t>
      </w:r>
      <w:r>
        <w:rPr>
          <w:lang w:val="pl-PL"/>
        </w:rPr>
        <w:t xml:space="preserve">publicznej </w:t>
      </w:r>
      <w:r w:rsidRPr="00516F26">
        <w:rPr>
          <w:lang w:val="pl-PL"/>
        </w:rPr>
        <w:t xml:space="preserve">w Pałacu Praw Człowieka, w Strasburgu, dnia </w:t>
      </w:r>
      <w:r w:rsidRPr="002C5541">
        <w:rPr>
          <w:lang w:val="pl-PL"/>
        </w:rPr>
        <w:t xml:space="preserve">29 </w:t>
      </w:r>
      <w:r>
        <w:rPr>
          <w:lang w:val="pl-PL"/>
        </w:rPr>
        <w:t>stycznia</w:t>
      </w:r>
      <w:r w:rsidRPr="002C5541">
        <w:rPr>
          <w:lang w:val="pl-PL"/>
        </w:rPr>
        <w:t xml:space="preserve"> 2019</w:t>
      </w:r>
      <w:r>
        <w:rPr>
          <w:lang w:val="pl-PL"/>
        </w:rPr>
        <w:t xml:space="preserve"> r</w:t>
      </w:r>
      <w:r w:rsidRPr="002C5541">
        <w:rPr>
          <w:lang w:val="pl-PL"/>
        </w:rPr>
        <w:t>.</w:t>
      </w:r>
    </w:p>
    <w:p w:rsidR="00110FEE" w:rsidRPr="002C5541" w:rsidRDefault="00110FEE" w:rsidP="00F25813">
      <w:pPr>
        <w:pStyle w:val="JuSigned"/>
        <w:rPr>
          <w:lang w:val="pl-PL"/>
        </w:rPr>
      </w:pPr>
      <w:r w:rsidRPr="002C5541">
        <w:rPr>
          <w:lang w:val="pl-PL"/>
        </w:rPr>
        <w:tab/>
        <w:t>Roderick Liddell</w:t>
      </w:r>
      <w:r w:rsidRPr="002C5541">
        <w:rPr>
          <w:lang w:val="pl-PL"/>
        </w:rPr>
        <w:tab/>
        <w:t>Guido Raimondi</w:t>
      </w:r>
      <w:r w:rsidRPr="002C5541">
        <w:rPr>
          <w:lang w:val="pl-PL"/>
        </w:rPr>
        <w:br/>
      </w:r>
      <w:r w:rsidRPr="002C5541">
        <w:rPr>
          <w:lang w:val="pl-PL"/>
        </w:rPr>
        <w:tab/>
      </w:r>
      <w:r>
        <w:rPr>
          <w:lang w:val="pl-PL"/>
        </w:rPr>
        <w:t>Sekretarz</w:t>
      </w:r>
      <w:r w:rsidRPr="002C5541">
        <w:rPr>
          <w:lang w:val="pl-PL"/>
        </w:rPr>
        <w:tab/>
      </w:r>
      <w:r>
        <w:rPr>
          <w:lang w:val="pl-PL"/>
        </w:rPr>
        <w:t>Przewodniczący</w:t>
      </w:r>
    </w:p>
    <w:p w:rsidR="00110FEE" w:rsidRPr="002C5541" w:rsidRDefault="00110FEE" w:rsidP="00F25813">
      <w:pPr>
        <w:pStyle w:val="JuParaLast"/>
        <w:rPr>
          <w:lang w:val="pl-PL"/>
        </w:rPr>
      </w:pPr>
      <w:r w:rsidRPr="00516F26">
        <w:rPr>
          <w:lang w:val="pl-PL"/>
        </w:rPr>
        <w:t>Zgodnie z treścią art. 45 § 2 Konwencji oraz art. 74 § 2 Regulaminu Trybunału, do niniejszego wyroku załączone zostają następujące zdania odrębne</w:t>
      </w:r>
      <w:r w:rsidRPr="002C5541">
        <w:rPr>
          <w:lang w:val="pl-PL"/>
        </w:rPr>
        <w:t>:</w:t>
      </w:r>
    </w:p>
    <w:p w:rsidR="00110FEE" w:rsidRPr="002C5541" w:rsidRDefault="00110FEE" w:rsidP="00F25813">
      <w:pPr>
        <w:pStyle w:val="ECHRPara"/>
        <w:rPr>
          <w:lang w:val="pl-PL"/>
        </w:rPr>
      </w:pPr>
      <w:r w:rsidRPr="002C5541">
        <w:rPr>
          <w:lang w:val="pl-PL"/>
        </w:rPr>
        <w:t>(a)</w:t>
      </w:r>
      <w:r>
        <w:rPr>
          <w:lang w:val="pl-PL"/>
        </w:rPr>
        <w:t xml:space="preserve"> zgodne zdanie odrębne sędziego </w:t>
      </w:r>
      <w:r w:rsidRPr="002C5541">
        <w:rPr>
          <w:lang w:val="pl-PL"/>
        </w:rPr>
        <w:t>Serghides</w:t>
      </w:r>
      <w:r>
        <w:rPr>
          <w:lang w:val="pl-PL"/>
        </w:rPr>
        <w:t>a</w:t>
      </w:r>
      <w:r w:rsidRPr="002C5541">
        <w:rPr>
          <w:lang w:val="pl-PL"/>
        </w:rPr>
        <w:t>;</w:t>
      </w:r>
    </w:p>
    <w:p w:rsidR="00110FEE" w:rsidRPr="002C5541" w:rsidRDefault="00110FEE" w:rsidP="00F25813">
      <w:pPr>
        <w:pStyle w:val="ECHRPara"/>
        <w:rPr>
          <w:lang w:val="pl-PL"/>
        </w:rPr>
      </w:pPr>
      <w:r w:rsidRPr="002C5541">
        <w:rPr>
          <w:lang w:val="pl-PL"/>
        </w:rPr>
        <w:t>(b)</w:t>
      </w:r>
      <w:r>
        <w:rPr>
          <w:lang w:val="pl-PL"/>
        </w:rPr>
        <w:t xml:space="preserve"> zdanie częściowo odrębne sędzi</w:t>
      </w:r>
      <w:r w:rsidRPr="002C5541">
        <w:rPr>
          <w:lang w:val="pl-PL"/>
        </w:rPr>
        <w:t xml:space="preserve"> Karakaş </w:t>
      </w:r>
      <w:r>
        <w:rPr>
          <w:lang w:val="pl-PL"/>
        </w:rPr>
        <w:t xml:space="preserve">i sędziego </w:t>
      </w:r>
      <w:r w:rsidRPr="002C5541">
        <w:rPr>
          <w:lang w:val="pl-PL"/>
        </w:rPr>
        <w:t>Pejchal.</w:t>
      </w:r>
    </w:p>
    <w:p w:rsidR="00110FEE" w:rsidRPr="002C5541" w:rsidRDefault="00110FEE" w:rsidP="00AC2B71">
      <w:pPr>
        <w:pStyle w:val="JuInitialled"/>
        <w:rPr>
          <w:lang w:val="pl-PL"/>
        </w:rPr>
      </w:pPr>
      <w:r w:rsidRPr="002C5541">
        <w:rPr>
          <w:lang w:val="pl-PL"/>
        </w:rPr>
        <w:t>G.R.</w:t>
      </w:r>
      <w:r w:rsidRPr="002C5541">
        <w:rPr>
          <w:lang w:val="pl-PL"/>
        </w:rPr>
        <w:br/>
        <w:t>R.L.</w:t>
      </w:r>
    </w:p>
    <w:p w:rsidR="00110FEE" w:rsidRPr="002C5541" w:rsidRDefault="00110FEE" w:rsidP="00EB447C">
      <w:pPr>
        <w:rPr>
          <w:lang w:val="pl-PL"/>
        </w:rPr>
        <w:sectPr w:rsidR="00110FEE" w:rsidRPr="002C5541">
          <w:headerReference w:type="even" r:id="rId10"/>
          <w:headerReference w:type="default" r:id="rId11"/>
          <w:footerReference w:type="default" r:id="rId12"/>
          <w:footnotePr>
            <w:numRestart w:val="eachSect"/>
          </w:footnotePr>
          <w:pgSz w:w="11906" w:h="16838" w:code="9"/>
          <w:pgMar w:top="2274" w:right="2274" w:bottom="2274" w:left="2274" w:header="1701" w:footer="708" w:gutter="0"/>
          <w:pgNumType w:start="1"/>
          <w:cols w:space="708"/>
        </w:sectPr>
      </w:pPr>
    </w:p>
    <w:p w:rsidR="00110FEE" w:rsidRPr="002C5541" w:rsidRDefault="00110FEE" w:rsidP="00EB447C">
      <w:pPr>
        <w:rPr>
          <w:lang w:val="pl-PL"/>
        </w:rPr>
      </w:pPr>
    </w:p>
    <w:p w:rsidR="00110FEE" w:rsidRPr="002C5541" w:rsidRDefault="00110FEE" w:rsidP="00121ED6">
      <w:pPr>
        <w:pStyle w:val="ECHRTitleCentre1"/>
        <w:rPr>
          <w:lang w:val="pl-PL"/>
        </w:rPr>
      </w:pPr>
      <w:r w:rsidRPr="005C3D3D">
        <w:rPr>
          <w:lang w:val="pl-PL"/>
        </w:rPr>
        <w:t xml:space="preserve">ZGODNA OPINIA ODRĘBNA </w:t>
      </w:r>
      <w:r>
        <w:rPr>
          <w:lang w:val="pl-PL"/>
        </w:rPr>
        <w:t xml:space="preserve">SĘDZIEGO </w:t>
      </w:r>
      <w:r w:rsidRPr="002C5541">
        <w:rPr>
          <w:lang w:val="pl-PL"/>
        </w:rPr>
        <w:t>SERGHIDES</w:t>
      </w:r>
      <w:r>
        <w:rPr>
          <w:lang w:val="pl-PL"/>
        </w:rPr>
        <w:t>A</w:t>
      </w:r>
    </w:p>
    <w:p w:rsidR="00110FEE" w:rsidRPr="002C5541" w:rsidRDefault="00110FEE" w:rsidP="005F2EF7">
      <w:pPr>
        <w:pStyle w:val="OpiPara"/>
        <w:jc w:val="center"/>
        <w:rPr>
          <w:i/>
          <w:iCs/>
          <w:lang w:val="pl-PL"/>
        </w:rPr>
      </w:pPr>
      <w:r w:rsidRPr="002C5541">
        <w:rPr>
          <w:i/>
          <w:iCs/>
          <w:lang w:val="pl-PL"/>
        </w:rPr>
        <w:t>[pominięto]</w:t>
      </w:r>
      <w:r w:rsidRPr="002C5541">
        <w:rPr>
          <w:rStyle w:val="PlaceholderText"/>
          <w:i/>
          <w:iCs/>
          <w:lang w:val="pl-PL"/>
        </w:rPr>
        <w:br w:type="page"/>
      </w:r>
    </w:p>
    <w:p w:rsidR="00110FEE" w:rsidRPr="002C5541" w:rsidRDefault="00110FEE">
      <w:pPr>
        <w:jc w:val="left"/>
        <w:rPr>
          <w:rStyle w:val="PlaceholderText"/>
          <w:lang w:val="pl-PL"/>
        </w:rPr>
      </w:pPr>
    </w:p>
    <w:p w:rsidR="00110FEE" w:rsidRPr="002C5541" w:rsidRDefault="00110FEE" w:rsidP="00320679">
      <w:pPr>
        <w:pStyle w:val="ECHRTitleCentre1"/>
        <w:rPr>
          <w:lang w:val="pl-PL"/>
        </w:rPr>
      </w:pPr>
      <w:r>
        <w:rPr>
          <w:lang w:val="pl-PL"/>
        </w:rPr>
        <w:t xml:space="preserve">ZDANIE CZĘŚCIOWO ODRĘBNE SĘDZI </w:t>
      </w:r>
      <w:r w:rsidRPr="002C5541">
        <w:rPr>
          <w:lang w:val="pl-PL"/>
        </w:rPr>
        <w:t xml:space="preserve">KARAKAŞ </w:t>
      </w:r>
      <w:r>
        <w:rPr>
          <w:lang w:val="pl-PL"/>
        </w:rPr>
        <w:t>I</w:t>
      </w:r>
      <w:r w:rsidRPr="002C5541">
        <w:rPr>
          <w:lang w:val="pl-PL"/>
        </w:rPr>
        <w:t xml:space="preserve"> </w:t>
      </w:r>
      <w:r>
        <w:rPr>
          <w:lang w:val="pl-PL"/>
        </w:rPr>
        <w:t xml:space="preserve">SĘDZIEGO </w:t>
      </w:r>
      <w:r w:rsidRPr="002C5541">
        <w:rPr>
          <w:lang w:val="pl-PL"/>
        </w:rPr>
        <w:t>PEJCHAL</w:t>
      </w:r>
      <w:r>
        <w:rPr>
          <w:lang w:val="pl-PL"/>
        </w:rPr>
        <w:t>A</w:t>
      </w:r>
    </w:p>
    <w:p w:rsidR="00110FEE" w:rsidRPr="002C5541" w:rsidRDefault="00110FEE" w:rsidP="005F2EF7">
      <w:pPr>
        <w:pStyle w:val="OpiPara"/>
        <w:rPr>
          <w:lang w:val="pl-PL"/>
        </w:rPr>
      </w:pPr>
    </w:p>
    <w:p w:rsidR="00110FEE" w:rsidRPr="002C5541" w:rsidRDefault="00110FEE" w:rsidP="005F2EF7">
      <w:pPr>
        <w:pStyle w:val="OpiPara"/>
        <w:jc w:val="center"/>
        <w:rPr>
          <w:i/>
          <w:iCs/>
          <w:lang w:val="pl-PL"/>
        </w:rPr>
      </w:pPr>
      <w:r w:rsidRPr="002C5541">
        <w:rPr>
          <w:i/>
          <w:iCs/>
          <w:lang w:val="pl-PL"/>
        </w:rPr>
        <w:t>[pominięto]</w:t>
      </w:r>
    </w:p>
    <w:p w:rsidR="00110FEE" w:rsidRPr="002C5541" w:rsidRDefault="00110FEE" w:rsidP="005F2EF7">
      <w:pPr>
        <w:pStyle w:val="OpiPara"/>
        <w:jc w:val="center"/>
        <w:rPr>
          <w:i/>
          <w:iCs/>
          <w:lang w:val="pl-PL"/>
        </w:rPr>
      </w:pPr>
    </w:p>
    <w:p w:rsidR="00110FEE" w:rsidRPr="002C5541" w:rsidRDefault="00110FEE" w:rsidP="00EB447C">
      <w:pPr>
        <w:rPr>
          <w:lang w:val="pl-PL"/>
        </w:rPr>
      </w:pPr>
    </w:p>
    <w:sectPr w:rsidR="00110FEE" w:rsidRPr="002C5541" w:rsidSect="00AC2B71">
      <w:headerReference w:type="even" r:id="rId13"/>
      <w:headerReference w:type="default" r:id="rId14"/>
      <w:footnotePr>
        <w:numRestart w:val="eachSect"/>
      </w:footnotePr>
      <w:pgSz w:w="11906" w:h="16838" w:code="9"/>
      <w:pgMar w:top="2274" w:right="2274" w:bottom="2274" w:left="2274" w:header="1701"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FEE" w:rsidRPr="009E0462" w:rsidRDefault="00110FEE" w:rsidP="00DC4033">
      <w:pPr>
        <w:rPr>
          <w:lang w:val="en-GB"/>
        </w:rPr>
      </w:pPr>
      <w:r w:rsidRPr="009E0462">
        <w:rPr>
          <w:lang w:val="en-GB"/>
        </w:rPr>
        <w:separator/>
      </w:r>
    </w:p>
  </w:endnote>
  <w:endnote w:type="continuationSeparator" w:id="0">
    <w:p w:rsidR="00110FEE" w:rsidRPr="009E0462" w:rsidRDefault="00110FEE" w:rsidP="00DC4033">
      <w:pPr>
        <w:rPr>
          <w:lang w:val="en-GB"/>
        </w:rPr>
      </w:pPr>
      <w:r w:rsidRPr="009E0462">
        <w:rPr>
          <w:lang w:val="en-GB"/>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EE" w:rsidRPr="00150BFA" w:rsidRDefault="00110FEE" w:rsidP="006777BE">
    <w:pPr>
      <w:jc w:val="center"/>
    </w:pPr>
    <w:r w:rsidRPr="009A0159">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8" type="#_x0000_t75" style="width:60pt;height:48.75pt;visibility:visible">
          <v:imagedata r:id="rId1" o:title=""/>
        </v:shape>
      </w:pict>
    </w:r>
  </w:p>
  <w:p w:rsidR="00110FEE" w:rsidRPr="00A737D1" w:rsidRDefault="00110FEE" w:rsidP="00A737D1">
    <w:pPr>
      <w:pStyle w:val="Footer"/>
      <w:jc w:val="center"/>
      <w:rPr>
        <w:sz w:val="4"/>
        <w:szCs w:val="4"/>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EE" w:rsidRPr="00F6348B" w:rsidRDefault="00110FEE" w:rsidP="006777BE">
    <w:pPr>
      <w:pStyle w:val="Foo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FEE" w:rsidRPr="009E0462" w:rsidRDefault="00110FEE" w:rsidP="00DC4033">
      <w:pPr>
        <w:rPr>
          <w:lang w:val="en-GB"/>
        </w:rPr>
      </w:pPr>
      <w:r w:rsidRPr="009E0462">
        <w:rPr>
          <w:lang w:val="en-GB"/>
        </w:rPr>
        <w:separator/>
      </w:r>
    </w:p>
  </w:footnote>
  <w:footnote w:type="continuationSeparator" w:id="0">
    <w:p w:rsidR="00110FEE" w:rsidRPr="009E0462" w:rsidRDefault="00110FEE" w:rsidP="00DC4033">
      <w:pPr>
        <w:rPr>
          <w:lang w:val="en-GB"/>
        </w:rPr>
      </w:pPr>
      <w:r w:rsidRPr="009E0462">
        <w:rPr>
          <w:lang w:val="en-GB"/>
        </w:rPr>
        <w:continuationSeparator/>
      </w:r>
    </w:p>
  </w:footnote>
  <w:footnote w:id="1">
    <w:p w:rsidR="00110FEE" w:rsidRDefault="00110FEE" w:rsidP="007C61B3">
      <w:pPr>
        <w:pStyle w:val="s50c0b1c7"/>
        <w:jc w:val="both"/>
      </w:pPr>
      <w:r w:rsidRPr="00EB280A">
        <w:rPr>
          <w:rStyle w:val="FootnoteReference"/>
          <w:rFonts w:eastAsia="MS Gothic"/>
          <w:sz w:val="20"/>
          <w:szCs w:val="20"/>
        </w:rPr>
        <w:footnoteRef/>
      </w:r>
      <w:r w:rsidRPr="00EB280A">
        <w:rPr>
          <w:sz w:val="20"/>
          <w:szCs w:val="20"/>
          <w:lang w:val="pl-PL"/>
        </w:rPr>
        <w:t xml:space="preserve"> Źródło: Nota informacyjna na temat orzecznictwa Trybunału nr 22</w:t>
      </w:r>
      <w:r>
        <w:rPr>
          <w:sz w:val="20"/>
          <w:szCs w:val="20"/>
          <w:lang w:val="pl-PL"/>
        </w:rPr>
        <w:t>5</w:t>
      </w:r>
      <w:r w:rsidRPr="00EB280A">
        <w:rPr>
          <w:sz w:val="20"/>
          <w:szCs w:val="20"/>
          <w:lang w:val="pl-PL"/>
        </w:rPr>
        <w:t xml:space="preserve">, </w:t>
      </w:r>
      <w:r>
        <w:rPr>
          <w:sz w:val="20"/>
          <w:szCs w:val="20"/>
          <w:lang w:val="pl-PL"/>
        </w:rPr>
        <w:t>styczeń</w:t>
      </w:r>
      <w:r w:rsidRPr="00EB280A">
        <w:rPr>
          <w:sz w:val="20"/>
          <w:szCs w:val="20"/>
          <w:lang w:val="pl-PL"/>
        </w:rPr>
        <w:t xml:space="preserve"> 2019 r. (</w:t>
      </w:r>
      <w:r w:rsidRPr="00EB280A">
        <w:rPr>
          <w:rStyle w:val="s3aeeab2"/>
          <w:i/>
          <w:iCs/>
          <w:sz w:val="20"/>
          <w:szCs w:val="20"/>
          <w:lang w:val="pl-PL"/>
        </w:rPr>
        <w:t xml:space="preserve">Information Note. </w:t>
      </w:r>
      <w:r w:rsidRPr="00EB280A">
        <w:rPr>
          <w:rStyle w:val="s3aeeab2"/>
          <w:i/>
          <w:iCs/>
          <w:sz w:val="20"/>
          <w:szCs w:val="20"/>
        </w:rPr>
        <w:t>Case-law of the European Court of Human Rights No. 22</w:t>
      </w:r>
      <w:r>
        <w:rPr>
          <w:rStyle w:val="s3aeeab2"/>
          <w:i/>
          <w:iCs/>
          <w:sz w:val="20"/>
          <w:szCs w:val="20"/>
        </w:rPr>
        <w:t>5</w:t>
      </w:r>
      <w:r w:rsidRPr="00EB280A">
        <w:rPr>
          <w:rStyle w:val="s3aeeab2"/>
          <w:i/>
          <w:iCs/>
          <w:sz w:val="20"/>
          <w:szCs w:val="20"/>
        </w:rPr>
        <w:t xml:space="preserve">, </w:t>
      </w:r>
      <w:r>
        <w:rPr>
          <w:rStyle w:val="s3aeeab2"/>
          <w:i/>
          <w:iCs/>
          <w:sz w:val="20"/>
          <w:szCs w:val="20"/>
        </w:rPr>
        <w:t>January</w:t>
      </w:r>
      <w:r w:rsidRPr="00EB280A">
        <w:rPr>
          <w:rStyle w:val="s3aeeab2"/>
          <w:i/>
          <w:iCs/>
          <w:sz w:val="20"/>
          <w:szCs w:val="20"/>
        </w:rPr>
        <w:t xml:space="preserve"> 2019 / </w:t>
      </w:r>
      <w:r w:rsidRPr="00087652">
        <w:rPr>
          <w:rStyle w:val="sfbbfee58"/>
          <w:i/>
          <w:iCs/>
          <w:sz w:val="20"/>
          <w:szCs w:val="20"/>
        </w:rPr>
        <w:t xml:space="preserve">Note d’information sur la jurisprudence de la Cour 229 / </w:t>
      </w:r>
      <w:r>
        <w:rPr>
          <w:rStyle w:val="sfbbfee58"/>
          <w:i/>
          <w:iCs/>
          <w:sz w:val="20"/>
          <w:szCs w:val="20"/>
        </w:rPr>
        <w:t>Janvier</w:t>
      </w:r>
      <w:r w:rsidRPr="00087652">
        <w:rPr>
          <w:rStyle w:val="sfbbfee58"/>
          <w:i/>
          <w:iCs/>
          <w:sz w:val="20"/>
          <w:szCs w:val="20"/>
        </w:rPr>
        <w:t xml:space="preserve"> 2019</w:t>
      </w:r>
      <w:r w:rsidRPr="00EB280A">
        <w:rPr>
          <w:rStyle w:val="s3aeeab2"/>
          <w:sz w:val="20"/>
          <w:szCs w:val="20"/>
        </w:rPr>
        <w:t>)</w:t>
      </w:r>
    </w:p>
  </w:footnote>
  <w:footnote w:id="2">
    <w:p w:rsidR="00110FEE" w:rsidRDefault="00110FEE" w:rsidP="00F25813">
      <w:pPr>
        <w:pStyle w:val="FootnoteText"/>
      </w:pPr>
      <w:r>
        <w:rPr>
          <w:rStyle w:val="FootnoteReference"/>
        </w:rPr>
        <w:footnoteRef/>
      </w:r>
      <w:r w:rsidRPr="0014054A">
        <w:rPr>
          <w:lang w:val="en-US"/>
        </w:rPr>
        <w:t xml:space="preserve"> </w:t>
      </w:r>
      <w:r w:rsidRPr="0014054A">
        <w:rPr>
          <w:i/>
          <w:iCs/>
          <w:lang w:val="en-US"/>
        </w:rPr>
        <w:t>Legal Consequences for States of the Continued Presence of South Africa in Namibia (South West Africa) Notwithstanding Security Council Resolution 276 (1970), Advisory Opinion, ICJ Reports 1971</w:t>
      </w:r>
      <w:r w:rsidRPr="0014054A">
        <w:rPr>
          <w:lang w:val="en-US"/>
        </w:rPr>
        <w:t>, s.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EE" w:rsidRPr="00A45145" w:rsidRDefault="00110FEE" w:rsidP="006777BE">
    <w:pPr>
      <w:jc w:val="center"/>
    </w:pPr>
    <w:r w:rsidRPr="009A0159">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33.25pt;height:95.25pt;visibility:visible">
          <v:imagedata r:id="rId1" o:title=""/>
        </v:shape>
      </w:pict>
    </w:r>
  </w:p>
  <w:p w:rsidR="00110FEE" w:rsidRDefault="00110FEE" w:rsidP="006777B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EE" w:rsidRPr="0014054A" w:rsidRDefault="00110FEE" w:rsidP="006A1F8B">
    <w:pPr>
      <w:pStyle w:val="ECHRHeader"/>
      <w:rPr>
        <w:lang w:val="pl-PL"/>
      </w:rPr>
    </w:pPr>
    <w:r w:rsidRPr="0014054A">
      <w:rPr>
        <w:rStyle w:val="PageNumber"/>
        <w:lang w:val="pl-PL"/>
      </w:rPr>
      <w:fldChar w:fldCharType="begin"/>
    </w:r>
    <w:r w:rsidRPr="0014054A">
      <w:rPr>
        <w:rStyle w:val="PageNumber"/>
        <w:lang w:val="pl-PL"/>
      </w:rPr>
      <w:instrText xml:space="preserve"> PAGE </w:instrText>
    </w:r>
    <w:r w:rsidRPr="0014054A">
      <w:rPr>
        <w:rStyle w:val="PageNumber"/>
        <w:lang w:val="pl-PL"/>
      </w:rPr>
      <w:fldChar w:fldCharType="separate"/>
    </w:r>
    <w:r w:rsidRPr="0014054A">
      <w:rPr>
        <w:rStyle w:val="PageNumber"/>
        <w:noProof/>
        <w:lang w:val="pl-PL"/>
      </w:rPr>
      <w:t>44</w:t>
    </w:r>
    <w:r w:rsidRPr="0014054A">
      <w:rPr>
        <w:rStyle w:val="PageNumber"/>
        <w:lang w:val="pl-PL"/>
      </w:rPr>
      <w:fldChar w:fldCharType="end"/>
    </w:r>
    <w:r w:rsidRPr="0014054A">
      <w:rPr>
        <w:lang w:val="pl-PL"/>
      </w:rPr>
      <w:tab/>
      <w:t>WYROK</w:t>
    </w:r>
    <w:r w:rsidRPr="00526789">
      <w:rPr>
        <w:lang w:val="pl-PL"/>
      </w:rPr>
      <w:t xml:space="preserve"> </w:t>
    </w:r>
    <w:r>
      <w:rPr>
        <w:lang w:val="pl-PL"/>
      </w:rPr>
      <w:t>W SPRAWIE GÜZELYURTLU I INNI PRZECIWKO</w:t>
    </w:r>
    <w:r w:rsidRPr="00526789">
      <w:rPr>
        <w:lang w:val="pl-PL"/>
      </w:rPr>
      <w:t xml:space="preserve"> CYPROWI I TURCJI</w:t>
    </w:r>
    <w:r w:rsidRPr="0014054A">
      <w:rPr>
        <w:lang w:val="pl-P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EE" w:rsidRPr="0014054A" w:rsidRDefault="00110FEE" w:rsidP="00DC4033">
    <w:pPr>
      <w:pStyle w:val="ECHRHeader"/>
      <w:rPr>
        <w:lang w:val="pl-PL"/>
      </w:rPr>
    </w:pPr>
    <w:r w:rsidRPr="00DC4033">
      <w:tab/>
    </w:r>
    <w:r w:rsidRPr="0014054A">
      <w:rPr>
        <w:lang w:val="pl-PL"/>
      </w:rPr>
      <w:t>WYROK</w:t>
    </w:r>
    <w:r w:rsidRPr="00312DF5">
      <w:rPr>
        <w:lang w:val="pl-PL"/>
      </w:rPr>
      <w:t xml:space="preserve"> </w:t>
    </w:r>
    <w:r>
      <w:rPr>
        <w:lang w:val="pl-PL"/>
      </w:rPr>
      <w:t xml:space="preserve">W SPRAWIE </w:t>
    </w:r>
    <w:r w:rsidRPr="00312DF5">
      <w:rPr>
        <w:lang w:val="pl-PL"/>
      </w:rPr>
      <w:t>GÜZELYURTLU I INNI P</w:t>
    </w:r>
    <w:r>
      <w:rPr>
        <w:lang w:val="pl-PL"/>
      </w:rPr>
      <w:t>RZECIWKO</w:t>
    </w:r>
    <w:r w:rsidRPr="00312DF5">
      <w:rPr>
        <w:lang w:val="pl-PL"/>
      </w:rPr>
      <w:t xml:space="preserve"> CYPROWI I TURCJI</w:t>
    </w:r>
    <w:r w:rsidRPr="0014054A">
      <w:rPr>
        <w:lang w:val="pl-PL"/>
      </w:rPr>
      <w:tab/>
    </w:r>
    <w:r w:rsidRPr="0014054A">
      <w:rPr>
        <w:rStyle w:val="PageNumber"/>
        <w:lang w:val="pl-PL"/>
      </w:rPr>
      <w:fldChar w:fldCharType="begin"/>
    </w:r>
    <w:r w:rsidRPr="0014054A">
      <w:rPr>
        <w:rStyle w:val="PageNumber"/>
        <w:lang w:val="pl-PL"/>
      </w:rPr>
      <w:instrText xml:space="preserve"> PAGE </w:instrText>
    </w:r>
    <w:r w:rsidRPr="0014054A">
      <w:rPr>
        <w:rStyle w:val="PageNumber"/>
        <w:lang w:val="pl-PL"/>
      </w:rPr>
      <w:fldChar w:fldCharType="separate"/>
    </w:r>
    <w:r w:rsidRPr="0014054A">
      <w:rPr>
        <w:rStyle w:val="PageNumber"/>
        <w:noProof/>
        <w:lang w:val="pl-PL"/>
      </w:rPr>
      <w:t>1</w:t>
    </w:r>
    <w:r w:rsidRPr="0014054A">
      <w:rPr>
        <w:rStyle w:val="PageNumber"/>
        <w:lang w:val="pl-PL"/>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EE" w:rsidRPr="00972A93" w:rsidRDefault="00110FEE" w:rsidP="00AC2B71">
    <w:pPr>
      <w:pStyle w:val="ECHRHeader"/>
      <w:tabs>
        <w:tab w:val="clear" w:pos="3686"/>
        <w:tab w:val="clear" w:pos="7371"/>
        <w:tab w:val="center" w:pos="3685"/>
      </w:tabs>
      <w:rPr>
        <w:lang w:val="pl-PL"/>
      </w:rPr>
    </w:pPr>
    <w:r w:rsidRPr="00972A93">
      <w:rPr>
        <w:rStyle w:val="PageNumber"/>
        <w:lang w:val="pl-PL"/>
      </w:rPr>
      <w:fldChar w:fldCharType="begin"/>
    </w:r>
    <w:r w:rsidRPr="00972A93">
      <w:rPr>
        <w:rStyle w:val="PageNumber"/>
        <w:lang w:val="pl-PL"/>
      </w:rPr>
      <w:instrText xml:space="preserve"> PAGE </w:instrText>
    </w:r>
    <w:r w:rsidRPr="00972A93">
      <w:rPr>
        <w:rStyle w:val="PageNumber"/>
        <w:lang w:val="pl-PL"/>
      </w:rPr>
      <w:fldChar w:fldCharType="separate"/>
    </w:r>
    <w:r>
      <w:rPr>
        <w:rStyle w:val="PageNumber"/>
        <w:noProof/>
        <w:lang w:val="pl-PL"/>
      </w:rPr>
      <w:t>46</w:t>
    </w:r>
    <w:r w:rsidRPr="00972A93">
      <w:rPr>
        <w:rStyle w:val="PageNumber"/>
        <w:lang w:val="pl-PL"/>
      </w:rPr>
      <w:fldChar w:fldCharType="end"/>
    </w:r>
    <w:r w:rsidRPr="00972A93">
      <w:rPr>
        <w:lang w:val="pl-PL"/>
      </w:rPr>
      <w:tab/>
    </w:r>
    <w:r w:rsidRPr="0014054A">
      <w:rPr>
        <w:lang w:val="pl-PL"/>
      </w:rPr>
      <w:t>WYROK</w:t>
    </w:r>
    <w:r w:rsidRPr="00972A93">
      <w:rPr>
        <w:lang w:val="pl-PL"/>
      </w:rPr>
      <w:t xml:space="preserve"> </w:t>
    </w:r>
    <w:r>
      <w:rPr>
        <w:lang w:val="pl-PL"/>
      </w:rPr>
      <w:t>W SPRAWIE GÜZELYURTLU I INNI PRZECIWKO</w:t>
    </w:r>
    <w:r w:rsidRPr="00972A93">
      <w:rPr>
        <w:lang w:val="pl-PL"/>
      </w:rPr>
      <w:t xml:space="preserve"> CYPROWI I TURCJI</w:t>
    </w:r>
    <w:r w:rsidRPr="0014054A">
      <w:rPr>
        <w:lang w:val="pl-PL"/>
      </w:rPr>
      <w:t xml:space="preserve"> –</w:t>
    </w:r>
    <w:r w:rsidRPr="00972A93">
      <w:rPr>
        <w:lang w:val="pl-PL"/>
      </w:rPr>
      <w:t xml:space="preserve"> </w:t>
    </w:r>
    <w:r w:rsidRPr="00972A93">
      <w:rPr>
        <w:lang w:val="pl-PL"/>
      </w:rPr>
      <w:tab/>
    </w:r>
  </w:p>
  <w:p w:rsidR="00110FEE" w:rsidRPr="00972A93" w:rsidRDefault="00110FEE" w:rsidP="00AC2B71">
    <w:pPr>
      <w:pStyle w:val="ECHRHeader"/>
      <w:tabs>
        <w:tab w:val="clear" w:pos="3686"/>
        <w:tab w:val="clear" w:pos="7371"/>
        <w:tab w:val="center" w:pos="3685"/>
      </w:tabs>
      <w:rPr>
        <w:lang w:val="pl-PL"/>
      </w:rPr>
    </w:pPr>
    <w:r w:rsidRPr="00972A93">
      <w:rPr>
        <w:lang w:val="pl-PL"/>
      </w:rPr>
      <w:tab/>
    </w:r>
    <w:r>
      <w:rPr>
        <w:lang w:val="pl-PL"/>
      </w:rPr>
      <w:t>ZDANIA ODRĘBNE</w:t>
    </w:r>
    <w:r w:rsidRPr="00972A93">
      <w:rPr>
        <w:lang w:val="pl-PL"/>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EE" w:rsidRPr="00972A93" w:rsidRDefault="00110FEE" w:rsidP="00AC2B71">
    <w:pPr>
      <w:pStyle w:val="ECHRHeader"/>
      <w:tabs>
        <w:tab w:val="clear" w:pos="3686"/>
        <w:tab w:val="clear" w:pos="7371"/>
        <w:tab w:val="center" w:pos="3685"/>
        <w:tab w:val="right" w:pos="7370"/>
      </w:tabs>
      <w:rPr>
        <w:lang w:val="pl-PL"/>
      </w:rPr>
    </w:pPr>
    <w:r w:rsidRPr="00972A93">
      <w:rPr>
        <w:lang w:val="pl-PL"/>
      </w:rPr>
      <w:tab/>
      <w:t xml:space="preserve">WYROK </w:t>
    </w:r>
    <w:r>
      <w:rPr>
        <w:lang w:val="pl-PL"/>
      </w:rPr>
      <w:t>W SPRAWIE GÜZELYURTLU I INNI PRZECIWKO</w:t>
    </w:r>
    <w:r w:rsidRPr="00972A93">
      <w:rPr>
        <w:lang w:val="pl-PL"/>
      </w:rPr>
      <w:t xml:space="preserve"> CYPROWI I TURCJI –</w:t>
    </w:r>
    <w:r>
      <w:rPr>
        <w:lang w:val="pl-PL"/>
      </w:rPr>
      <w:t>–</w:t>
    </w:r>
    <w:r w:rsidRPr="00972A93">
      <w:rPr>
        <w:lang w:val="pl-PL"/>
      </w:rPr>
      <w:tab/>
    </w:r>
    <w:r w:rsidRPr="00972A93">
      <w:rPr>
        <w:rStyle w:val="PageNumber"/>
        <w:lang w:val="pl-PL"/>
      </w:rPr>
      <w:fldChar w:fldCharType="begin"/>
    </w:r>
    <w:r w:rsidRPr="00972A93">
      <w:rPr>
        <w:rStyle w:val="PageNumber"/>
        <w:lang w:val="pl-PL"/>
      </w:rPr>
      <w:instrText xml:space="preserve"> PAGE </w:instrText>
    </w:r>
    <w:r w:rsidRPr="00972A93">
      <w:rPr>
        <w:rStyle w:val="PageNumber"/>
        <w:lang w:val="pl-PL"/>
      </w:rPr>
      <w:fldChar w:fldCharType="separate"/>
    </w:r>
    <w:r>
      <w:rPr>
        <w:rStyle w:val="PageNumber"/>
        <w:noProof/>
        <w:lang w:val="pl-PL"/>
      </w:rPr>
      <w:t>47</w:t>
    </w:r>
    <w:r w:rsidRPr="00972A93">
      <w:rPr>
        <w:rStyle w:val="PageNumber"/>
        <w:lang w:val="pl-PL"/>
      </w:rPr>
      <w:fldChar w:fldCharType="end"/>
    </w:r>
  </w:p>
  <w:p w:rsidR="00110FEE" w:rsidRPr="00972A93" w:rsidRDefault="00110FEE" w:rsidP="00AC2B71">
    <w:pPr>
      <w:pStyle w:val="ECHRHeader"/>
      <w:tabs>
        <w:tab w:val="clear" w:pos="3686"/>
        <w:tab w:val="clear" w:pos="7371"/>
        <w:tab w:val="center" w:pos="3685"/>
        <w:tab w:val="right" w:pos="7370"/>
      </w:tabs>
      <w:rPr>
        <w:lang w:val="pl-PL"/>
      </w:rPr>
    </w:pPr>
    <w:r w:rsidRPr="00972A93">
      <w:rPr>
        <w:lang w:val="pl-PL"/>
      </w:rPr>
      <w:tab/>
      <w:t>ZDANIA ODRĘBNE</w:t>
    </w:r>
    <w:r w:rsidRPr="00972A93">
      <w:rPr>
        <w:lang w:val="pl-P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60303C"/>
    <w:lvl w:ilvl="0">
      <w:start w:val="1"/>
      <w:numFmt w:val="decimal"/>
      <w:lvlText w:val="%1."/>
      <w:lvlJc w:val="left"/>
      <w:pPr>
        <w:tabs>
          <w:tab w:val="num" w:pos="1492"/>
        </w:tabs>
        <w:ind w:left="1492" w:hanging="360"/>
      </w:pPr>
    </w:lvl>
  </w:abstractNum>
  <w:abstractNum w:abstractNumId="1">
    <w:nsid w:val="FFFFFF7D"/>
    <w:multiLevelType w:val="singleLevel"/>
    <w:tmpl w:val="574EE562"/>
    <w:lvl w:ilvl="0">
      <w:start w:val="1"/>
      <w:numFmt w:val="decimal"/>
      <w:lvlText w:val="%1."/>
      <w:lvlJc w:val="left"/>
      <w:pPr>
        <w:tabs>
          <w:tab w:val="num" w:pos="1209"/>
        </w:tabs>
        <w:ind w:left="1209" w:hanging="360"/>
      </w:pPr>
    </w:lvl>
  </w:abstractNum>
  <w:abstractNum w:abstractNumId="2">
    <w:nsid w:val="FFFFFF7E"/>
    <w:multiLevelType w:val="singleLevel"/>
    <w:tmpl w:val="F8BE1DE4"/>
    <w:lvl w:ilvl="0">
      <w:start w:val="1"/>
      <w:numFmt w:val="decimal"/>
      <w:lvlText w:val="%1."/>
      <w:lvlJc w:val="left"/>
      <w:pPr>
        <w:tabs>
          <w:tab w:val="num" w:pos="926"/>
        </w:tabs>
        <w:ind w:left="926" w:hanging="360"/>
      </w:pPr>
    </w:lvl>
  </w:abstractNum>
  <w:abstractNum w:abstractNumId="3">
    <w:nsid w:val="FFFFFF7F"/>
    <w:multiLevelType w:val="singleLevel"/>
    <w:tmpl w:val="D49C1F36"/>
    <w:lvl w:ilvl="0">
      <w:start w:val="1"/>
      <w:numFmt w:val="decimal"/>
      <w:lvlText w:val="%1."/>
      <w:lvlJc w:val="left"/>
      <w:pPr>
        <w:tabs>
          <w:tab w:val="num" w:pos="643"/>
        </w:tabs>
        <w:ind w:left="643" w:hanging="360"/>
      </w:pPr>
    </w:lvl>
  </w:abstractNum>
  <w:abstractNum w:abstractNumId="4">
    <w:nsid w:val="FFFFFF80"/>
    <w:multiLevelType w:val="singleLevel"/>
    <w:tmpl w:val="80F83F5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023287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88B37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75C667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E56806E"/>
    <w:lvl w:ilvl="0">
      <w:start w:val="1"/>
      <w:numFmt w:val="decimal"/>
      <w:lvlText w:val="%1."/>
      <w:lvlJc w:val="left"/>
      <w:pPr>
        <w:tabs>
          <w:tab w:val="num" w:pos="360"/>
        </w:tabs>
        <w:ind w:left="360" w:hanging="360"/>
      </w:pPr>
    </w:lvl>
  </w:abstractNum>
  <w:abstractNum w:abstractNumId="9">
    <w:nsid w:val="FFFFFF89"/>
    <w:multiLevelType w:val="singleLevel"/>
    <w:tmpl w:val="645802F6"/>
    <w:lvl w:ilvl="0">
      <w:start w:val="1"/>
      <w:numFmt w:val="bullet"/>
      <w:lvlText w:val=""/>
      <w:lvlJc w:val="left"/>
      <w:pPr>
        <w:tabs>
          <w:tab w:val="num" w:pos="360"/>
        </w:tabs>
        <w:ind w:left="360" w:hanging="360"/>
      </w:pPr>
      <w:rPr>
        <w:rFonts w:ascii="Symbol" w:hAnsi="Symbol" w:cs="Symbol" w:hint="default"/>
      </w:rPr>
    </w:lvl>
  </w:abstractNum>
  <w:abstractNum w:abstractNumId="10">
    <w:nsid w:val="15DF434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7C0013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9466D8E"/>
    <w:multiLevelType w:val="multilevel"/>
    <w:tmpl w:val="040C0023"/>
    <w:styleLink w:val="ArticleSection"/>
    <w:lvl w:ilvl="0">
      <w:start w:val="1"/>
      <w:numFmt w:val="upperRoman"/>
      <w:pStyle w:val="JuAppQuestio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2316A4C"/>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7E457A0"/>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cs="Wingdings" w:hint="default"/>
        <w:color w:val="808080"/>
        <w:sz w:val="16"/>
        <w:szCs w:val="16"/>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cs="Wingdings" w:hint="default"/>
      </w:rPr>
    </w:lvl>
    <w:lvl w:ilvl="3" w:tplc="08090001">
      <w:start w:val="1"/>
      <w:numFmt w:val="bullet"/>
      <w:lvlText w:val=""/>
      <w:lvlJc w:val="left"/>
      <w:pPr>
        <w:tabs>
          <w:tab w:val="num" w:pos="3164"/>
        </w:tabs>
        <w:ind w:left="3164" w:hanging="360"/>
      </w:pPr>
      <w:rPr>
        <w:rFonts w:ascii="Symbol" w:hAnsi="Symbol" w:cs="Symbol" w:hint="default"/>
      </w:rPr>
    </w:lvl>
    <w:lvl w:ilvl="4" w:tplc="08090003">
      <w:start w:val="1"/>
      <w:numFmt w:val="bullet"/>
      <w:lvlText w:val="o"/>
      <w:lvlJc w:val="left"/>
      <w:pPr>
        <w:tabs>
          <w:tab w:val="num" w:pos="3884"/>
        </w:tabs>
        <w:ind w:left="3884" w:hanging="360"/>
      </w:pPr>
      <w:rPr>
        <w:rFonts w:ascii="Courier New" w:hAnsi="Courier New" w:cs="Courier New" w:hint="default"/>
      </w:rPr>
    </w:lvl>
    <w:lvl w:ilvl="5" w:tplc="08090005">
      <w:start w:val="1"/>
      <w:numFmt w:val="bullet"/>
      <w:lvlText w:val=""/>
      <w:lvlJc w:val="left"/>
      <w:pPr>
        <w:tabs>
          <w:tab w:val="num" w:pos="4604"/>
        </w:tabs>
        <w:ind w:left="4604" w:hanging="360"/>
      </w:pPr>
      <w:rPr>
        <w:rFonts w:ascii="Wingdings" w:hAnsi="Wingdings" w:cs="Wingdings" w:hint="default"/>
      </w:rPr>
    </w:lvl>
    <w:lvl w:ilvl="6" w:tplc="08090001">
      <w:start w:val="1"/>
      <w:numFmt w:val="bullet"/>
      <w:lvlText w:val=""/>
      <w:lvlJc w:val="left"/>
      <w:pPr>
        <w:tabs>
          <w:tab w:val="num" w:pos="5324"/>
        </w:tabs>
        <w:ind w:left="5324" w:hanging="360"/>
      </w:pPr>
      <w:rPr>
        <w:rFonts w:ascii="Symbol" w:hAnsi="Symbol" w:cs="Symbol" w:hint="default"/>
      </w:rPr>
    </w:lvl>
    <w:lvl w:ilvl="7" w:tplc="08090003">
      <w:start w:val="1"/>
      <w:numFmt w:val="bullet"/>
      <w:lvlText w:val="o"/>
      <w:lvlJc w:val="left"/>
      <w:pPr>
        <w:tabs>
          <w:tab w:val="num" w:pos="6044"/>
        </w:tabs>
        <w:ind w:left="6044" w:hanging="360"/>
      </w:pPr>
      <w:rPr>
        <w:rFonts w:ascii="Courier New" w:hAnsi="Courier New" w:cs="Courier New" w:hint="default"/>
      </w:rPr>
    </w:lvl>
    <w:lvl w:ilvl="8" w:tplc="08090005">
      <w:start w:val="1"/>
      <w:numFmt w:val="bullet"/>
      <w:lvlText w:val=""/>
      <w:lvlJc w:val="left"/>
      <w:pPr>
        <w:tabs>
          <w:tab w:val="num" w:pos="6764"/>
        </w:tabs>
        <w:ind w:left="6764" w:hanging="360"/>
      </w:pPr>
      <w:rPr>
        <w:rFonts w:ascii="Wingdings" w:hAnsi="Wingdings" w:cs="Wingdings" w:hint="default"/>
      </w:rPr>
    </w:lvl>
  </w:abstractNum>
  <w:abstractNum w:abstractNumId="16">
    <w:nsid w:val="6F93392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embedSystemFonts/>
  <w:defaultTabStop w:val="720"/>
  <w:hyphenationZone w:val="425"/>
  <w:doNotHyphenateCaps/>
  <w:evenAndOddHeaders/>
  <w:drawingGridHorizontalSpacing w:val="110"/>
  <w:displayHorizontalDrawingGridEvery w:val="2"/>
  <w:displayVerticalDrawingGridEvery w:val="2"/>
  <w:characterSpacingControl w:val="doNotCompress"/>
  <w:doNotValidateAgainstSchema/>
  <w:doNotDemarcateInvalidXml/>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MM" w:val="0"/>
    <w:docVar w:name="NBEMMDOC" w:val="0"/>
  </w:docVars>
  <w:rsids>
    <w:rsidRoot w:val="00F25813"/>
    <w:rsid w:val="000041F8"/>
    <w:rsid w:val="000042A8"/>
    <w:rsid w:val="00004308"/>
    <w:rsid w:val="00005BF0"/>
    <w:rsid w:val="00007154"/>
    <w:rsid w:val="00007A11"/>
    <w:rsid w:val="000103AE"/>
    <w:rsid w:val="00010861"/>
    <w:rsid w:val="00011D69"/>
    <w:rsid w:val="00012AD3"/>
    <w:rsid w:val="00012D8D"/>
    <w:rsid w:val="000145E6"/>
    <w:rsid w:val="00015C2D"/>
    <w:rsid w:val="00015F00"/>
    <w:rsid w:val="0001714C"/>
    <w:rsid w:val="00022C1D"/>
    <w:rsid w:val="00022E3B"/>
    <w:rsid w:val="00024905"/>
    <w:rsid w:val="00031561"/>
    <w:rsid w:val="0003300B"/>
    <w:rsid w:val="00034987"/>
    <w:rsid w:val="000471D5"/>
    <w:rsid w:val="000477C3"/>
    <w:rsid w:val="00052BF7"/>
    <w:rsid w:val="000602DF"/>
    <w:rsid w:val="00061B05"/>
    <w:rsid w:val="000632D5"/>
    <w:rsid w:val="000644EE"/>
    <w:rsid w:val="00065F6F"/>
    <w:rsid w:val="0008458F"/>
    <w:rsid w:val="00084D30"/>
    <w:rsid w:val="00087652"/>
    <w:rsid w:val="000909F3"/>
    <w:rsid w:val="000925AD"/>
    <w:rsid w:val="00094299"/>
    <w:rsid w:val="00096A4E"/>
    <w:rsid w:val="000A005F"/>
    <w:rsid w:val="000A24EB"/>
    <w:rsid w:val="000A2A55"/>
    <w:rsid w:val="000A31B4"/>
    <w:rsid w:val="000A6974"/>
    <w:rsid w:val="000A7E1A"/>
    <w:rsid w:val="000B6923"/>
    <w:rsid w:val="000B6AAA"/>
    <w:rsid w:val="000C5F3C"/>
    <w:rsid w:val="000C6DCC"/>
    <w:rsid w:val="000D2C50"/>
    <w:rsid w:val="000D43F2"/>
    <w:rsid w:val="000D47AA"/>
    <w:rsid w:val="000D6109"/>
    <w:rsid w:val="000D6B5D"/>
    <w:rsid w:val="000D721F"/>
    <w:rsid w:val="000E069B"/>
    <w:rsid w:val="000E0E82"/>
    <w:rsid w:val="000E1DC5"/>
    <w:rsid w:val="000E223F"/>
    <w:rsid w:val="000E4B17"/>
    <w:rsid w:val="000E4CCE"/>
    <w:rsid w:val="000E7D45"/>
    <w:rsid w:val="000F0D99"/>
    <w:rsid w:val="000F1963"/>
    <w:rsid w:val="000F7851"/>
    <w:rsid w:val="00104E23"/>
    <w:rsid w:val="001054DF"/>
    <w:rsid w:val="00106A05"/>
    <w:rsid w:val="00107F7F"/>
    <w:rsid w:val="00110778"/>
    <w:rsid w:val="00110FEE"/>
    <w:rsid w:val="00111B0C"/>
    <w:rsid w:val="00114EEB"/>
    <w:rsid w:val="00120037"/>
    <w:rsid w:val="00120D6C"/>
    <w:rsid w:val="00121ED6"/>
    <w:rsid w:val="001257EC"/>
    <w:rsid w:val="001268D3"/>
    <w:rsid w:val="00131A20"/>
    <w:rsid w:val="00133D33"/>
    <w:rsid w:val="001343AE"/>
    <w:rsid w:val="00134D64"/>
    <w:rsid w:val="00135A30"/>
    <w:rsid w:val="0013612C"/>
    <w:rsid w:val="00137FF6"/>
    <w:rsid w:val="0014054A"/>
    <w:rsid w:val="00141650"/>
    <w:rsid w:val="00143A00"/>
    <w:rsid w:val="001470E9"/>
    <w:rsid w:val="00150BFA"/>
    <w:rsid w:val="00150F96"/>
    <w:rsid w:val="00151D9A"/>
    <w:rsid w:val="001520C8"/>
    <w:rsid w:val="00152F12"/>
    <w:rsid w:val="001532DA"/>
    <w:rsid w:val="00162A12"/>
    <w:rsid w:val="00165A45"/>
    <w:rsid w:val="00166154"/>
    <w:rsid w:val="00166530"/>
    <w:rsid w:val="001676A7"/>
    <w:rsid w:val="001679AF"/>
    <w:rsid w:val="0017019E"/>
    <w:rsid w:val="00173B50"/>
    <w:rsid w:val="00173DAD"/>
    <w:rsid w:val="00176D5F"/>
    <w:rsid w:val="00180832"/>
    <w:rsid w:val="001832BD"/>
    <w:rsid w:val="00192C2F"/>
    <w:rsid w:val="001943B5"/>
    <w:rsid w:val="00195134"/>
    <w:rsid w:val="00196CFA"/>
    <w:rsid w:val="001A0EB9"/>
    <w:rsid w:val="001A145B"/>
    <w:rsid w:val="001A674C"/>
    <w:rsid w:val="001A7985"/>
    <w:rsid w:val="001B3B24"/>
    <w:rsid w:val="001B4125"/>
    <w:rsid w:val="001B7819"/>
    <w:rsid w:val="001C0F98"/>
    <w:rsid w:val="001C2A42"/>
    <w:rsid w:val="001C3973"/>
    <w:rsid w:val="001D4FAA"/>
    <w:rsid w:val="001D63ED"/>
    <w:rsid w:val="001D7348"/>
    <w:rsid w:val="001E035B"/>
    <w:rsid w:val="001E0961"/>
    <w:rsid w:val="001E3EAE"/>
    <w:rsid w:val="001E4E7C"/>
    <w:rsid w:val="001E5825"/>
    <w:rsid w:val="001E6F32"/>
    <w:rsid w:val="001F0F1D"/>
    <w:rsid w:val="001F1CD9"/>
    <w:rsid w:val="001F2145"/>
    <w:rsid w:val="001F6262"/>
    <w:rsid w:val="001F67B0"/>
    <w:rsid w:val="001F7091"/>
    <w:rsid w:val="001F7B3D"/>
    <w:rsid w:val="00205F9F"/>
    <w:rsid w:val="00210338"/>
    <w:rsid w:val="00210EFF"/>
    <w:rsid w:val="002115FC"/>
    <w:rsid w:val="00211E71"/>
    <w:rsid w:val="0021423C"/>
    <w:rsid w:val="0022702E"/>
    <w:rsid w:val="00230D00"/>
    <w:rsid w:val="00231DF7"/>
    <w:rsid w:val="00231FD1"/>
    <w:rsid w:val="002339E0"/>
    <w:rsid w:val="00233CF8"/>
    <w:rsid w:val="0023575D"/>
    <w:rsid w:val="00237148"/>
    <w:rsid w:val="00237AA6"/>
    <w:rsid w:val="0024222D"/>
    <w:rsid w:val="00244B0E"/>
    <w:rsid w:val="00244F6C"/>
    <w:rsid w:val="00252599"/>
    <w:rsid w:val="002532C5"/>
    <w:rsid w:val="00260C03"/>
    <w:rsid w:val="00262A68"/>
    <w:rsid w:val="0026540E"/>
    <w:rsid w:val="002705F1"/>
    <w:rsid w:val="00273C97"/>
    <w:rsid w:val="0027413E"/>
    <w:rsid w:val="00275123"/>
    <w:rsid w:val="00282240"/>
    <w:rsid w:val="00285481"/>
    <w:rsid w:val="002870C2"/>
    <w:rsid w:val="002948AD"/>
    <w:rsid w:val="002A01CC"/>
    <w:rsid w:val="002A23FD"/>
    <w:rsid w:val="002A61B1"/>
    <w:rsid w:val="002A663C"/>
    <w:rsid w:val="002B2037"/>
    <w:rsid w:val="002B444B"/>
    <w:rsid w:val="002B5887"/>
    <w:rsid w:val="002B7B40"/>
    <w:rsid w:val="002C0E27"/>
    <w:rsid w:val="002C127F"/>
    <w:rsid w:val="002C1639"/>
    <w:rsid w:val="002C3040"/>
    <w:rsid w:val="002C5541"/>
    <w:rsid w:val="002D022D"/>
    <w:rsid w:val="002D11BE"/>
    <w:rsid w:val="002D24BB"/>
    <w:rsid w:val="002E7591"/>
    <w:rsid w:val="002F1097"/>
    <w:rsid w:val="002F2AF7"/>
    <w:rsid w:val="002F6EBE"/>
    <w:rsid w:val="002F7E1C"/>
    <w:rsid w:val="003006BF"/>
    <w:rsid w:val="00301A75"/>
    <w:rsid w:val="00301D04"/>
    <w:rsid w:val="00302F70"/>
    <w:rsid w:val="0030336F"/>
    <w:rsid w:val="0030375E"/>
    <w:rsid w:val="00307225"/>
    <w:rsid w:val="00312A30"/>
    <w:rsid w:val="00312DF5"/>
    <w:rsid w:val="003178E7"/>
    <w:rsid w:val="00320679"/>
    <w:rsid w:val="00320F72"/>
    <w:rsid w:val="0032463E"/>
    <w:rsid w:val="00326224"/>
    <w:rsid w:val="003311CF"/>
    <w:rsid w:val="00336879"/>
    <w:rsid w:val="00337EE4"/>
    <w:rsid w:val="00340FFD"/>
    <w:rsid w:val="003410A3"/>
    <w:rsid w:val="0034383F"/>
    <w:rsid w:val="003506B1"/>
    <w:rsid w:val="0035084A"/>
    <w:rsid w:val="00351856"/>
    <w:rsid w:val="00351C2A"/>
    <w:rsid w:val="00354AA2"/>
    <w:rsid w:val="00356532"/>
    <w:rsid w:val="00356AC7"/>
    <w:rsid w:val="003609FA"/>
    <w:rsid w:val="00366598"/>
    <w:rsid w:val="00366CF7"/>
    <w:rsid w:val="003710C8"/>
    <w:rsid w:val="00371D96"/>
    <w:rsid w:val="003750BE"/>
    <w:rsid w:val="00377333"/>
    <w:rsid w:val="00380D3F"/>
    <w:rsid w:val="00382468"/>
    <w:rsid w:val="0038283A"/>
    <w:rsid w:val="0038386B"/>
    <w:rsid w:val="0038408F"/>
    <w:rsid w:val="00387B9D"/>
    <w:rsid w:val="0039364F"/>
    <w:rsid w:val="00396686"/>
    <w:rsid w:val="003976C9"/>
    <w:rsid w:val="0039778E"/>
    <w:rsid w:val="003A47E0"/>
    <w:rsid w:val="003B4941"/>
    <w:rsid w:val="003C24C8"/>
    <w:rsid w:val="003C3F8E"/>
    <w:rsid w:val="003C5714"/>
    <w:rsid w:val="003C6B9F"/>
    <w:rsid w:val="003C6E2A"/>
    <w:rsid w:val="003D0299"/>
    <w:rsid w:val="003D041D"/>
    <w:rsid w:val="003D2B0F"/>
    <w:rsid w:val="003D315E"/>
    <w:rsid w:val="003D5F20"/>
    <w:rsid w:val="003E38F3"/>
    <w:rsid w:val="003E4076"/>
    <w:rsid w:val="003E6D80"/>
    <w:rsid w:val="003E7A62"/>
    <w:rsid w:val="003F05FA"/>
    <w:rsid w:val="003F244A"/>
    <w:rsid w:val="003F30B8"/>
    <w:rsid w:val="003F447E"/>
    <w:rsid w:val="003F4C45"/>
    <w:rsid w:val="003F5F7B"/>
    <w:rsid w:val="003F7D64"/>
    <w:rsid w:val="004055A4"/>
    <w:rsid w:val="00414300"/>
    <w:rsid w:val="00415B26"/>
    <w:rsid w:val="00421CB7"/>
    <w:rsid w:val="00425C67"/>
    <w:rsid w:val="00427E7A"/>
    <w:rsid w:val="00431389"/>
    <w:rsid w:val="00436C49"/>
    <w:rsid w:val="00437355"/>
    <w:rsid w:val="00441BF0"/>
    <w:rsid w:val="0044466A"/>
    <w:rsid w:val="004447F3"/>
    <w:rsid w:val="00445366"/>
    <w:rsid w:val="00447F5B"/>
    <w:rsid w:val="00456084"/>
    <w:rsid w:val="0045649E"/>
    <w:rsid w:val="004619DE"/>
    <w:rsid w:val="00461DB0"/>
    <w:rsid w:val="0046229E"/>
    <w:rsid w:val="00463926"/>
    <w:rsid w:val="00464C9A"/>
    <w:rsid w:val="00474F3D"/>
    <w:rsid w:val="00475678"/>
    <w:rsid w:val="00477E3A"/>
    <w:rsid w:val="00482AB0"/>
    <w:rsid w:val="00483E5F"/>
    <w:rsid w:val="00485FF9"/>
    <w:rsid w:val="004907F0"/>
    <w:rsid w:val="0049140B"/>
    <w:rsid w:val="004923A5"/>
    <w:rsid w:val="00496BFB"/>
    <w:rsid w:val="00496FAB"/>
    <w:rsid w:val="004A15C7"/>
    <w:rsid w:val="004A1AF8"/>
    <w:rsid w:val="004A28A3"/>
    <w:rsid w:val="004A523E"/>
    <w:rsid w:val="004B013B"/>
    <w:rsid w:val="004B09AF"/>
    <w:rsid w:val="004B112B"/>
    <w:rsid w:val="004B4B92"/>
    <w:rsid w:val="004B7B13"/>
    <w:rsid w:val="004C01E4"/>
    <w:rsid w:val="004C086C"/>
    <w:rsid w:val="004C1F56"/>
    <w:rsid w:val="004C27BC"/>
    <w:rsid w:val="004C6768"/>
    <w:rsid w:val="004D15F3"/>
    <w:rsid w:val="004D1B56"/>
    <w:rsid w:val="004D5311"/>
    <w:rsid w:val="004D5DCC"/>
    <w:rsid w:val="004D6B13"/>
    <w:rsid w:val="004D7C4B"/>
    <w:rsid w:val="004E1441"/>
    <w:rsid w:val="004E17C4"/>
    <w:rsid w:val="004E2032"/>
    <w:rsid w:val="004E3E9E"/>
    <w:rsid w:val="004F10AF"/>
    <w:rsid w:val="004F11A4"/>
    <w:rsid w:val="004F2389"/>
    <w:rsid w:val="004F304D"/>
    <w:rsid w:val="004F61BE"/>
    <w:rsid w:val="004F66B1"/>
    <w:rsid w:val="004F6861"/>
    <w:rsid w:val="00501722"/>
    <w:rsid w:val="00504710"/>
    <w:rsid w:val="00511C07"/>
    <w:rsid w:val="005165DA"/>
    <w:rsid w:val="00516C1F"/>
    <w:rsid w:val="00516F26"/>
    <w:rsid w:val="005173A6"/>
    <w:rsid w:val="00520BAA"/>
    <w:rsid w:val="00525208"/>
    <w:rsid w:val="005257A5"/>
    <w:rsid w:val="00526394"/>
    <w:rsid w:val="005264C0"/>
    <w:rsid w:val="00526679"/>
    <w:rsid w:val="00526789"/>
    <w:rsid w:val="00526A8A"/>
    <w:rsid w:val="00531DF2"/>
    <w:rsid w:val="00533C33"/>
    <w:rsid w:val="0053494A"/>
    <w:rsid w:val="005442EE"/>
    <w:rsid w:val="00545EF5"/>
    <w:rsid w:val="00547353"/>
    <w:rsid w:val="005474E7"/>
    <w:rsid w:val="005512A3"/>
    <w:rsid w:val="005554F3"/>
    <w:rsid w:val="005578CE"/>
    <w:rsid w:val="00562781"/>
    <w:rsid w:val="00564B37"/>
    <w:rsid w:val="005665C1"/>
    <w:rsid w:val="0057271C"/>
    <w:rsid w:val="00572845"/>
    <w:rsid w:val="005729FE"/>
    <w:rsid w:val="00582594"/>
    <w:rsid w:val="00592772"/>
    <w:rsid w:val="005955B9"/>
    <w:rsid w:val="0059574A"/>
    <w:rsid w:val="005A1B9B"/>
    <w:rsid w:val="005A42AE"/>
    <w:rsid w:val="005A6751"/>
    <w:rsid w:val="005A741D"/>
    <w:rsid w:val="005A79AD"/>
    <w:rsid w:val="005B092E"/>
    <w:rsid w:val="005B152C"/>
    <w:rsid w:val="005B1EE0"/>
    <w:rsid w:val="005B2B24"/>
    <w:rsid w:val="005B4425"/>
    <w:rsid w:val="005B4673"/>
    <w:rsid w:val="005B4B94"/>
    <w:rsid w:val="005B790A"/>
    <w:rsid w:val="005C3D3D"/>
    <w:rsid w:val="005C3EE8"/>
    <w:rsid w:val="005C7F81"/>
    <w:rsid w:val="005D1BD4"/>
    <w:rsid w:val="005D34F9"/>
    <w:rsid w:val="005D4190"/>
    <w:rsid w:val="005D67A3"/>
    <w:rsid w:val="005E2988"/>
    <w:rsid w:val="005E3085"/>
    <w:rsid w:val="005E3613"/>
    <w:rsid w:val="005F2EF7"/>
    <w:rsid w:val="005F51E1"/>
    <w:rsid w:val="006105E1"/>
    <w:rsid w:val="00611C80"/>
    <w:rsid w:val="00613157"/>
    <w:rsid w:val="0061712A"/>
    <w:rsid w:val="00620692"/>
    <w:rsid w:val="00621A9A"/>
    <w:rsid w:val="006242CA"/>
    <w:rsid w:val="00624608"/>
    <w:rsid w:val="0062603C"/>
    <w:rsid w:val="00627507"/>
    <w:rsid w:val="006305A5"/>
    <w:rsid w:val="00632F97"/>
    <w:rsid w:val="00633717"/>
    <w:rsid w:val="006337D6"/>
    <w:rsid w:val="006344E1"/>
    <w:rsid w:val="0063744E"/>
    <w:rsid w:val="006467E4"/>
    <w:rsid w:val="00652A73"/>
    <w:rsid w:val="006545C4"/>
    <w:rsid w:val="0065638D"/>
    <w:rsid w:val="0066124A"/>
    <w:rsid w:val="00661879"/>
    <w:rsid w:val="00661971"/>
    <w:rsid w:val="00661CE8"/>
    <w:rsid w:val="006623D9"/>
    <w:rsid w:val="0066550C"/>
    <w:rsid w:val="006716F2"/>
    <w:rsid w:val="006777BE"/>
    <w:rsid w:val="006811C3"/>
    <w:rsid w:val="00682BF2"/>
    <w:rsid w:val="006852E3"/>
    <w:rsid w:val="006859CE"/>
    <w:rsid w:val="0068635E"/>
    <w:rsid w:val="00691270"/>
    <w:rsid w:val="00694BA8"/>
    <w:rsid w:val="006A037C"/>
    <w:rsid w:val="006A1F8B"/>
    <w:rsid w:val="006A36F4"/>
    <w:rsid w:val="006A3C57"/>
    <w:rsid w:val="006A406F"/>
    <w:rsid w:val="006A4B93"/>
    <w:rsid w:val="006A4D56"/>
    <w:rsid w:val="006A5D3A"/>
    <w:rsid w:val="006B0F25"/>
    <w:rsid w:val="006B667D"/>
    <w:rsid w:val="006B6E56"/>
    <w:rsid w:val="006C23D4"/>
    <w:rsid w:val="006C4293"/>
    <w:rsid w:val="006C7BB0"/>
    <w:rsid w:val="006D3237"/>
    <w:rsid w:val="006D6F4C"/>
    <w:rsid w:val="006E2E37"/>
    <w:rsid w:val="006E36AC"/>
    <w:rsid w:val="006E3CF1"/>
    <w:rsid w:val="006E5D86"/>
    <w:rsid w:val="006E7E80"/>
    <w:rsid w:val="006F48CA"/>
    <w:rsid w:val="006F569A"/>
    <w:rsid w:val="006F64DD"/>
    <w:rsid w:val="00705053"/>
    <w:rsid w:val="007058D5"/>
    <w:rsid w:val="00711813"/>
    <w:rsid w:val="00711A20"/>
    <w:rsid w:val="00715127"/>
    <w:rsid w:val="00715E8E"/>
    <w:rsid w:val="007208D4"/>
    <w:rsid w:val="007234BC"/>
    <w:rsid w:val="00723580"/>
    <w:rsid w:val="00723755"/>
    <w:rsid w:val="0073136C"/>
    <w:rsid w:val="007313E2"/>
    <w:rsid w:val="00731F0F"/>
    <w:rsid w:val="00733250"/>
    <w:rsid w:val="00736FFF"/>
    <w:rsid w:val="00737EB4"/>
    <w:rsid w:val="00741404"/>
    <w:rsid w:val="007442AF"/>
    <w:rsid w:val="007447CD"/>
    <w:rsid w:val="007449E5"/>
    <w:rsid w:val="0074598D"/>
    <w:rsid w:val="00747FF0"/>
    <w:rsid w:val="0075784F"/>
    <w:rsid w:val="00763C60"/>
    <w:rsid w:val="00764D4E"/>
    <w:rsid w:val="00765A1F"/>
    <w:rsid w:val="007674D9"/>
    <w:rsid w:val="00767AD3"/>
    <w:rsid w:val="007736C7"/>
    <w:rsid w:val="0077491B"/>
    <w:rsid w:val="00775B6D"/>
    <w:rsid w:val="00776D68"/>
    <w:rsid w:val="00781F37"/>
    <w:rsid w:val="007832BC"/>
    <w:rsid w:val="007850EE"/>
    <w:rsid w:val="00785B95"/>
    <w:rsid w:val="00790BC0"/>
    <w:rsid w:val="00790E96"/>
    <w:rsid w:val="00793366"/>
    <w:rsid w:val="00793EFE"/>
    <w:rsid w:val="00796E35"/>
    <w:rsid w:val="007A6FA5"/>
    <w:rsid w:val="007A716F"/>
    <w:rsid w:val="007B0586"/>
    <w:rsid w:val="007B270A"/>
    <w:rsid w:val="007B3C84"/>
    <w:rsid w:val="007C05D9"/>
    <w:rsid w:val="007C0695"/>
    <w:rsid w:val="007C419A"/>
    <w:rsid w:val="007C4CC8"/>
    <w:rsid w:val="007C5426"/>
    <w:rsid w:val="007C5798"/>
    <w:rsid w:val="007C61B3"/>
    <w:rsid w:val="007C6A77"/>
    <w:rsid w:val="007D4832"/>
    <w:rsid w:val="007D4D96"/>
    <w:rsid w:val="007E21B2"/>
    <w:rsid w:val="007E2C4E"/>
    <w:rsid w:val="007E3359"/>
    <w:rsid w:val="007E48A9"/>
    <w:rsid w:val="007F1905"/>
    <w:rsid w:val="007F38D5"/>
    <w:rsid w:val="007F458E"/>
    <w:rsid w:val="007F67EF"/>
    <w:rsid w:val="00800B15"/>
    <w:rsid w:val="0080287E"/>
    <w:rsid w:val="00802C64"/>
    <w:rsid w:val="00805DA8"/>
    <w:rsid w:val="00805E52"/>
    <w:rsid w:val="008061D0"/>
    <w:rsid w:val="00810B38"/>
    <w:rsid w:val="00811717"/>
    <w:rsid w:val="008136B5"/>
    <w:rsid w:val="008204C7"/>
    <w:rsid w:val="00820992"/>
    <w:rsid w:val="00823602"/>
    <w:rsid w:val="008236DF"/>
    <w:rsid w:val="008236F0"/>
    <w:rsid w:val="0082453B"/>
    <w:rsid w:val="008255F5"/>
    <w:rsid w:val="0083014E"/>
    <w:rsid w:val="00830A25"/>
    <w:rsid w:val="00830D7A"/>
    <w:rsid w:val="0083214A"/>
    <w:rsid w:val="00834220"/>
    <w:rsid w:val="008418C3"/>
    <w:rsid w:val="00845723"/>
    <w:rsid w:val="00851EF9"/>
    <w:rsid w:val="00855F81"/>
    <w:rsid w:val="008577FD"/>
    <w:rsid w:val="00860B03"/>
    <w:rsid w:val="0086497A"/>
    <w:rsid w:val="008656DD"/>
    <w:rsid w:val="008713A1"/>
    <w:rsid w:val="00871ECE"/>
    <w:rsid w:val="008754AB"/>
    <w:rsid w:val="0087629E"/>
    <w:rsid w:val="008770A2"/>
    <w:rsid w:val="0088060C"/>
    <w:rsid w:val="00881404"/>
    <w:rsid w:val="008840B1"/>
    <w:rsid w:val="008900F1"/>
    <w:rsid w:val="00893576"/>
    <w:rsid w:val="00893E73"/>
    <w:rsid w:val="008945EE"/>
    <w:rsid w:val="00895A7C"/>
    <w:rsid w:val="00897C89"/>
    <w:rsid w:val="008A0AEC"/>
    <w:rsid w:val="008A448C"/>
    <w:rsid w:val="008A5527"/>
    <w:rsid w:val="008A6DCA"/>
    <w:rsid w:val="008B02DC"/>
    <w:rsid w:val="008B2457"/>
    <w:rsid w:val="008B57CE"/>
    <w:rsid w:val="008C26DE"/>
    <w:rsid w:val="008D2225"/>
    <w:rsid w:val="008D4752"/>
    <w:rsid w:val="008D68C4"/>
    <w:rsid w:val="008E271C"/>
    <w:rsid w:val="008E418E"/>
    <w:rsid w:val="008E5937"/>
    <w:rsid w:val="008E5BC6"/>
    <w:rsid w:val="008E6A25"/>
    <w:rsid w:val="008F5193"/>
    <w:rsid w:val="008F64B5"/>
    <w:rsid w:val="008F7A25"/>
    <w:rsid w:val="009013A7"/>
    <w:rsid w:val="009017FB"/>
    <w:rsid w:val="009017FC"/>
    <w:rsid w:val="00904BD3"/>
    <w:rsid w:val="0090506B"/>
    <w:rsid w:val="009050C9"/>
    <w:rsid w:val="009066FC"/>
    <w:rsid w:val="00913075"/>
    <w:rsid w:val="009140A3"/>
    <w:rsid w:val="009144A2"/>
    <w:rsid w:val="0091510C"/>
    <w:rsid w:val="009170B5"/>
    <w:rsid w:val="00917527"/>
    <w:rsid w:val="009259AC"/>
    <w:rsid w:val="00926F38"/>
    <w:rsid w:val="00934301"/>
    <w:rsid w:val="009366CB"/>
    <w:rsid w:val="00936CD1"/>
    <w:rsid w:val="00941747"/>
    <w:rsid w:val="00941EFB"/>
    <w:rsid w:val="00943676"/>
    <w:rsid w:val="00944581"/>
    <w:rsid w:val="00947AFB"/>
    <w:rsid w:val="00951D7D"/>
    <w:rsid w:val="00957A88"/>
    <w:rsid w:val="00960FF6"/>
    <w:rsid w:val="009630C7"/>
    <w:rsid w:val="00966A60"/>
    <w:rsid w:val="0097135E"/>
    <w:rsid w:val="00972A93"/>
    <w:rsid w:val="00972B55"/>
    <w:rsid w:val="009743B7"/>
    <w:rsid w:val="009750B7"/>
    <w:rsid w:val="0098228B"/>
    <w:rsid w:val="009828DA"/>
    <w:rsid w:val="00982FF1"/>
    <w:rsid w:val="00984D00"/>
    <w:rsid w:val="00985BAB"/>
    <w:rsid w:val="0099363C"/>
    <w:rsid w:val="00996DAA"/>
    <w:rsid w:val="009A0159"/>
    <w:rsid w:val="009B1B5F"/>
    <w:rsid w:val="009B4788"/>
    <w:rsid w:val="009B6673"/>
    <w:rsid w:val="009C189D"/>
    <w:rsid w:val="009C191B"/>
    <w:rsid w:val="009C206F"/>
    <w:rsid w:val="009C2111"/>
    <w:rsid w:val="009C2BD6"/>
    <w:rsid w:val="009C2E62"/>
    <w:rsid w:val="009C3D41"/>
    <w:rsid w:val="009C7AFC"/>
    <w:rsid w:val="009D6B8B"/>
    <w:rsid w:val="009E0462"/>
    <w:rsid w:val="009E0919"/>
    <w:rsid w:val="009E1F32"/>
    <w:rsid w:val="009E6F77"/>
    <w:rsid w:val="009E776C"/>
    <w:rsid w:val="009F6E83"/>
    <w:rsid w:val="00A04203"/>
    <w:rsid w:val="00A043D8"/>
    <w:rsid w:val="00A1726E"/>
    <w:rsid w:val="00A204CF"/>
    <w:rsid w:val="00A23B62"/>
    <w:rsid w:val="00A23D49"/>
    <w:rsid w:val="00A25D57"/>
    <w:rsid w:val="00A26A2B"/>
    <w:rsid w:val="00A27004"/>
    <w:rsid w:val="00A27FDF"/>
    <w:rsid w:val="00A30C29"/>
    <w:rsid w:val="00A34DD6"/>
    <w:rsid w:val="00A36819"/>
    <w:rsid w:val="00A36989"/>
    <w:rsid w:val="00A43628"/>
    <w:rsid w:val="00A44C4C"/>
    <w:rsid w:val="00A45145"/>
    <w:rsid w:val="00A46A1D"/>
    <w:rsid w:val="00A47386"/>
    <w:rsid w:val="00A54192"/>
    <w:rsid w:val="00A549E3"/>
    <w:rsid w:val="00A57DF3"/>
    <w:rsid w:val="00A6035E"/>
    <w:rsid w:val="00A6144C"/>
    <w:rsid w:val="00A66617"/>
    <w:rsid w:val="00A671F8"/>
    <w:rsid w:val="00A673A4"/>
    <w:rsid w:val="00A724AE"/>
    <w:rsid w:val="00A73329"/>
    <w:rsid w:val="00A737D1"/>
    <w:rsid w:val="00A74692"/>
    <w:rsid w:val="00A75E61"/>
    <w:rsid w:val="00A76066"/>
    <w:rsid w:val="00A82359"/>
    <w:rsid w:val="00A865D2"/>
    <w:rsid w:val="00A8669C"/>
    <w:rsid w:val="00A936F2"/>
    <w:rsid w:val="00A94C20"/>
    <w:rsid w:val="00AA227F"/>
    <w:rsid w:val="00AA2540"/>
    <w:rsid w:val="00AA3BC7"/>
    <w:rsid w:val="00AA5FCF"/>
    <w:rsid w:val="00AA61F8"/>
    <w:rsid w:val="00AA754A"/>
    <w:rsid w:val="00AB099E"/>
    <w:rsid w:val="00AB4328"/>
    <w:rsid w:val="00AC2B71"/>
    <w:rsid w:val="00AE0A2E"/>
    <w:rsid w:val="00AE1F12"/>
    <w:rsid w:val="00AE354C"/>
    <w:rsid w:val="00AF047A"/>
    <w:rsid w:val="00AF2788"/>
    <w:rsid w:val="00AF4B07"/>
    <w:rsid w:val="00AF52D0"/>
    <w:rsid w:val="00AF6186"/>
    <w:rsid w:val="00AF6F71"/>
    <w:rsid w:val="00AF7458"/>
    <w:rsid w:val="00AF7A3A"/>
    <w:rsid w:val="00B04DF4"/>
    <w:rsid w:val="00B160DB"/>
    <w:rsid w:val="00B20836"/>
    <w:rsid w:val="00B235BB"/>
    <w:rsid w:val="00B26BBF"/>
    <w:rsid w:val="00B27A44"/>
    <w:rsid w:val="00B30BBF"/>
    <w:rsid w:val="00B33C03"/>
    <w:rsid w:val="00B353AC"/>
    <w:rsid w:val="00B3553A"/>
    <w:rsid w:val="00B35D10"/>
    <w:rsid w:val="00B42814"/>
    <w:rsid w:val="00B44E56"/>
    <w:rsid w:val="00B46543"/>
    <w:rsid w:val="00B47BF2"/>
    <w:rsid w:val="00B47D33"/>
    <w:rsid w:val="00B52BE0"/>
    <w:rsid w:val="00B53318"/>
    <w:rsid w:val="00B53C73"/>
    <w:rsid w:val="00B54133"/>
    <w:rsid w:val="00B55B44"/>
    <w:rsid w:val="00B570B6"/>
    <w:rsid w:val="00B57E9F"/>
    <w:rsid w:val="00B64529"/>
    <w:rsid w:val="00B701ED"/>
    <w:rsid w:val="00B76721"/>
    <w:rsid w:val="00B77D3B"/>
    <w:rsid w:val="00B8086C"/>
    <w:rsid w:val="00B85738"/>
    <w:rsid w:val="00B861B4"/>
    <w:rsid w:val="00B86DFE"/>
    <w:rsid w:val="00B90990"/>
    <w:rsid w:val="00B922FF"/>
    <w:rsid w:val="00B924F2"/>
    <w:rsid w:val="00B9281E"/>
    <w:rsid w:val="00B93925"/>
    <w:rsid w:val="00B95187"/>
    <w:rsid w:val="00BA2D55"/>
    <w:rsid w:val="00BA3306"/>
    <w:rsid w:val="00BA4DA7"/>
    <w:rsid w:val="00BA4F07"/>
    <w:rsid w:val="00BA60F0"/>
    <w:rsid w:val="00BA7007"/>
    <w:rsid w:val="00BA71B1"/>
    <w:rsid w:val="00BB0637"/>
    <w:rsid w:val="00BB244D"/>
    <w:rsid w:val="00BB345F"/>
    <w:rsid w:val="00BB68EA"/>
    <w:rsid w:val="00BB7E94"/>
    <w:rsid w:val="00BC1C27"/>
    <w:rsid w:val="00BC64D4"/>
    <w:rsid w:val="00BC6BBF"/>
    <w:rsid w:val="00BD1572"/>
    <w:rsid w:val="00BD179B"/>
    <w:rsid w:val="00BE0DB5"/>
    <w:rsid w:val="00BE14E3"/>
    <w:rsid w:val="00BE3774"/>
    <w:rsid w:val="00BE41E5"/>
    <w:rsid w:val="00BF4109"/>
    <w:rsid w:val="00BF4CC3"/>
    <w:rsid w:val="00BF5932"/>
    <w:rsid w:val="00C02504"/>
    <w:rsid w:val="00C054C7"/>
    <w:rsid w:val="00C057B5"/>
    <w:rsid w:val="00C11415"/>
    <w:rsid w:val="00C16E45"/>
    <w:rsid w:val="00C22687"/>
    <w:rsid w:val="00C27B1D"/>
    <w:rsid w:val="00C318B4"/>
    <w:rsid w:val="00C31F33"/>
    <w:rsid w:val="00C32E4D"/>
    <w:rsid w:val="00C333A0"/>
    <w:rsid w:val="00C341A2"/>
    <w:rsid w:val="00C36A81"/>
    <w:rsid w:val="00C41974"/>
    <w:rsid w:val="00C43C45"/>
    <w:rsid w:val="00C51474"/>
    <w:rsid w:val="00C53F4A"/>
    <w:rsid w:val="00C54125"/>
    <w:rsid w:val="00C55B54"/>
    <w:rsid w:val="00C57925"/>
    <w:rsid w:val="00C6098E"/>
    <w:rsid w:val="00C6141A"/>
    <w:rsid w:val="00C6152C"/>
    <w:rsid w:val="00C63688"/>
    <w:rsid w:val="00C65F92"/>
    <w:rsid w:val="00C74810"/>
    <w:rsid w:val="00C809E7"/>
    <w:rsid w:val="00C834D8"/>
    <w:rsid w:val="00C90D68"/>
    <w:rsid w:val="00C92CD8"/>
    <w:rsid w:val="00C939FE"/>
    <w:rsid w:val="00C96514"/>
    <w:rsid w:val="00CA4479"/>
    <w:rsid w:val="00CA4BDA"/>
    <w:rsid w:val="00CA5754"/>
    <w:rsid w:val="00CA672E"/>
    <w:rsid w:val="00CB1F66"/>
    <w:rsid w:val="00CB2951"/>
    <w:rsid w:val="00CB5DCA"/>
    <w:rsid w:val="00CB6D86"/>
    <w:rsid w:val="00CD282B"/>
    <w:rsid w:val="00CD3FB6"/>
    <w:rsid w:val="00CD4C35"/>
    <w:rsid w:val="00CD7369"/>
    <w:rsid w:val="00CD7DF2"/>
    <w:rsid w:val="00CE02F9"/>
    <w:rsid w:val="00CE0B0E"/>
    <w:rsid w:val="00CE3831"/>
    <w:rsid w:val="00CE6499"/>
    <w:rsid w:val="00D00ABB"/>
    <w:rsid w:val="00D01BD6"/>
    <w:rsid w:val="00D02EEC"/>
    <w:rsid w:val="00D03551"/>
    <w:rsid w:val="00D047CA"/>
    <w:rsid w:val="00D06A63"/>
    <w:rsid w:val="00D07E0E"/>
    <w:rsid w:val="00D10FDB"/>
    <w:rsid w:val="00D11478"/>
    <w:rsid w:val="00D13E3D"/>
    <w:rsid w:val="00D15ED0"/>
    <w:rsid w:val="00D205BE"/>
    <w:rsid w:val="00D21B3E"/>
    <w:rsid w:val="00D21FED"/>
    <w:rsid w:val="00D24251"/>
    <w:rsid w:val="00D24E48"/>
    <w:rsid w:val="00D25CD3"/>
    <w:rsid w:val="00D30690"/>
    <w:rsid w:val="00D31625"/>
    <w:rsid w:val="00D342E9"/>
    <w:rsid w:val="00D343E2"/>
    <w:rsid w:val="00D361A2"/>
    <w:rsid w:val="00D44C2E"/>
    <w:rsid w:val="00D45414"/>
    <w:rsid w:val="00D566BD"/>
    <w:rsid w:val="00D5782B"/>
    <w:rsid w:val="00D57A4D"/>
    <w:rsid w:val="00D60AA7"/>
    <w:rsid w:val="00D6435F"/>
    <w:rsid w:val="00D75E28"/>
    <w:rsid w:val="00D772C2"/>
    <w:rsid w:val="00D7734B"/>
    <w:rsid w:val="00D8008E"/>
    <w:rsid w:val="00D82C45"/>
    <w:rsid w:val="00D8363D"/>
    <w:rsid w:val="00D85F6B"/>
    <w:rsid w:val="00D908A8"/>
    <w:rsid w:val="00D9678A"/>
    <w:rsid w:val="00D977B6"/>
    <w:rsid w:val="00DA4A31"/>
    <w:rsid w:val="00DA5D8F"/>
    <w:rsid w:val="00DA653F"/>
    <w:rsid w:val="00DA78C5"/>
    <w:rsid w:val="00DA7B04"/>
    <w:rsid w:val="00DB0E0D"/>
    <w:rsid w:val="00DB2DE9"/>
    <w:rsid w:val="00DB3186"/>
    <w:rsid w:val="00DB36C2"/>
    <w:rsid w:val="00DC169B"/>
    <w:rsid w:val="00DC2AB9"/>
    <w:rsid w:val="00DC4033"/>
    <w:rsid w:val="00DC63F0"/>
    <w:rsid w:val="00DD6EE5"/>
    <w:rsid w:val="00DE14B4"/>
    <w:rsid w:val="00DE20FE"/>
    <w:rsid w:val="00DE2D71"/>
    <w:rsid w:val="00DE386C"/>
    <w:rsid w:val="00DE442E"/>
    <w:rsid w:val="00DE4D35"/>
    <w:rsid w:val="00DF098B"/>
    <w:rsid w:val="00DF11C4"/>
    <w:rsid w:val="00DF210C"/>
    <w:rsid w:val="00DF4B6A"/>
    <w:rsid w:val="00E02C09"/>
    <w:rsid w:val="00E04D59"/>
    <w:rsid w:val="00E07DA1"/>
    <w:rsid w:val="00E123CB"/>
    <w:rsid w:val="00E13871"/>
    <w:rsid w:val="00E14DF4"/>
    <w:rsid w:val="00E176D1"/>
    <w:rsid w:val="00E20E13"/>
    <w:rsid w:val="00E21DBC"/>
    <w:rsid w:val="00E234CF"/>
    <w:rsid w:val="00E255F4"/>
    <w:rsid w:val="00E275D7"/>
    <w:rsid w:val="00E27C74"/>
    <w:rsid w:val="00E27DBE"/>
    <w:rsid w:val="00E32AB1"/>
    <w:rsid w:val="00E33F16"/>
    <w:rsid w:val="00E348B2"/>
    <w:rsid w:val="00E36C71"/>
    <w:rsid w:val="00E37536"/>
    <w:rsid w:val="00E37C5E"/>
    <w:rsid w:val="00E40404"/>
    <w:rsid w:val="00E42A5A"/>
    <w:rsid w:val="00E459A4"/>
    <w:rsid w:val="00E459C6"/>
    <w:rsid w:val="00E47589"/>
    <w:rsid w:val="00E6052C"/>
    <w:rsid w:val="00E6239A"/>
    <w:rsid w:val="00E64915"/>
    <w:rsid w:val="00E661D4"/>
    <w:rsid w:val="00E70091"/>
    <w:rsid w:val="00E720F5"/>
    <w:rsid w:val="00E755CF"/>
    <w:rsid w:val="00E76D47"/>
    <w:rsid w:val="00E849F7"/>
    <w:rsid w:val="00E90302"/>
    <w:rsid w:val="00E92FB7"/>
    <w:rsid w:val="00E940F1"/>
    <w:rsid w:val="00E97396"/>
    <w:rsid w:val="00EA0BED"/>
    <w:rsid w:val="00EA185E"/>
    <w:rsid w:val="00EA26DF"/>
    <w:rsid w:val="00EA2A08"/>
    <w:rsid w:val="00EA592A"/>
    <w:rsid w:val="00EB14E4"/>
    <w:rsid w:val="00EB280A"/>
    <w:rsid w:val="00EB32A5"/>
    <w:rsid w:val="00EB34ED"/>
    <w:rsid w:val="00EB447C"/>
    <w:rsid w:val="00EB70E1"/>
    <w:rsid w:val="00EB7BE0"/>
    <w:rsid w:val="00EC1143"/>
    <w:rsid w:val="00EC315E"/>
    <w:rsid w:val="00EC37A1"/>
    <w:rsid w:val="00EC4913"/>
    <w:rsid w:val="00ED077C"/>
    <w:rsid w:val="00ED1190"/>
    <w:rsid w:val="00ED6544"/>
    <w:rsid w:val="00EE0277"/>
    <w:rsid w:val="00EE3E00"/>
    <w:rsid w:val="00EE5DD2"/>
    <w:rsid w:val="00EF1FF8"/>
    <w:rsid w:val="00EF2B26"/>
    <w:rsid w:val="00EF507B"/>
    <w:rsid w:val="00EF7F5E"/>
    <w:rsid w:val="00F00A79"/>
    <w:rsid w:val="00F00E86"/>
    <w:rsid w:val="00F020EF"/>
    <w:rsid w:val="00F06816"/>
    <w:rsid w:val="00F07C1E"/>
    <w:rsid w:val="00F105DB"/>
    <w:rsid w:val="00F132BC"/>
    <w:rsid w:val="00F13D80"/>
    <w:rsid w:val="00F16AAA"/>
    <w:rsid w:val="00F2093E"/>
    <w:rsid w:val="00F21161"/>
    <w:rsid w:val="00F218EF"/>
    <w:rsid w:val="00F21BC7"/>
    <w:rsid w:val="00F23527"/>
    <w:rsid w:val="00F25813"/>
    <w:rsid w:val="00F266A2"/>
    <w:rsid w:val="00F2714E"/>
    <w:rsid w:val="00F3045F"/>
    <w:rsid w:val="00F30D97"/>
    <w:rsid w:val="00F32269"/>
    <w:rsid w:val="00F45217"/>
    <w:rsid w:val="00F46292"/>
    <w:rsid w:val="00F53C9D"/>
    <w:rsid w:val="00F56A6F"/>
    <w:rsid w:val="00F5709C"/>
    <w:rsid w:val="00F6348B"/>
    <w:rsid w:val="00F64A46"/>
    <w:rsid w:val="00F64EF1"/>
    <w:rsid w:val="00F66A03"/>
    <w:rsid w:val="00F70D3B"/>
    <w:rsid w:val="00F72801"/>
    <w:rsid w:val="00F72F9D"/>
    <w:rsid w:val="00F75CAC"/>
    <w:rsid w:val="00F81CC6"/>
    <w:rsid w:val="00F8765F"/>
    <w:rsid w:val="00F90767"/>
    <w:rsid w:val="00F90AAA"/>
    <w:rsid w:val="00FA2F76"/>
    <w:rsid w:val="00FA685B"/>
    <w:rsid w:val="00FB0C01"/>
    <w:rsid w:val="00FC18F2"/>
    <w:rsid w:val="00FC39E5"/>
    <w:rsid w:val="00FC3A78"/>
    <w:rsid w:val="00FC3E70"/>
    <w:rsid w:val="00FC53E1"/>
    <w:rsid w:val="00FD1005"/>
    <w:rsid w:val="00FD10FC"/>
    <w:rsid w:val="00FD4A13"/>
    <w:rsid w:val="00FD4E22"/>
    <w:rsid w:val="00FD625D"/>
    <w:rsid w:val="00FD6C75"/>
    <w:rsid w:val="00FE1250"/>
    <w:rsid w:val="00FE71B3"/>
    <w:rsid w:val="00FF25FF"/>
    <w:rsid w:val="00FF42C5"/>
    <w:rsid w:val="00FF6284"/>
    <w:rsid w:val="00FF6B8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5649E"/>
    <w:pPr>
      <w:jc w:val="both"/>
    </w:pPr>
    <w:rPr>
      <w:rFonts w:eastAsia="MS Mincho"/>
      <w:sz w:val="24"/>
      <w:szCs w:val="24"/>
      <w:lang w:val="en-US" w:eastAsia="en-US"/>
    </w:rPr>
  </w:style>
  <w:style w:type="paragraph" w:styleId="Heading1">
    <w:name w:val="heading 1"/>
    <w:basedOn w:val="Normal"/>
    <w:next w:val="Normal"/>
    <w:link w:val="Heading1Char"/>
    <w:uiPriority w:val="99"/>
    <w:qFormat/>
    <w:rsid w:val="0045649E"/>
    <w:pPr>
      <w:spacing w:before="480"/>
      <w:outlineLvl w:val="0"/>
    </w:pPr>
    <w:rPr>
      <w:rFonts w:eastAsia="MS Gothic"/>
      <w:b/>
      <w:bCs/>
      <w:color w:val="333333"/>
      <w:sz w:val="28"/>
      <w:szCs w:val="28"/>
      <w:lang w:val="pl-PL" w:eastAsia="pl-PL"/>
    </w:rPr>
  </w:style>
  <w:style w:type="paragraph" w:styleId="Heading2">
    <w:name w:val="heading 2"/>
    <w:basedOn w:val="Normal"/>
    <w:next w:val="Normal"/>
    <w:link w:val="Heading2Char"/>
    <w:uiPriority w:val="99"/>
    <w:qFormat/>
    <w:rsid w:val="0045649E"/>
    <w:pPr>
      <w:spacing w:before="200"/>
      <w:outlineLvl w:val="1"/>
    </w:pPr>
    <w:rPr>
      <w:rFonts w:eastAsia="MS Gothic"/>
      <w:b/>
      <w:bCs/>
      <w:color w:val="4D4D4D"/>
      <w:sz w:val="26"/>
      <w:szCs w:val="26"/>
      <w:lang w:val="pl-PL" w:eastAsia="pl-PL"/>
    </w:rPr>
  </w:style>
  <w:style w:type="paragraph" w:styleId="Heading3">
    <w:name w:val="heading 3"/>
    <w:basedOn w:val="Normal"/>
    <w:next w:val="Normal"/>
    <w:link w:val="Heading3Char"/>
    <w:uiPriority w:val="99"/>
    <w:qFormat/>
    <w:rsid w:val="0045649E"/>
    <w:pPr>
      <w:spacing w:before="200" w:line="271" w:lineRule="auto"/>
      <w:outlineLvl w:val="2"/>
    </w:pPr>
    <w:rPr>
      <w:rFonts w:eastAsia="MS Gothic"/>
      <w:b/>
      <w:bCs/>
      <w:color w:val="5F5F5F"/>
      <w:lang w:val="pl-PL" w:eastAsia="pl-PL"/>
    </w:rPr>
  </w:style>
  <w:style w:type="paragraph" w:styleId="Heading4">
    <w:name w:val="heading 4"/>
    <w:basedOn w:val="Normal"/>
    <w:next w:val="Normal"/>
    <w:link w:val="Heading4Char"/>
    <w:uiPriority w:val="99"/>
    <w:qFormat/>
    <w:rsid w:val="0045649E"/>
    <w:pPr>
      <w:spacing w:before="200"/>
      <w:outlineLvl w:val="3"/>
    </w:pPr>
    <w:rPr>
      <w:rFonts w:eastAsia="MS Gothic"/>
      <w:b/>
      <w:bCs/>
      <w:i/>
      <w:iCs/>
      <w:color w:val="777777"/>
      <w:lang w:val="pl-PL" w:eastAsia="pl-PL"/>
    </w:rPr>
  </w:style>
  <w:style w:type="paragraph" w:styleId="Heading5">
    <w:name w:val="heading 5"/>
    <w:basedOn w:val="Normal"/>
    <w:next w:val="Normal"/>
    <w:link w:val="Heading5Char"/>
    <w:uiPriority w:val="99"/>
    <w:qFormat/>
    <w:rsid w:val="007C6A77"/>
    <w:pPr>
      <w:spacing w:before="200"/>
      <w:outlineLvl w:val="4"/>
    </w:pPr>
    <w:rPr>
      <w:rFonts w:eastAsia="MS Gothic"/>
      <w:b/>
      <w:bCs/>
      <w:color w:val="808080"/>
      <w:sz w:val="20"/>
      <w:szCs w:val="20"/>
      <w:lang w:val="pl-PL" w:eastAsia="pl-PL"/>
    </w:rPr>
  </w:style>
  <w:style w:type="paragraph" w:styleId="Heading6">
    <w:name w:val="heading 6"/>
    <w:basedOn w:val="Normal"/>
    <w:next w:val="Normal"/>
    <w:link w:val="Heading6Char"/>
    <w:uiPriority w:val="99"/>
    <w:qFormat/>
    <w:rsid w:val="0045649E"/>
    <w:pPr>
      <w:spacing w:line="271" w:lineRule="auto"/>
      <w:outlineLvl w:val="5"/>
    </w:pPr>
    <w:rPr>
      <w:rFonts w:eastAsia="MS Gothic"/>
      <w:b/>
      <w:bCs/>
      <w:i/>
      <w:iCs/>
      <w:color w:val="7F7F7F"/>
      <w:lang w:val="pl-PL" w:eastAsia="pl-PL"/>
    </w:rPr>
  </w:style>
  <w:style w:type="paragraph" w:styleId="Heading7">
    <w:name w:val="heading 7"/>
    <w:basedOn w:val="Normal"/>
    <w:next w:val="Normal"/>
    <w:link w:val="Heading7Char"/>
    <w:uiPriority w:val="99"/>
    <w:qFormat/>
    <w:rsid w:val="007C6A77"/>
    <w:pPr>
      <w:outlineLvl w:val="6"/>
    </w:pPr>
    <w:rPr>
      <w:rFonts w:eastAsia="MS Gothic"/>
      <w:i/>
      <w:iCs/>
      <w:sz w:val="20"/>
      <w:szCs w:val="20"/>
      <w:lang w:val="pl-PL" w:eastAsia="pl-PL"/>
    </w:rPr>
  </w:style>
  <w:style w:type="paragraph" w:styleId="Heading8">
    <w:name w:val="heading 8"/>
    <w:basedOn w:val="Normal"/>
    <w:next w:val="Normal"/>
    <w:link w:val="Heading8Char"/>
    <w:uiPriority w:val="99"/>
    <w:qFormat/>
    <w:rsid w:val="007C6A77"/>
    <w:pPr>
      <w:outlineLvl w:val="7"/>
    </w:pPr>
    <w:rPr>
      <w:rFonts w:eastAsia="MS Gothic"/>
      <w:sz w:val="20"/>
      <w:szCs w:val="20"/>
      <w:lang w:val="pl-PL" w:eastAsia="pl-PL"/>
    </w:rPr>
  </w:style>
  <w:style w:type="paragraph" w:styleId="Heading9">
    <w:name w:val="heading 9"/>
    <w:basedOn w:val="Normal"/>
    <w:next w:val="Normal"/>
    <w:link w:val="Heading9Char"/>
    <w:uiPriority w:val="99"/>
    <w:qFormat/>
    <w:rsid w:val="007C6A77"/>
    <w:pPr>
      <w:outlineLvl w:val="8"/>
    </w:pPr>
    <w:rPr>
      <w:rFonts w:eastAsia="MS Gothic"/>
      <w:i/>
      <w:iCs/>
      <w:spacing w:val="5"/>
      <w:sz w:val="20"/>
      <w:szCs w:val="20"/>
      <w:lang w:val="pl-PL"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45649E"/>
    <w:rPr>
      <w:rFonts w:ascii="Times New Roman" w:eastAsia="MS Gothic" w:hAnsi="Times New Roman" w:cs="Times New Roman"/>
      <w:b/>
      <w:bCs/>
      <w:color w:val="333333"/>
      <w:sz w:val="28"/>
      <w:szCs w:val="28"/>
    </w:rPr>
  </w:style>
  <w:style w:type="character" w:customStyle="1" w:styleId="Heading2Char">
    <w:name w:val="Heading 2 Char"/>
    <w:basedOn w:val="DefaultParagraphFont"/>
    <w:link w:val="Heading2"/>
    <w:uiPriority w:val="99"/>
    <w:semiHidden/>
    <w:locked/>
    <w:rsid w:val="0045649E"/>
    <w:rPr>
      <w:rFonts w:ascii="Times New Roman" w:eastAsia="MS Gothic" w:hAnsi="Times New Roman" w:cs="Times New Roman"/>
      <w:b/>
      <w:bCs/>
      <w:color w:val="4D4D4D"/>
      <w:sz w:val="26"/>
      <w:szCs w:val="26"/>
    </w:rPr>
  </w:style>
  <w:style w:type="character" w:customStyle="1" w:styleId="Heading3Char">
    <w:name w:val="Heading 3 Char"/>
    <w:basedOn w:val="DefaultParagraphFont"/>
    <w:link w:val="Heading3"/>
    <w:uiPriority w:val="99"/>
    <w:semiHidden/>
    <w:locked/>
    <w:rsid w:val="0045649E"/>
    <w:rPr>
      <w:rFonts w:ascii="Times New Roman" w:eastAsia="MS Gothic" w:hAnsi="Times New Roman" w:cs="Times New Roman"/>
      <w:b/>
      <w:bCs/>
      <w:color w:val="5F5F5F"/>
      <w:sz w:val="24"/>
      <w:szCs w:val="24"/>
    </w:rPr>
  </w:style>
  <w:style w:type="character" w:customStyle="1" w:styleId="Heading4Char">
    <w:name w:val="Heading 4 Char"/>
    <w:basedOn w:val="DefaultParagraphFont"/>
    <w:link w:val="Heading4"/>
    <w:uiPriority w:val="99"/>
    <w:semiHidden/>
    <w:locked/>
    <w:rsid w:val="0045649E"/>
    <w:rPr>
      <w:rFonts w:ascii="Times New Roman" w:eastAsia="MS Gothic" w:hAnsi="Times New Roman" w:cs="Times New Roman"/>
      <w:b/>
      <w:bCs/>
      <w:i/>
      <w:iCs/>
      <w:color w:val="777777"/>
      <w:sz w:val="24"/>
      <w:szCs w:val="24"/>
    </w:rPr>
  </w:style>
  <w:style w:type="character" w:customStyle="1" w:styleId="Heading5Char">
    <w:name w:val="Heading 5 Char"/>
    <w:basedOn w:val="DefaultParagraphFont"/>
    <w:link w:val="Heading5"/>
    <w:uiPriority w:val="99"/>
    <w:semiHidden/>
    <w:locked/>
    <w:rsid w:val="007C6A77"/>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semiHidden/>
    <w:locked/>
    <w:rsid w:val="0045649E"/>
    <w:rPr>
      <w:rFonts w:ascii="Times New Roman" w:eastAsia="MS Gothic" w:hAnsi="Times New Roman" w:cs="Times New Roman"/>
      <w:b/>
      <w:bCs/>
      <w:i/>
      <w:iCs/>
      <w:color w:val="7F7F7F"/>
      <w:sz w:val="24"/>
      <w:szCs w:val="24"/>
    </w:rPr>
  </w:style>
  <w:style w:type="character" w:customStyle="1" w:styleId="Heading7Char">
    <w:name w:val="Heading 7 Char"/>
    <w:basedOn w:val="DefaultParagraphFont"/>
    <w:link w:val="Heading7"/>
    <w:uiPriority w:val="99"/>
    <w:semiHidden/>
    <w:locked/>
    <w:rsid w:val="007C6A77"/>
    <w:rPr>
      <w:rFonts w:ascii="Times New Roman" w:eastAsia="MS Gothic" w:hAnsi="Times New Roman" w:cs="Times New Roman"/>
      <w:i/>
      <w:iCs/>
    </w:rPr>
  </w:style>
  <w:style w:type="character" w:customStyle="1" w:styleId="Heading8Char">
    <w:name w:val="Heading 8 Char"/>
    <w:basedOn w:val="DefaultParagraphFont"/>
    <w:link w:val="Heading8"/>
    <w:uiPriority w:val="99"/>
    <w:semiHidden/>
    <w:locked/>
    <w:rsid w:val="007C6A77"/>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7C6A77"/>
    <w:rPr>
      <w:rFonts w:ascii="Times New Roman" w:eastAsia="MS Gothic" w:hAnsi="Times New Roman" w:cs="Times New Roman"/>
      <w:i/>
      <w:iCs/>
      <w:spacing w:val="5"/>
      <w:sz w:val="20"/>
      <w:szCs w:val="20"/>
    </w:rPr>
  </w:style>
  <w:style w:type="paragraph" w:styleId="BalloonText">
    <w:name w:val="Balloon Text"/>
    <w:basedOn w:val="Normal"/>
    <w:link w:val="BalloonTextChar"/>
    <w:uiPriority w:val="99"/>
    <w:semiHidden/>
    <w:rsid w:val="0045649E"/>
    <w:rPr>
      <w:rFonts w:ascii="Tahoma" w:hAnsi="Tahoma" w:cs="Tahoma"/>
      <w:sz w:val="16"/>
      <w:szCs w:val="16"/>
      <w:lang w:val="pl-PL" w:eastAsia="pl-PL"/>
    </w:rPr>
  </w:style>
  <w:style w:type="character" w:customStyle="1" w:styleId="BalloonTextChar">
    <w:name w:val="Balloon Text Char"/>
    <w:basedOn w:val="DefaultParagraphFont"/>
    <w:link w:val="BalloonText"/>
    <w:uiPriority w:val="99"/>
    <w:semiHidden/>
    <w:locked/>
    <w:rsid w:val="0045649E"/>
    <w:rPr>
      <w:rFonts w:ascii="Tahoma" w:eastAsia="MS Mincho" w:hAnsi="Tahoma" w:cs="Tahoma"/>
      <w:sz w:val="16"/>
      <w:szCs w:val="16"/>
    </w:rPr>
  </w:style>
  <w:style w:type="character" w:styleId="BookTitle">
    <w:name w:val="Book Title"/>
    <w:basedOn w:val="DefaultParagraphFont"/>
    <w:uiPriority w:val="99"/>
    <w:qFormat/>
    <w:rsid w:val="007C6A77"/>
    <w:rPr>
      <w:i/>
      <w:iCs/>
      <w:smallCaps/>
      <w:spacing w:val="5"/>
    </w:rPr>
  </w:style>
  <w:style w:type="paragraph" w:customStyle="1" w:styleId="ECHRHeader">
    <w:name w:val="ECHR_Header"/>
    <w:aliases w:val="Ju_Header"/>
    <w:basedOn w:val="Header"/>
    <w:uiPriority w:val="99"/>
    <w:rsid w:val="007C6A77"/>
    <w:pPr>
      <w:tabs>
        <w:tab w:val="clear" w:pos="4536"/>
        <w:tab w:val="clear" w:pos="9072"/>
        <w:tab w:val="center" w:pos="3686"/>
        <w:tab w:val="right" w:pos="7371"/>
      </w:tabs>
      <w:jc w:val="left"/>
    </w:pPr>
    <w:rPr>
      <w:sz w:val="18"/>
      <w:szCs w:val="18"/>
      <w:lang w:val="en-GB"/>
    </w:rPr>
  </w:style>
  <w:style w:type="paragraph" w:customStyle="1" w:styleId="JuAppQuestion">
    <w:name w:val="Ju_App_Question"/>
    <w:basedOn w:val="Normal"/>
    <w:uiPriority w:val="99"/>
    <w:semiHidden/>
    <w:rsid w:val="007C6A77"/>
    <w:pPr>
      <w:numPr>
        <w:numId w:val="23"/>
      </w:numPr>
      <w:tabs>
        <w:tab w:val="num" w:pos="720"/>
      </w:tabs>
      <w:ind w:left="720" w:hanging="360"/>
      <w:jc w:val="left"/>
    </w:pPr>
    <w:rPr>
      <w:b/>
      <w:bCs/>
      <w:lang w:val="en-GB"/>
    </w:rPr>
  </w:style>
  <w:style w:type="character" w:styleId="Strong">
    <w:name w:val="Strong"/>
    <w:basedOn w:val="DefaultParagraphFont"/>
    <w:uiPriority w:val="99"/>
    <w:qFormat/>
    <w:rsid w:val="007C6A77"/>
    <w:rPr>
      <w:b/>
      <w:bCs/>
    </w:rPr>
  </w:style>
  <w:style w:type="paragraph" w:styleId="NoSpacing">
    <w:name w:val="No Spacing"/>
    <w:basedOn w:val="Normal"/>
    <w:link w:val="NoSpacingChar"/>
    <w:uiPriority w:val="99"/>
    <w:qFormat/>
    <w:rsid w:val="007C6A77"/>
    <w:rPr>
      <w:sz w:val="20"/>
      <w:szCs w:val="20"/>
      <w:lang w:val="pl-PL" w:eastAsia="pl-PL"/>
    </w:rPr>
  </w:style>
  <w:style w:type="character" w:customStyle="1" w:styleId="NoSpacingChar">
    <w:name w:val="No Spacing Char"/>
    <w:link w:val="NoSpacing"/>
    <w:uiPriority w:val="99"/>
    <w:semiHidden/>
    <w:locked/>
    <w:rsid w:val="007C6A77"/>
    <w:rPr>
      <w:rFonts w:eastAsia="MS Mincho"/>
    </w:rPr>
  </w:style>
  <w:style w:type="paragraph" w:customStyle="1" w:styleId="ECHRParaQuote">
    <w:name w:val="ECHR_Para_Quote"/>
    <w:aliases w:val="Ju_Quot"/>
    <w:basedOn w:val="Normal"/>
    <w:link w:val="JuQuotChar"/>
    <w:uiPriority w:val="99"/>
    <w:rsid w:val="007C6A77"/>
    <w:pPr>
      <w:spacing w:before="120" w:after="120"/>
      <w:ind w:left="425" w:firstLine="142"/>
    </w:pPr>
    <w:rPr>
      <w:sz w:val="20"/>
      <w:szCs w:val="20"/>
      <w:lang w:val="en-GB" w:eastAsia="pl-PL"/>
    </w:rPr>
  </w:style>
  <w:style w:type="paragraph" w:customStyle="1" w:styleId="OpiPara">
    <w:name w:val="Opi_Para"/>
    <w:basedOn w:val="ECHRPara"/>
    <w:uiPriority w:val="99"/>
    <w:rsid w:val="007C6A77"/>
  </w:style>
  <w:style w:type="paragraph" w:customStyle="1" w:styleId="JuParaSub">
    <w:name w:val="Ju_Para_Sub"/>
    <w:basedOn w:val="ECHRPara"/>
    <w:uiPriority w:val="99"/>
    <w:rsid w:val="007C6A77"/>
    <w:pPr>
      <w:ind w:left="284"/>
    </w:pPr>
  </w:style>
  <w:style w:type="paragraph" w:customStyle="1" w:styleId="OpiParaSub">
    <w:name w:val="Opi_Para_Sub"/>
    <w:basedOn w:val="JuParaSub"/>
    <w:uiPriority w:val="99"/>
    <w:rsid w:val="007C6A77"/>
  </w:style>
  <w:style w:type="paragraph" w:customStyle="1" w:styleId="OpiQuot">
    <w:name w:val="Opi_Quot"/>
    <w:basedOn w:val="ECHRParaQuote"/>
    <w:uiPriority w:val="99"/>
    <w:rsid w:val="007C6A77"/>
  </w:style>
  <w:style w:type="paragraph" w:customStyle="1" w:styleId="ECHRTitleCentre3">
    <w:name w:val="ECHR_Title_Centre_3"/>
    <w:aliases w:val="Ju_H_Article"/>
    <w:basedOn w:val="Normal"/>
    <w:next w:val="ECHRParaQuote"/>
    <w:uiPriority w:val="99"/>
    <w:rsid w:val="007C6A77"/>
    <w:pPr>
      <w:keepNext/>
      <w:keepLines/>
      <w:spacing w:before="240" w:after="120"/>
      <w:jc w:val="center"/>
      <w:outlineLvl w:val="3"/>
    </w:pPr>
    <w:rPr>
      <w:b/>
      <w:bCs/>
      <w:sz w:val="20"/>
      <w:szCs w:val="20"/>
      <w:lang w:val="en-GB"/>
    </w:rPr>
  </w:style>
  <w:style w:type="paragraph" w:customStyle="1" w:styleId="ECHRTitleCentre1">
    <w:name w:val="ECHR_Title_Centre_1"/>
    <w:aliases w:val="Opi_H_Head"/>
    <w:basedOn w:val="Normal"/>
    <w:next w:val="OpiPara"/>
    <w:uiPriority w:val="99"/>
    <w:rsid w:val="007C6A77"/>
    <w:pPr>
      <w:keepNext/>
      <w:keepLines/>
      <w:spacing w:after="240"/>
      <w:jc w:val="center"/>
      <w:outlineLvl w:val="0"/>
    </w:pPr>
    <w:rPr>
      <w:sz w:val="28"/>
      <w:szCs w:val="28"/>
      <w:lang w:val="en-GB"/>
    </w:rPr>
  </w:style>
  <w:style w:type="paragraph" w:customStyle="1" w:styleId="JuQuotSub">
    <w:name w:val="Ju_Quot_Sub"/>
    <w:basedOn w:val="ECHRParaQuote"/>
    <w:uiPriority w:val="99"/>
    <w:rsid w:val="007C6A77"/>
    <w:pPr>
      <w:ind w:left="567"/>
    </w:pPr>
  </w:style>
  <w:style w:type="paragraph" w:customStyle="1" w:styleId="ECHRTitle1">
    <w:name w:val="ECHR_Title_1"/>
    <w:aliases w:val="Ju_H_Head"/>
    <w:basedOn w:val="Normal"/>
    <w:next w:val="ECHRPara"/>
    <w:uiPriority w:val="99"/>
    <w:rsid w:val="007C6A77"/>
    <w:pPr>
      <w:keepNext/>
      <w:keepLines/>
      <w:spacing w:before="720" w:after="240"/>
      <w:outlineLvl w:val="0"/>
    </w:pPr>
    <w:rPr>
      <w:sz w:val="28"/>
      <w:szCs w:val="28"/>
      <w:lang w:val="en-GB"/>
    </w:rPr>
  </w:style>
  <w:style w:type="paragraph" w:customStyle="1" w:styleId="JuInitialled">
    <w:name w:val="Ju_Initialled"/>
    <w:basedOn w:val="Normal"/>
    <w:uiPriority w:val="99"/>
    <w:rsid w:val="007C6A77"/>
    <w:pPr>
      <w:tabs>
        <w:tab w:val="center" w:pos="6407"/>
      </w:tabs>
      <w:spacing w:before="720"/>
      <w:jc w:val="right"/>
    </w:pPr>
    <w:rPr>
      <w:lang w:val="en-GB"/>
    </w:rPr>
  </w:style>
  <w:style w:type="paragraph" w:customStyle="1" w:styleId="JuSigned">
    <w:name w:val="Ju_Signed"/>
    <w:basedOn w:val="Normal"/>
    <w:next w:val="JuParaLast"/>
    <w:uiPriority w:val="99"/>
    <w:rsid w:val="007C6A77"/>
    <w:pPr>
      <w:tabs>
        <w:tab w:val="center" w:pos="851"/>
        <w:tab w:val="center" w:pos="6407"/>
      </w:tabs>
      <w:spacing w:before="720"/>
      <w:jc w:val="left"/>
    </w:pPr>
    <w:rPr>
      <w:lang w:val="en-GB"/>
    </w:rPr>
  </w:style>
  <w:style w:type="paragraph" w:styleId="Title">
    <w:name w:val="Title"/>
    <w:basedOn w:val="Normal"/>
    <w:next w:val="Normal"/>
    <w:link w:val="TitleChar"/>
    <w:uiPriority w:val="99"/>
    <w:qFormat/>
    <w:rsid w:val="007C6A77"/>
    <w:pPr>
      <w:pBdr>
        <w:bottom w:val="single" w:sz="4" w:space="1" w:color="auto"/>
      </w:pBdr>
    </w:pPr>
    <w:rPr>
      <w:rFonts w:eastAsia="MS Gothic"/>
      <w:spacing w:val="5"/>
      <w:sz w:val="52"/>
      <w:szCs w:val="52"/>
      <w:lang w:val="pl-PL" w:eastAsia="pl-PL"/>
    </w:rPr>
  </w:style>
  <w:style w:type="character" w:customStyle="1" w:styleId="TitleChar">
    <w:name w:val="Title Char"/>
    <w:basedOn w:val="DefaultParagraphFont"/>
    <w:link w:val="Title"/>
    <w:uiPriority w:val="99"/>
    <w:semiHidden/>
    <w:locked/>
    <w:rsid w:val="007C6A77"/>
    <w:rPr>
      <w:rFonts w:ascii="Times New Roman" w:eastAsia="MS Gothic" w:hAnsi="Times New Roman" w:cs="Times New Roman"/>
      <w:spacing w:val="5"/>
      <w:sz w:val="52"/>
      <w:szCs w:val="52"/>
    </w:rPr>
  </w:style>
  <w:style w:type="paragraph" w:customStyle="1" w:styleId="OpiQuotSub">
    <w:name w:val="Opi_Quot_Sub"/>
    <w:basedOn w:val="JuQuotSub"/>
    <w:uiPriority w:val="99"/>
    <w:rsid w:val="007C6A77"/>
  </w:style>
  <w:style w:type="paragraph" w:customStyle="1" w:styleId="JuTitle">
    <w:name w:val="Ju_Title"/>
    <w:basedOn w:val="Normal"/>
    <w:next w:val="ECHRPara"/>
    <w:uiPriority w:val="99"/>
    <w:semiHidden/>
    <w:rsid w:val="007C6A77"/>
    <w:pPr>
      <w:spacing w:before="720" w:after="240"/>
      <w:jc w:val="center"/>
      <w:outlineLvl w:val="0"/>
    </w:pPr>
    <w:rPr>
      <w:b/>
      <w:bCs/>
      <w:caps/>
      <w:lang w:val="en-GB"/>
    </w:rPr>
  </w:style>
  <w:style w:type="character" w:customStyle="1" w:styleId="JuITMark">
    <w:name w:val="Ju_ITMark"/>
    <w:uiPriority w:val="99"/>
    <w:rsid w:val="007C6A77"/>
    <w:rPr>
      <w:color w:val="auto"/>
      <w:sz w:val="14"/>
      <w:szCs w:val="14"/>
      <w:shd w:val="clear" w:color="auto" w:fill="BEE5FF"/>
    </w:rPr>
  </w:style>
  <w:style w:type="paragraph" w:customStyle="1" w:styleId="OpiHA">
    <w:name w:val="Opi_H_A"/>
    <w:basedOn w:val="ECHRHeading1"/>
    <w:next w:val="OpiPara"/>
    <w:uiPriority w:val="99"/>
    <w:rsid w:val="007C6A77"/>
    <w:pPr>
      <w:tabs>
        <w:tab w:val="clear" w:pos="357"/>
      </w:tabs>
      <w:outlineLvl w:val="1"/>
    </w:pPr>
    <w:rPr>
      <w:b/>
      <w:bCs/>
    </w:rPr>
  </w:style>
  <w:style w:type="paragraph" w:customStyle="1" w:styleId="JuCourt">
    <w:name w:val="Ju_Court"/>
    <w:basedOn w:val="Normal"/>
    <w:next w:val="Normal"/>
    <w:uiPriority w:val="99"/>
    <w:rsid w:val="007C6A77"/>
    <w:pPr>
      <w:tabs>
        <w:tab w:val="left" w:pos="907"/>
        <w:tab w:val="left" w:pos="1701"/>
        <w:tab w:val="right" w:pos="7371"/>
      </w:tabs>
      <w:spacing w:before="240"/>
      <w:ind w:left="397" w:hanging="397"/>
      <w:jc w:val="left"/>
    </w:pPr>
    <w:rPr>
      <w:lang w:val="en-GB"/>
    </w:rPr>
  </w:style>
  <w:style w:type="paragraph" w:customStyle="1" w:styleId="ECHRHeading1">
    <w:name w:val="ECHR_Heading_1"/>
    <w:aliases w:val="Ju_H_I_Roman"/>
    <w:basedOn w:val="Heading1"/>
    <w:next w:val="ECHRPara"/>
    <w:uiPriority w:val="99"/>
    <w:rsid w:val="007C6A77"/>
    <w:pPr>
      <w:keepNext/>
      <w:keepLines/>
      <w:tabs>
        <w:tab w:val="left" w:pos="357"/>
      </w:tabs>
      <w:spacing w:before="360" w:after="240"/>
      <w:ind w:left="357" w:hanging="357"/>
    </w:pPr>
    <w:rPr>
      <w:b w:val="0"/>
      <w:bCs w:val="0"/>
      <w:color w:val="auto"/>
      <w:sz w:val="24"/>
      <w:szCs w:val="24"/>
      <w:lang w:val="en-GB"/>
    </w:rPr>
  </w:style>
  <w:style w:type="paragraph" w:customStyle="1" w:styleId="ECHRHeading2">
    <w:name w:val="ECHR_Heading_2"/>
    <w:aliases w:val="Ju_H_A"/>
    <w:basedOn w:val="Heading2"/>
    <w:next w:val="ECHRPara"/>
    <w:uiPriority w:val="99"/>
    <w:rsid w:val="007C6A77"/>
    <w:pPr>
      <w:keepNext/>
      <w:keepLines/>
      <w:tabs>
        <w:tab w:val="left" w:pos="584"/>
      </w:tabs>
      <w:spacing w:before="360" w:after="240"/>
      <w:ind w:left="584" w:hanging="352"/>
    </w:pPr>
    <w:rPr>
      <w:color w:val="auto"/>
      <w:sz w:val="24"/>
      <w:szCs w:val="24"/>
      <w:lang w:val="en-GB"/>
    </w:rPr>
  </w:style>
  <w:style w:type="paragraph" w:customStyle="1" w:styleId="ECHRHeading3">
    <w:name w:val="ECHR_Heading_3"/>
    <w:aliases w:val="Ju_H_1."/>
    <w:basedOn w:val="Heading3"/>
    <w:next w:val="ECHRPara"/>
    <w:uiPriority w:val="99"/>
    <w:rsid w:val="007C6A77"/>
    <w:pPr>
      <w:keepNext/>
      <w:keepLines/>
      <w:tabs>
        <w:tab w:val="left" w:pos="731"/>
      </w:tabs>
      <w:spacing w:before="240" w:after="120" w:line="240" w:lineRule="auto"/>
      <w:ind w:left="732" w:hanging="301"/>
    </w:pPr>
    <w:rPr>
      <w:b w:val="0"/>
      <w:bCs w:val="0"/>
      <w:i/>
      <w:iCs/>
      <w:color w:val="auto"/>
      <w:lang w:val="en-GB"/>
    </w:rPr>
  </w:style>
  <w:style w:type="paragraph" w:styleId="Header">
    <w:name w:val="header"/>
    <w:basedOn w:val="Normal"/>
    <w:link w:val="HeaderChar"/>
    <w:uiPriority w:val="99"/>
    <w:semiHidden/>
    <w:rsid w:val="0045649E"/>
    <w:pPr>
      <w:tabs>
        <w:tab w:val="center" w:pos="4536"/>
        <w:tab w:val="right" w:pos="9072"/>
      </w:tabs>
    </w:pPr>
    <w:rPr>
      <w:rFonts w:eastAsia="Times New Roman"/>
      <w:lang w:val="pl-PL" w:eastAsia="pl-PL"/>
    </w:rPr>
  </w:style>
  <w:style w:type="character" w:customStyle="1" w:styleId="HeaderChar">
    <w:name w:val="Header Char"/>
    <w:basedOn w:val="DefaultParagraphFont"/>
    <w:link w:val="Header"/>
    <w:uiPriority w:val="99"/>
    <w:locked/>
    <w:rsid w:val="0045649E"/>
    <w:rPr>
      <w:sz w:val="24"/>
      <w:szCs w:val="24"/>
    </w:rPr>
  </w:style>
  <w:style w:type="paragraph" w:customStyle="1" w:styleId="ECHRHeading4">
    <w:name w:val="ECHR_Heading_4"/>
    <w:aliases w:val="Ju_H_a"/>
    <w:basedOn w:val="Heading4"/>
    <w:next w:val="ECHRPara"/>
    <w:uiPriority w:val="99"/>
    <w:rsid w:val="007C6A77"/>
    <w:pPr>
      <w:keepNext/>
      <w:keepLines/>
      <w:tabs>
        <w:tab w:val="left" w:pos="975"/>
      </w:tabs>
      <w:spacing w:before="240" w:after="120"/>
      <w:ind w:left="975" w:hanging="340"/>
    </w:pPr>
    <w:rPr>
      <w:i w:val="0"/>
      <w:iCs w:val="0"/>
      <w:color w:val="auto"/>
      <w:sz w:val="20"/>
      <w:szCs w:val="20"/>
      <w:lang w:val="en-GB"/>
    </w:rPr>
  </w:style>
  <w:style w:type="paragraph" w:customStyle="1" w:styleId="ECHRHeading5">
    <w:name w:val="ECHR_Heading_5"/>
    <w:aliases w:val="Ju_H_i"/>
    <w:basedOn w:val="Heading5"/>
    <w:next w:val="ECHRPara"/>
    <w:uiPriority w:val="99"/>
    <w:rsid w:val="007C6A77"/>
    <w:pPr>
      <w:keepNext/>
      <w:keepLines/>
      <w:tabs>
        <w:tab w:val="left" w:pos="1191"/>
      </w:tabs>
      <w:spacing w:before="240" w:after="120"/>
      <w:ind w:left="1190" w:hanging="357"/>
    </w:pPr>
    <w:rPr>
      <w:b w:val="0"/>
      <w:bCs w:val="0"/>
      <w:i/>
      <w:iCs/>
      <w:color w:val="auto"/>
      <w:lang w:val="en-GB"/>
    </w:rPr>
  </w:style>
  <w:style w:type="paragraph" w:customStyle="1" w:styleId="ECHRHeading6">
    <w:name w:val="ECHR_Heading_6"/>
    <w:aliases w:val="Ju_H_alpha"/>
    <w:basedOn w:val="Heading6"/>
    <w:next w:val="ECHRPara"/>
    <w:uiPriority w:val="99"/>
    <w:rsid w:val="007C6A77"/>
    <w:pPr>
      <w:keepNext/>
      <w:keepLines/>
      <w:tabs>
        <w:tab w:val="left" w:pos="1372"/>
      </w:tabs>
      <w:spacing w:before="240" w:after="120" w:line="240" w:lineRule="auto"/>
      <w:ind w:left="1373" w:hanging="335"/>
    </w:pPr>
    <w:rPr>
      <w:b w:val="0"/>
      <w:bCs w:val="0"/>
      <w:i w:val="0"/>
      <w:iCs w:val="0"/>
      <w:color w:val="auto"/>
      <w:sz w:val="20"/>
      <w:szCs w:val="20"/>
      <w:lang w:val="en-GB"/>
    </w:rPr>
  </w:style>
  <w:style w:type="paragraph" w:customStyle="1" w:styleId="ECHRHeading7">
    <w:name w:val="ECHR_Heading_7"/>
    <w:aliases w:val="Ju_H_–"/>
    <w:basedOn w:val="Heading7"/>
    <w:next w:val="ECHRPara"/>
    <w:uiPriority w:val="99"/>
    <w:rsid w:val="007C6A77"/>
    <w:pPr>
      <w:keepNext/>
      <w:keepLines/>
      <w:spacing w:before="240" w:after="120"/>
      <w:ind w:left="1236"/>
    </w:pPr>
    <w:rPr>
      <w:lang w:val="en-GB"/>
    </w:rPr>
  </w:style>
  <w:style w:type="paragraph" w:customStyle="1" w:styleId="JuParaLast">
    <w:name w:val="Ju_Para_Last"/>
    <w:basedOn w:val="Normal"/>
    <w:next w:val="ECHRPara"/>
    <w:uiPriority w:val="99"/>
    <w:rsid w:val="007C6A77"/>
    <w:pPr>
      <w:keepNext/>
      <w:keepLines/>
      <w:spacing w:before="240"/>
      <w:ind w:firstLine="284"/>
    </w:pPr>
    <w:rPr>
      <w:lang w:val="en-GB"/>
    </w:rPr>
  </w:style>
  <w:style w:type="paragraph" w:customStyle="1" w:styleId="ECHRDecisionBody">
    <w:name w:val="ECHR_Decision_Body"/>
    <w:aliases w:val="Ju_Judges"/>
    <w:basedOn w:val="Normal"/>
    <w:uiPriority w:val="99"/>
    <w:rsid w:val="007C6A77"/>
    <w:pPr>
      <w:tabs>
        <w:tab w:val="left" w:pos="567"/>
        <w:tab w:val="left" w:pos="1134"/>
      </w:tabs>
      <w:jc w:val="left"/>
    </w:pPr>
    <w:rPr>
      <w:lang w:val="en-GB"/>
    </w:rPr>
  </w:style>
  <w:style w:type="paragraph" w:customStyle="1" w:styleId="JuList">
    <w:name w:val="Ju_List"/>
    <w:basedOn w:val="Normal"/>
    <w:uiPriority w:val="99"/>
    <w:rsid w:val="007C6A77"/>
    <w:pPr>
      <w:ind w:left="340" w:hanging="340"/>
    </w:pPr>
    <w:rPr>
      <w:lang w:val="en-GB"/>
    </w:rPr>
  </w:style>
  <w:style w:type="paragraph" w:customStyle="1" w:styleId="JuLista">
    <w:name w:val="Ju_List_a"/>
    <w:basedOn w:val="JuList"/>
    <w:uiPriority w:val="99"/>
    <w:rsid w:val="007C6A77"/>
    <w:pPr>
      <w:ind w:left="346" w:firstLine="0"/>
    </w:pPr>
  </w:style>
  <w:style w:type="character" w:customStyle="1" w:styleId="JUNAMES">
    <w:name w:val="JU_NAMES"/>
    <w:uiPriority w:val="99"/>
    <w:rsid w:val="007C6A77"/>
    <w:rPr>
      <w:smallCaps/>
    </w:rPr>
  </w:style>
  <w:style w:type="character" w:styleId="SubtleEmphasis">
    <w:name w:val="Subtle Emphasis"/>
    <w:basedOn w:val="DefaultParagraphFont"/>
    <w:uiPriority w:val="99"/>
    <w:qFormat/>
    <w:rsid w:val="007C6A77"/>
    <w:rPr>
      <w:i/>
      <w:iCs/>
    </w:rPr>
  </w:style>
  <w:style w:type="paragraph" w:customStyle="1" w:styleId="OpiTranslation">
    <w:name w:val="Opi_Translation"/>
    <w:basedOn w:val="Normal"/>
    <w:next w:val="OpiPara"/>
    <w:uiPriority w:val="99"/>
    <w:rsid w:val="007C6A77"/>
    <w:pPr>
      <w:jc w:val="center"/>
      <w:outlineLvl w:val="0"/>
    </w:pPr>
    <w:rPr>
      <w:i/>
      <w:iCs/>
      <w:lang w:val="en-GB"/>
    </w:rPr>
  </w:style>
  <w:style w:type="table" w:customStyle="1" w:styleId="ECHRTable">
    <w:name w:val="ECHR_Table"/>
    <w:uiPriority w:val="99"/>
    <w:rsid w:val="00860B03"/>
    <w:rPr>
      <w:sz w:val="20"/>
      <w:szCs w:val="20"/>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rPr>
      <w:rFonts w:ascii="Verdana" w:hAnsi="Verdana" w:cs="Verdana"/>
      <w:sz w:val="20"/>
      <w:szCs w:val="20"/>
      <w:lang w:val="en-GB"/>
    </w:rPr>
    <w:tblPr>
      <w:tblCellMar>
        <w:top w:w="57" w:type="dxa"/>
        <w:left w:w="57" w:type="dxa"/>
        <w:bottom w:w="57" w:type="dxa"/>
        <w:right w:w="57" w:type="dxa"/>
      </w:tblCellMar>
    </w:tblPr>
    <w:tcPr>
      <w:shd w:val="clear" w:color="auto" w:fill="F8F8F8"/>
    </w:tcPr>
  </w:style>
  <w:style w:type="paragraph" w:customStyle="1" w:styleId="DecHTitle">
    <w:name w:val="Dec_H_Title"/>
    <w:basedOn w:val="ECHRTitleCentre1"/>
    <w:uiPriority w:val="99"/>
    <w:semiHidden/>
    <w:rsid w:val="007C6A77"/>
  </w:style>
  <w:style w:type="paragraph" w:customStyle="1" w:styleId="DecList">
    <w:name w:val="Dec_List"/>
    <w:basedOn w:val="Normal"/>
    <w:uiPriority w:val="99"/>
    <w:semiHidden/>
    <w:rsid w:val="007C6A77"/>
    <w:pPr>
      <w:spacing w:before="240"/>
      <w:ind w:left="284"/>
    </w:pPr>
    <w:rPr>
      <w:lang w:val="en-GB"/>
    </w:rPr>
  </w:style>
  <w:style w:type="paragraph" w:customStyle="1" w:styleId="JuListi">
    <w:name w:val="Ju_List_i"/>
    <w:basedOn w:val="Normal"/>
    <w:next w:val="JuLista"/>
    <w:uiPriority w:val="99"/>
    <w:rsid w:val="007C6A77"/>
    <w:pPr>
      <w:ind w:left="794"/>
    </w:pPr>
    <w:rPr>
      <w:lang w:val="en-GB"/>
    </w:rPr>
  </w:style>
  <w:style w:type="character" w:styleId="Emphasis">
    <w:name w:val="Emphasis"/>
    <w:basedOn w:val="DefaultParagraphFont"/>
    <w:uiPriority w:val="99"/>
    <w:qFormat/>
    <w:rsid w:val="007C6A77"/>
    <w:rPr>
      <w:b/>
      <w:bCs/>
      <w:i/>
      <w:iCs/>
      <w:spacing w:val="10"/>
      <w:shd w:val="clear" w:color="auto" w:fill="auto"/>
    </w:rPr>
  </w:style>
  <w:style w:type="paragraph" w:styleId="Footer">
    <w:name w:val="footer"/>
    <w:basedOn w:val="Normal"/>
    <w:link w:val="FooterChar"/>
    <w:uiPriority w:val="99"/>
    <w:semiHidden/>
    <w:rsid w:val="0045649E"/>
    <w:pPr>
      <w:tabs>
        <w:tab w:val="center" w:pos="4536"/>
        <w:tab w:val="right" w:pos="9696"/>
      </w:tabs>
      <w:ind w:left="-680" w:right="-680"/>
    </w:pPr>
    <w:rPr>
      <w:rFonts w:eastAsia="Times New Roman"/>
      <w:lang w:val="pl-PL" w:eastAsia="pl-PL"/>
    </w:rPr>
  </w:style>
  <w:style w:type="character" w:customStyle="1" w:styleId="FooterChar">
    <w:name w:val="Footer Char"/>
    <w:basedOn w:val="DefaultParagraphFont"/>
    <w:link w:val="Footer"/>
    <w:uiPriority w:val="99"/>
    <w:semiHidden/>
    <w:locked/>
    <w:rsid w:val="0045649E"/>
    <w:rPr>
      <w:sz w:val="24"/>
      <w:szCs w:val="24"/>
    </w:rPr>
  </w:style>
  <w:style w:type="character" w:styleId="FootnoteReference">
    <w:name w:val="footnote reference"/>
    <w:aliases w:val="a Footnote Reference,FZ"/>
    <w:basedOn w:val="DefaultParagraphFont"/>
    <w:uiPriority w:val="99"/>
    <w:semiHidden/>
    <w:rsid w:val="0045649E"/>
    <w:rPr>
      <w:vertAlign w:val="superscript"/>
    </w:rPr>
  </w:style>
  <w:style w:type="paragraph" w:styleId="FootnoteText">
    <w:name w:val="footnote text"/>
    <w:aliases w:val="Footnote Text Char Char Char Char,FA,FA Fußnotentext,Note de bas de page Car Car,Car Car Car,Car Car Car Car Car,Car Car Car Car Car Car,Car Car Car Car,Footnote Text Char Car Car,Footnote Text Char Car"/>
    <w:basedOn w:val="Normal"/>
    <w:link w:val="FootnoteTextChar"/>
    <w:uiPriority w:val="99"/>
    <w:semiHidden/>
    <w:rsid w:val="0045649E"/>
    <w:rPr>
      <w:sz w:val="20"/>
      <w:szCs w:val="20"/>
      <w:lang w:val="pl-PL" w:eastAsia="pl-PL"/>
    </w:rPr>
  </w:style>
  <w:style w:type="character" w:customStyle="1" w:styleId="FootnoteTextChar">
    <w:name w:val="Footnote Text Char"/>
    <w:aliases w:val="Footnote Text Char Char Char Char Char,FA Char,FA Fußnotentext Char,Note de bas de page Car Car Char,Car Car Car Char,Car Car Car Car Car Char,Car Car Car Car Car Car Char,Car Car Car Car Char,Footnote Text Char Car Car Char"/>
    <w:basedOn w:val="DefaultParagraphFont"/>
    <w:link w:val="FootnoteText"/>
    <w:uiPriority w:val="99"/>
    <w:locked/>
    <w:rsid w:val="0045649E"/>
    <w:rPr>
      <w:rFonts w:eastAsia="MS Mincho"/>
      <w:sz w:val="20"/>
      <w:szCs w:val="20"/>
    </w:rPr>
  </w:style>
  <w:style w:type="character" w:styleId="Hyperlink">
    <w:name w:val="Hyperlink"/>
    <w:basedOn w:val="DefaultParagraphFont"/>
    <w:uiPriority w:val="99"/>
    <w:semiHidden/>
    <w:rsid w:val="0045649E"/>
    <w:rPr>
      <w:color w:val="0072BC"/>
      <w:u w:val="single"/>
    </w:rPr>
  </w:style>
  <w:style w:type="character" w:styleId="IntenseEmphasis">
    <w:name w:val="Intense Emphasis"/>
    <w:basedOn w:val="DefaultParagraphFont"/>
    <w:uiPriority w:val="99"/>
    <w:qFormat/>
    <w:rsid w:val="007C6A77"/>
    <w:rPr>
      <w:b/>
      <w:bCs/>
    </w:rPr>
  </w:style>
  <w:style w:type="paragraph" w:styleId="IntenseQuote">
    <w:name w:val="Intense Quote"/>
    <w:basedOn w:val="Normal"/>
    <w:next w:val="Normal"/>
    <w:link w:val="IntenseQuoteChar"/>
    <w:uiPriority w:val="99"/>
    <w:qFormat/>
    <w:rsid w:val="007C6A77"/>
    <w:pPr>
      <w:pBdr>
        <w:bottom w:val="single" w:sz="4" w:space="1" w:color="auto"/>
      </w:pBdr>
      <w:spacing w:before="200" w:after="280"/>
      <w:ind w:left="1008" w:right="1152"/>
    </w:pPr>
    <w:rPr>
      <w:b/>
      <w:bCs/>
      <w:i/>
      <w:iCs/>
      <w:sz w:val="20"/>
      <w:szCs w:val="20"/>
      <w:lang w:val="pl-PL" w:eastAsia="pl-PL"/>
    </w:rPr>
  </w:style>
  <w:style w:type="character" w:customStyle="1" w:styleId="IntenseQuoteChar">
    <w:name w:val="Intense Quote Char"/>
    <w:basedOn w:val="DefaultParagraphFont"/>
    <w:link w:val="IntenseQuote"/>
    <w:uiPriority w:val="99"/>
    <w:semiHidden/>
    <w:locked/>
    <w:rsid w:val="007C6A77"/>
    <w:rPr>
      <w:rFonts w:eastAsia="MS Mincho"/>
      <w:b/>
      <w:bCs/>
      <w:i/>
      <w:iCs/>
    </w:rPr>
  </w:style>
  <w:style w:type="character" w:styleId="IntenseReference">
    <w:name w:val="Intense Reference"/>
    <w:basedOn w:val="DefaultParagraphFont"/>
    <w:uiPriority w:val="99"/>
    <w:qFormat/>
    <w:rsid w:val="007C6A77"/>
    <w:rPr>
      <w:smallCaps/>
      <w:spacing w:val="5"/>
      <w:u w:val="single"/>
    </w:rPr>
  </w:style>
  <w:style w:type="paragraph" w:styleId="ListParagraph">
    <w:name w:val="List Paragraph"/>
    <w:basedOn w:val="Normal"/>
    <w:uiPriority w:val="99"/>
    <w:qFormat/>
    <w:rsid w:val="007C6A77"/>
    <w:pPr>
      <w:ind w:left="720"/>
    </w:pPr>
    <w:rPr>
      <w:lang w:val="en-GB"/>
    </w:rPr>
  </w:style>
  <w:style w:type="table" w:customStyle="1" w:styleId="LtrTableAddress">
    <w:name w:val="Ltr_Table_Address"/>
    <w:uiPriority w:val="99"/>
    <w:rsid w:val="001E6F32"/>
    <w:rPr>
      <w:sz w:val="20"/>
      <w:szCs w:val="20"/>
    </w:rPr>
    <w:tblPr>
      <w:tblCellMar>
        <w:top w:w="0" w:type="dxa"/>
        <w:left w:w="108" w:type="dxa"/>
        <w:bottom w:w="0" w:type="dxa"/>
        <w:right w:w="108" w:type="dxa"/>
      </w:tblCellMar>
    </w:tblPr>
  </w:style>
  <w:style w:type="paragraph" w:styleId="Quote">
    <w:name w:val="Quote"/>
    <w:basedOn w:val="Normal"/>
    <w:next w:val="Normal"/>
    <w:link w:val="QuoteChar"/>
    <w:uiPriority w:val="99"/>
    <w:qFormat/>
    <w:rsid w:val="007C6A77"/>
    <w:pPr>
      <w:spacing w:before="200"/>
      <w:ind w:left="360" w:right="360"/>
    </w:pPr>
    <w:rPr>
      <w:i/>
      <w:iCs/>
      <w:sz w:val="20"/>
      <w:szCs w:val="20"/>
      <w:lang w:val="pl-PL" w:eastAsia="pl-PL"/>
    </w:rPr>
  </w:style>
  <w:style w:type="character" w:customStyle="1" w:styleId="QuoteChar">
    <w:name w:val="Quote Char"/>
    <w:basedOn w:val="DefaultParagraphFont"/>
    <w:link w:val="Quote"/>
    <w:uiPriority w:val="99"/>
    <w:semiHidden/>
    <w:locked/>
    <w:rsid w:val="007C6A77"/>
    <w:rPr>
      <w:rFonts w:eastAsia="MS Mincho"/>
      <w:i/>
      <w:iCs/>
    </w:rPr>
  </w:style>
  <w:style w:type="character" w:styleId="SubtleReference">
    <w:name w:val="Subtle Reference"/>
    <w:basedOn w:val="DefaultParagraphFont"/>
    <w:uiPriority w:val="99"/>
    <w:qFormat/>
    <w:rsid w:val="007C6A77"/>
    <w:rPr>
      <w:smallCaps/>
    </w:rPr>
  </w:style>
  <w:style w:type="table" w:styleId="TableGrid">
    <w:name w:val="Table Grid"/>
    <w:basedOn w:val="TableNormal"/>
    <w:uiPriority w:val="99"/>
    <w:semiHidden/>
    <w:rsid w:val="0045649E"/>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45649E"/>
    <w:pPr>
      <w:keepNext/>
      <w:tabs>
        <w:tab w:val="right" w:leader="dot" w:pos="7371"/>
      </w:tabs>
      <w:spacing w:before="160" w:after="60" w:line="240" w:lineRule="exact"/>
      <w:ind w:left="340" w:right="567" w:hanging="340"/>
    </w:pPr>
    <w:rPr>
      <w:b/>
      <w:bCs/>
      <w:sz w:val="22"/>
      <w:szCs w:val="22"/>
    </w:rPr>
  </w:style>
  <w:style w:type="paragraph" w:styleId="TOC2">
    <w:name w:val="toc 2"/>
    <w:basedOn w:val="Normal"/>
    <w:next w:val="Normal"/>
    <w:autoRedefine/>
    <w:uiPriority w:val="99"/>
    <w:semiHidden/>
    <w:rsid w:val="0045649E"/>
    <w:pPr>
      <w:keepNext/>
      <w:tabs>
        <w:tab w:val="right" w:leader="dot" w:pos="7371"/>
      </w:tabs>
      <w:spacing w:after="60" w:line="240" w:lineRule="exact"/>
      <w:ind w:left="680" w:right="567" w:hanging="340"/>
    </w:pPr>
    <w:rPr>
      <w:sz w:val="22"/>
      <w:szCs w:val="22"/>
    </w:rPr>
  </w:style>
  <w:style w:type="paragraph" w:styleId="TOC3">
    <w:name w:val="toc 3"/>
    <w:basedOn w:val="Normal"/>
    <w:next w:val="Normal"/>
    <w:autoRedefine/>
    <w:uiPriority w:val="99"/>
    <w:semiHidden/>
    <w:rsid w:val="0045649E"/>
    <w:pPr>
      <w:keepNext/>
      <w:tabs>
        <w:tab w:val="right" w:leader="dot" w:pos="7371"/>
      </w:tabs>
      <w:spacing w:after="60" w:line="240" w:lineRule="exact"/>
      <w:ind w:left="1020" w:right="567" w:hanging="340"/>
    </w:pPr>
    <w:rPr>
      <w:sz w:val="20"/>
      <w:szCs w:val="20"/>
    </w:rPr>
  </w:style>
  <w:style w:type="paragraph" w:styleId="TOC4">
    <w:name w:val="toc 4"/>
    <w:basedOn w:val="Normal"/>
    <w:next w:val="Normal"/>
    <w:autoRedefine/>
    <w:uiPriority w:val="99"/>
    <w:semiHidden/>
    <w:rsid w:val="0045649E"/>
    <w:pPr>
      <w:tabs>
        <w:tab w:val="right" w:leader="dot" w:pos="7371"/>
      </w:tabs>
      <w:spacing w:after="60" w:line="240" w:lineRule="exact"/>
      <w:ind w:left="1361" w:right="567" w:hanging="340"/>
    </w:pPr>
    <w:rPr>
      <w:sz w:val="20"/>
      <w:szCs w:val="20"/>
    </w:rPr>
  </w:style>
  <w:style w:type="paragraph" w:styleId="TOC5">
    <w:name w:val="toc 5"/>
    <w:basedOn w:val="Normal"/>
    <w:next w:val="Normal"/>
    <w:autoRedefine/>
    <w:uiPriority w:val="99"/>
    <w:semiHidden/>
    <w:rsid w:val="0045649E"/>
    <w:pPr>
      <w:tabs>
        <w:tab w:val="right" w:leader="dot" w:pos="7371"/>
      </w:tabs>
      <w:spacing w:after="60" w:line="240" w:lineRule="exact"/>
      <w:ind w:left="1701" w:right="567" w:hanging="340"/>
    </w:pPr>
    <w:rPr>
      <w:sz w:val="20"/>
      <w:szCs w:val="20"/>
    </w:rPr>
  </w:style>
  <w:style w:type="paragraph" w:styleId="TOCHeading">
    <w:name w:val="TOC Heading"/>
    <w:basedOn w:val="Normal"/>
    <w:next w:val="Normal"/>
    <w:uiPriority w:val="99"/>
    <w:qFormat/>
    <w:rsid w:val="007C6A77"/>
    <w:pPr>
      <w:keepNext/>
      <w:keepLines/>
      <w:spacing w:before="240"/>
      <w:jc w:val="center"/>
    </w:pPr>
    <w:rPr>
      <w:rFonts w:eastAsia="Times New Roman"/>
      <w:b/>
      <w:bCs/>
      <w:color w:val="474747"/>
      <w:sz w:val="28"/>
      <w:szCs w:val="28"/>
      <w:lang w:val="en-GB"/>
    </w:rPr>
  </w:style>
  <w:style w:type="table" w:customStyle="1" w:styleId="UGTable">
    <w:name w:val="UG_Table"/>
    <w:uiPriority w:val="99"/>
    <w:rsid w:val="00572845"/>
    <w:rPr>
      <w:rFonts w:eastAsia="MS Mincho"/>
      <w:sz w:val="20"/>
      <w:szCs w:val="20"/>
      <w:lang w:val="en-GB" w:eastAsia="en-GB"/>
    </w:rPr>
    <w:tblPr>
      <w:tblCellMar>
        <w:top w:w="0" w:type="dxa"/>
        <w:left w:w="57" w:type="dxa"/>
        <w:bottom w:w="57" w:type="dxa"/>
        <w:right w:w="113" w:type="dxa"/>
      </w:tblCellMar>
    </w:tblPr>
  </w:style>
  <w:style w:type="table" w:customStyle="1" w:styleId="UGTableWhiteBox">
    <w:name w:val="UG_Table_White_Box"/>
    <w:uiPriority w:val="99"/>
    <w:rsid w:val="003609FA"/>
    <w:rPr>
      <w:rFonts w:eastAsia="MS Mincho"/>
      <w:sz w:val="20"/>
      <w:szCs w:val="20"/>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rPr>
      <w:color w:val="000000"/>
      <w:sz w:val="20"/>
      <w:szCs w:val="2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sz w:val="20"/>
      <w:szCs w:val="20"/>
    </w:rPr>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rPr>
      <w:sz w:val="20"/>
      <w:szCs w:val="20"/>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TOAHeading">
    <w:name w:val="toa heading"/>
    <w:basedOn w:val="Normal"/>
    <w:next w:val="Normal"/>
    <w:uiPriority w:val="99"/>
    <w:semiHidden/>
    <w:rsid w:val="0045649E"/>
    <w:pPr>
      <w:keepNext/>
      <w:keepLines/>
      <w:spacing w:before="240"/>
      <w:jc w:val="center"/>
    </w:pPr>
    <w:rPr>
      <w:rFonts w:eastAsia="MS Gothic"/>
      <w:b/>
      <w:bCs/>
      <w:color w:val="474747"/>
      <w:sz w:val="28"/>
      <w:szCs w:val="28"/>
    </w:rPr>
  </w:style>
  <w:style w:type="paragraph" w:styleId="Subtitle">
    <w:name w:val="Subtitle"/>
    <w:basedOn w:val="Normal"/>
    <w:next w:val="Normal"/>
    <w:link w:val="SubtitleChar"/>
    <w:uiPriority w:val="99"/>
    <w:qFormat/>
    <w:rsid w:val="007C6A77"/>
    <w:pPr>
      <w:spacing w:after="600"/>
    </w:pPr>
    <w:rPr>
      <w:rFonts w:eastAsia="MS Gothic"/>
      <w:i/>
      <w:iCs/>
      <w:spacing w:val="13"/>
      <w:lang w:val="pl-PL" w:eastAsia="pl-PL"/>
    </w:rPr>
  </w:style>
  <w:style w:type="character" w:customStyle="1" w:styleId="SubtitleChar">
    <w:name w:val="Subtitle Char"/>
    <w:basedOn w:val="DefaultParagraphFont"/>
    <w:link w:val="Subtitle"/>
    <w:uiPriority w:val="99"/>
    <w:semiHidden/>
    <w:locked/>
    <w:rsid w:val="007C6A77"/>
    <w:rPr>
      <w:rFonts w:ascii="Times New Roman" w:eastAsia="MS Gothic" w:hAnsi="Times New Roman" w:cs="Times New Roman"/>
      <w:i/>
      <w:iCs/>
      <w:spacing w:val="13"/>
      <w:sz w:val="24"/>
      <w:szCs w:val="24"/>
    </w:rPr>
  </w:style>
  <w:style w:type="paragraph" w:customStyle="1" w:styleId="ECHRPara">
    <w:name w:val="ECHR_Para"/>
    <w:aliases w:val="Ju_Para,N_Para,Para,Left,First line:  0 cm,_Para,Ju_Para + Interligne : Double"/>
    <w:basedOn w:val="Normal"/>
    <w:link w:val="ECHRParaChar"/>
    <w:uiPriority w:val="99"/>
    <w:rsid w:val="007C6A77"/>
    <w:pPr>
      <w:ind w:firstLine="284"/>
    </w:pPr>
    <w:rPr>
      <w:lang w:val="en-GB" w:eastAsia="pl-PL"/>
    </w:rPr>
  </w:style>
  <w:style w:type="table" w:customStyle="1" w:styleId="ECHRTableSimpleBox">
    <w:name w:val="ECHR_Table_Simple_Box"/>
    <w:uiPriority w:val="99"/>
    <w:rsid w:val="00AE354C"/>
    <w:rPr>
      <w:sz w:val="20"/>
      <w:szCs w:val="20"/>
    </w:rPr>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sz w:val="20"/>
      <w:szCs w:val="20"/>
    </w:rPr>
    <w:tblPr>
      <w:tblCellMar>
        <w:top w:w="85" w:type="dxa"/>
        <w:left w:w="142" w:type="dxa"/>
        <w:bottom w:w="28" w:type="dxa"/>
        <w:right w:w="142" w:type="dxa"/>
      </w:tblCellMar>
    </w:tblPr>
  </w:style>
  <w:style w:type="table" w:customStyle="1" w:styleId="ECHRTableForInternalUse">
    <w:name w:val="ECHR_Table_For_Internal_Use"/>
    <w:uiPriority w:val="99"/>
    <w:rsid w:val="005474E7"/>
    <w:rPr>
      <w:color w:val="636363"/>
      <w:sz w:val="18"/>
      <w:szCs w:val="18"/>
    </w:rPr>
    <w:tblPr>
      <w:tblStyleColBandSize w:val="1"/>
      <w:jc w:val="right"/>
      <w:tblCellMar>
        <w:top w:w="113" w:type="dxa"/>
        <w:left w:w="108" w:type="dxa"/>
        <w:bottom w:w="28" w:type="dxa"/>
        <w:right w:w="108" w:type="dxa"/>
      </w:tblCellMar>
    </w:tblPr>
    <w:trPr>
      <w:jc w:val="right"/>
    </w:trPr>
  </w:style>
  <w:style w:type="table" w:customStyle="1" w:styleId="ECHRListTable">
    <w:name w:val="ECHR_List_Table"/>
    <w:uiPriority w:val="99"/>
    <w:rsid w:val="0045649E"/>
    <w:rPr>
      <w:sz w:val="20"/>
      <w:szCs w:val="20"/>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styleId="Bibliography">
    <w:name w:val="Bibliography"/>
    <w:basedOn w:val="Normal"/>
    <w:next w:val="Normal"/>
    <w:uiPriority w:val="99"/>
    <w:semiHidden/>
    <w:rsid w:val="00DC4033"/>
  </w:style>
  <w:style w:type="paragraph" w:styleId="BlockText">
    <w:name w:val="Block Text"/>
    <w:basedOn w:val="Normal"/>
    <w:uiPriority w:val="99"/>
    <w:semiHidden/>
    <w:rsid w:val="00DC4033"/>
    <w:pPr>
      <w:pBdr>
        <w:top w:val="single" w:sz="2" w:space="10" w:color="0072BC"/>
        <w:left w:val="single" w:sz="2" w:space="10" w:color="0072BC"/>
        <w:bottom w:val="single" w:sz="2" w:space="10" w:color="0072BC"/>
        <w:right w:val="single" w:sz="2" w:space="10" w:color="0072BC"/>
      </w:pBdr>
      <w:ind w:left="1152" w:right="1152"/>
    </w:pPr>
    <w:rPr>
      <w:i/>
      <w:iCs/>
      <w:color w:val="0072BC"/>
    </w:rPr>
  </w:style>
  <w:style w:type="table" w:customStyle="1" w:styleId="ECHRHeaderTable">
    <w:name w:val="ECHR_Header_Table"/>
    <w:uiPriority w:val="99"/>
    <w:rsid w:val="00661971"/>
    <w:rPr>
      <w:sz w:val="20"/>
      <w:szCs w:val="20"/>
    </w:rPr>
    <w:tblPr>
      <w:tblBorders>
        <w:bottom w:val="single" w:sz="6" w:space="0" w:color="949494"/>
      </w:tblBorders>
      <w:tblCellMar>
        <w:top w:w="0" w:type="dxa"/>
        <w:left w:w="0" w:type="dxa"/>
        <w:bottom w:w="28" w:type="dxa"/>
        <w:right w:w="0" w:type="dxa"/>
      </w:tblCellMar>
    </w:tblPr>
  </w:style>
  <w:style w:type="paragraph" w:styleId="BodyText">
    <w:name w:val="Body Text"/>
    <w:basedOn w:val="Normal"/>
    <w:link w:val="BodyTextChar"/>
    <w:uiPriority w:val="99"/>
    <w:semiHidden/>
    <w:rsid w:val="00DC4033"/>
    <w:pPr>
      <w:spacing w:after="120"/>
    </w:pPr>
    <w:rPr>
      <w:lang w:val="pl-PL" w:eastAsia="pl-PL"/>
    </w:rPr>
  </w:style>
  <w:style w:type="character" w:customStyle="1" w:styleId="BodyTextChar">
    <w:name w:val="Body Text Char"/>
    <w:basedOn w:val="DefaultParagraphFont"/>
    <w:link w:val="BodyText"/>
    <w:uiPriority w:val="99"/>
    <w:semiHidden/>
    <w:locked/>
    <w:rsid w:val="00DC4033"/>
    <w:rPr>
      <w:rFonts w:eastAsia="MS Mincho"/>
      <w:sz w:val="24"/>
      <w:szCs w:val="24"/>
    </w:rPr>
  </w:style>
  <w:style w:type="table" w:customStyle="1" w:styleId="ECHRTableOddBanded">
    <w:name w:val="ECHR_Table_Odd_Banded"/>
    <w:uiPriority w:val="99"/>
    <w:rsid w:val="00860B03"/>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styleId="BodyText2">
    <w:name w:val="Body Text 2"/>
    <w:basedOn w:val="Normal"/>
    <w:link w:val="BodyText2Char"/>
    <w:uiPriority w:val="99"/>
    <w:semiHidden/>
    <w:rsid w:val="00DC4033"/>
    <w:pPr>
      <w:spacing w:after="120" w:line="480" w:lineRule="auto"/>
    </w:pPr>
    <w:rPr>
      <w:lang w:val="pl-PL" w:eastAsia="pl-PL"/>
    </w:rPr>
  </w:style>
  <w:style w:type="character" w:customStyle="1" w:styleId="BodyText2Char">
    <w:name w:val="Body Text 2 Char"/>
    <w:basedOn w:val="DefaultParagraphFont"/>
    <w:link w:val="BodyText2"/>
    <w:uiPriority w:val="99"/>
    <w:semiHidden/>
    <w:locked/>
    <w:rsid w:val="00DC4033"/>
    <w:rPr>
      <w:rFonts w:eastAsia="MS Mincho"/>
      <w:sz w:val="24"/>
      <w:szCs w:val="24"/>
    </w:rPr>
  </w:style>
  <w:style w:type="table" w:customStyle="1" w:styleId="ECHRHeaderTableReduced">
    <w:name w:val="ECHR_Header_Table_Reduced"/>
    <w:uiPriority w:val="99"/>
    <w:rsid w:val="00B52BE0"/>
    <w:rPr>
      <w:sz w:val="20"/>
      <w:szCs w:val="20"/>
    </w:rPr>
    <w:tblPr>
      <w:tblCellMar>
        <w:top w:w="0" w:type="dxa"/>
        <w:left w:w="0" w:type="dxa"/>
        <w:bottom w:w="0" w:type="dxa"/>
        <w:right w:w="0" w:type="dxa"/>
      </w:tblCellMar>
    </w:tblPr>
  </w:style>
  <w:style w:type="paragraph" w:customStyle="1" w:styleId="JuCase">
    <w:name w:val="Ju_Case"/>
    <w:basedOn w:val="Normal"/>
    <w:next w:val="ECHRPara"/>
    <w:uiPriority w:val="99"/>
    <w:rsid w:val="0045649E"/>
    <w:pPr>
      <w:ind w:firstLine="284"/>
    </w:pPr>
    <w:rPr>
      <w:b/>
      <w:bCs/>
    </w:rPr>
  </w:style>
  <w:style w:type="character" w:styleId="PageNumber">
    <w:name w:val="page number"/>
    <w:basedOn w:val="DefaultParagraphFont"/>
    <w:uiPriority w:val="99"/>
    <w:semiHidden/>
    <w:rsid w:val="00DC4033"/>
    <w:rPr>
      <w:sz w:val="18"/>
      <w:szCs w:val="18"/>
    </w:rPr>
  </w:style>
  <w:style w:type="paragraph" w:styleId="ListBullet">
    <w:name w:val="List Bullet"/>
    <w:basedOn w:val="Normal"/>
    <w:uiPriority w:val="99"/>
    <w:semiHidden/>
    <w:rsid w:val="00DC4033"/>
    <w:pPr>
      <w:numPr>
        <w:numId w:val="20"/>
      </w:numPr>
    </w:pPr>
  </w:style>
  <w:style w:type="paragraph" w:styleId="BodyText3">
    <w:name w:val="Body Text 3"/>
    <w:basedOn w:val="Normal"/>
    <w:link w:val="BodyText3Char"/>
    <w:uiPriority w:val="99"/>
    <w:semiHidden/>
    <w:rsid w:val="00DC4033"/>
    <w:pPr>
      <w:spacing w:after="120"/>
    </w:pPr>
    <w:rPr>
      <w:sz w:val="16"/>
      <w:szCs w:val="16"/>
      <w:lang w:val="pl-PL" w:eastAsia="pl-PL"/>
    </w:rPr>
  </w:style>
  <w:style w:type="character" w:customStyle="1" w:styleId="BodyText3Char">
    <w:name w:val="Body Text 3 Char"/>
    <w:basedOn w:val="DefaultParagraphFont"/>
    <w:link w:val="BodyText3"/>
    <w:uiPriority w:val="99"/>
    <w:semiHidden/>
    <w:locked/>
    <w:rsid w:val="00DC4033"/>
    <w:rPr>
      <w:rFonts w:eastAsia="MS Mincho"/>
      <w:sz w:val="16"/>
      <w:szCs w:val="16"/>
    </w:rPr>
  </w:style>
  <w:style w:type="paragraph" w:styleId="BodyTextFirstIndent">
    <w:name w:val="Body Text First Indent"/>
    <w:basedOn w:val="BodyText"/>
    <w:link w:val="BodyTextFirstIndentChar"/>
    <w:uiPriority w:val="99"/>
    <w:semiHidden/>
    <w:rsid w:val="00DC4033"/>
    <w:pPr>
      <w:spacing w:after="0"/>
      <w:ind w:firstLine="360"/>
    </w:pPr>
  </w:style>
  <w:style w:type="character" w:customStyle="1" w:styleId="BodyTextFirstIndentChar">
    <w:name w:val="Body Text First Indent Char"/>
    <w:basedOn w:val="BodyTextChar"/>
    <w:link w:val="BodyTextFirstIndent"/>
    <w:uiPriority w:val="99"/>
    <w:semiHidden/>
    <w:locked/>
    <w:rsid w:val="00DC4033"/>
  </w:style>
  <w:style w:type="paragraph" w:styleId="BodyTextIndent">
    <w:name w:val="Body Text Indent"/>
    <w:basedOn w:val="Normal"/>
    <w:link w:val="BodyTextIndentChar"/>
    <w:uiPriority w:val="99"/>
    <w:semiHidden/>
    <w:rsid w:val="00DC4033"/>
    <w:pPr>
      <w:spacing w:after="120"/>
      <w:ind w:left="283"/>
    </w:pPr>
    <w:rPr>
      <w:lang w:val="pl-PL" w:eastAsia="pl-PL"/>
    </w:rPr>
  </w:style>
  <w:style w:type="character" w:customStyle="1" w:styleId="BodyTextIndentChar">
    <w:name w:val="Body Text Indent Char"/>
    <w:basedOn w:val="DefaultParagraphFont"/>
    <w:link w:val="BodyTextIndent"/>
    <w:uiPriority w:val="99"/>
    <w:semiHidden/>
    <w:locked/>
    <w:rsid w:val="00DC4033"/>
    <w:rPr>
      <w:rFonts w:eastAsia="MS Mincho"/>
      <w:sz w:val="24"/>
      <w:szCs w:val="24"/>
    </w:rPr>
  </w:style>
  <w:style w:type="paragraph" w:styleId="BodyTextFirstIndent2">
    <w:name w:val="Body Text First Indent 2"/>
    <w:basedOn w:val="BodyTextIndent"/>
    <w:link w:val="BodyTextFirstIndent2Char"/>
    <w:uiPriority w:val="99"/>
    <w:semiHidden/>
    <w:rsid w:val="00DC4033"/>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DC4033"/>
  </w:style>
  <w:style w:type="paragraph" w:styleId="BodyTextIndent2">
    <w:name w:val="Body Text Indent 2"/>
    <w:basedOn w:val="Normal"/>
    <w:link w:val="BodyTextIndent2Char"/>
    <w:uiPriority w:val="99"/>
    <w:semiHidden/>
    <w:rsid w:val="00DC4033"/>
    <w:pPr>
      <w:spacing w:after="120" w:line="480" w:lineRule="auto"/>
      <w:ind w:left="283"/>
    </w:pPr>
    <w:rPr>
      <w:lang w:val="pl-PL" w:eastAsia="pl-PL"/>
    </w:rPr>
  </w:style>
  <w:style w:type="character" w:customStyle="1" w:styleId="BodyTextIndent2Char">
    <w:name w:val="Body Text Indent 2 Char"/>
    <w:basedOn w:val="DefaultParagraphFont"/>
    <w:link w:val="BodyTextIndent2"/>
    <w:uiPriority w:val="99"/>
    <w:semiHidden/>
    <w:locked/>
    <w:rsid w:val="00DC4033"/>
    <w:rPr>
      <w:rFonts w:eastAsia="MS Mincho"/>
      <w:sz w:val="24"/>
      <w:szCs w:val="24"/>
    </w:rPr>
  </w:style>
  <w:style w:type="paragraph" w:styleId="BodyTextIndent3">
    <w:name w:val="Body Text Indent 3"/>
    <w:basedOn w:val="Normal"/>
    <w:link w:val="BodyTextIndent3Char"/>
    <w:uiPriority w:val="99"/>
    <w:semiHidden/>
    <w:rsid w:val="00DC4033"/>
    <w:pPr>
      <w:spacing w:after="120"/>
      <w:ind w:left="283"/>
    </w:pPr>
    <w:rPr>
      <w:sz w:val="16"/>
      <w:szCs w:val="16"/>
      <w:lang w:val="pl-PL" w:eastAsia="pl-PL"/>
    </w:rPr>
  </w:style>
  <w:style w:type="character" w:customStyle="1" w:styleId="BodyTextIndent3Char">
    <w:name w:val="Body Text Indent 3 Char"/>
    <w:basedOn w:val="DefaultParagraphFont"/>
    <w:link w:val="BodyTextIndent3"/>
    <w:uiPriority w:val="99"/>
    <w:semiHidden/>
    <w:locked/>
    <w:rsid w:val="00DC4033"/>
    <w:rPr>
      <w:rFonts w:eastAsia="MS Mincho"/>
      <w:sz w:val="16"/>
      <w:szCs w:val="16"/>
    </w:rPr>
  </w:style>
  <w:style w:type="paragraph" w:styleId="Caption">
    <w:name w:val="caption"/>
    <w:basedOn w:val="Normal"/>
    <w:next w:val="Normal"/>
    <w:uiPriority w:val="99"/>
    <w:qFormat/>
    <w:rsid w:val="00DC4033"/>
    <w:pPr>
      <w:spacing w:after="200"/>
    </w:pPr>
    <w:rPr>
      <w:b/>
      <w:bCs/>
      <w:color w:val="0072BC"/>
      <w:sz w:val="18"/>
      <w:szCs w:val="18"/>
      <w:lang w:val="en-GB"/>
    </w:rPr>
  </w:style>
  <w:style w:type="paragraph" w:styleId="Closing">
    <w:name w:val="Closing"/>
    <w:basedOn w:val="Normal"/>
    <w:link w:val="ClosingChar"/>
    <w:uiPriority w:val="99"/>
    <w:semiHidden/>
    <w:rsid w:val="00DC4033"/>
    <w:pPr>
      <w:ind w:left="4252"/>
    </w:pPr>
    <w:rPr>
      <w:lang w:val="pl-PL" w:eastAsia="pl-PL"/>
    </w:rPr>
  </w:style>
  <w:style w:type="character" w:customStyle="1" w:styleId="ClosingChar">
    <w:name w:val="Closing Char"/>
    <w:basedOn w:val="DefaultParagraphFont"/>
    <w:link w:val="Closing"/>
    <w:uiPriority w:val="99"/>
    <w:semiHidden/>
    <w:locked/>
    <w:rsid w:val="00DC4033"/>
    <w:rPr>
      <w:rFonts w:eastAsia="MS Mincho"/>
      <w:sz w:val="24"/>
      <w:szCs w:val="24"/>
    </w:rPr>
  </w:style>
  <w:style w:type="table" w:styleId="ColorfulGrid">
    <w:name w:val="Colorful Grid"/>
    <w:basedOn w:val="TableNormal"/>
    <w:uiPriority w:val="99"/>
    <w:semiHidden/>
    <w:rsid w:val="00DC4033"/>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DC4033"/>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DC4033"/>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DC4033"/>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DC4033"/>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DC4033"/>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DC4033"/>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DC4033"/>
    <w:rPr>
      <w:color w:val="000000"/>
      <w:sz w:val="20"/>
      <w:szCs w:val="20"/>
    </w:rPr>
    <w:tblPr>
      <w:tblStyleRowBandSize w:val="1"/>
      <w:tblStyleColBandSize w:val="1"/>
      <w:tblCellMar>
        <w:top w:w="0" w:type="dxa"/>
        <w:left w:w="108" w:type="dxa"/>
        <w:bottom w:w="0" w:type="dxa"/>
        <w:right w:w="108" w:type="dxa"/>
      </w:tblCellMar>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DC4033"/>
    <w:rPr>
      <w:color w:val="000000"/>
      <w:sz w:val="20"/>
      <w:szCs w:val="20"/>
    </w:rPr>
    <w:tblPr>
      <w:tblStyleRowBandSize w:val="1"/>
      <w:tblStyleColBandSize w:val="1"/>
      <w:tblCellMar>
        <w:top w:w="0" w:type="dxa"/>
        <w:left w:w="108" w:type="dxa"/>
        <w:bottom w:w="0" w:type="dxa"/>
        <w:right w:w="108" w:type="dxa"/>
      </w:tblCellMar>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DC4033"/>
    <w:rPr>
      <w:color w:val="000000"/>
      <w:sz w:val="20"/>
      <w:szCs w:val="20"/>
    </w:rPr>
    <w:tblPr>
      <w:tblStyleRowBandSize w:val="1"/>
      <w:tblStyleColBandSize w:val="1"/>
      <w:tblCellMar>
        <w:top w:w="0" w:type="dxa"/>
        <w:left w:w="108" w:type="dxa"/>
        <w:bottom w:w="0" w:type="dxa"/>
        <w:right w:w="108" w:type="dxa"/>
      </w:tblCellMar>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DC4033"/>
    <w:rPr>
      <w:color w:val="000000"/>
      <w:sz w:val="20"/>
      <w:szCs w:val="20"/>
    </w:rPr>
    <w:tblPr>
      <w:tblStyleRowBandSize w:val="1"/>
      <w:tblStyleColBandSize w:val="1"/>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DC4033"/>
    <w:rPr>
      <w:color w:val="000000"/>
      <w:sz w:val="20"/>
      <w:szCs w:val="20"/>
    </w:rPr>
    <w:tblPr>
      <w:tblStyleRowBandSize w:val="1"/>
      <w:tblStyleColBandSize w:val="1"/>
      <w:tblCellMar>
        <w:top w:w="0" w:type="dxa"/>
        <w:left w:w="108" w:type="dxa"/>
        <w:bottom w:w="0" w:type="dxa"/>
        <w:right w:w="108" w:type="dxa"/>
      </w:tblCellMar>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DC4033"/>
    <w:rPr>
      <w:color w:val="000000"/>
      <w:sz w:val="20"/>
      <w:szCs w:val="20"/>
    </w:rPr>
    <w:tblPr>
      <w:tblStyleRowBandSize w:val="1"/>
      <w:tblStyleColBandSize w:val="1"/>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DC4033"/>
    <w:rPr>
      <w:color w:val="000000"/>
      <w:sz w:val="20"/>
      <w:szCs w:val="20"/>
    </w:rPr>
    <w:tblPr>
      <w:tblStyleRowBandSize w:val="1"/>
      <w:tblStyleColBandSize w:val="1"/>
      <w:tblCellMar>
        <w:top w:w="0" w:type="dxa"/>
        <w:left w:w="108" w:type="dxa"/>
        <w:bottom w:w="0" w:type="dxa"/>
        <w:right w:w="108" w:type="dxa"/>
      </w:tblCellMar>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DC4033"/>
    <w:rPr>
      <w:color w:val="000000"/>
      <w:sz w:val="20"/>
      <w:szCs w:val="2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DC4033"/>
    <w:rPr>
      <w:color w:val="000000"/>
      <w:sz w:val="20"/>
      <w:szCs w:val="2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DC4033"/>
    <w:rPr>
      <w:color w:val="000000"/>
      <w:sz w:val="20"/>
      <w:szCs w:val="2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DC4033"/>
    <w:rPr>
      <w:color w:val="000000"/>
      <w:sz w:val="20"/>
      <w:szCs w:val="2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DC4033"/>
    <w:rPr>
      <w:color w:val="000000"/>
      <w:sz w:val="20"/>
      <w:szCs w:val="2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DC4033"/>
    <w:rPr>
      <w:color w:val="000000"/>
      <w:sz w:val="20"/>
      <w:szCs w:val="2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DC4033"/>
    <w:rPr>
      <w:color w:val="000000"/>
      <w:sz w:val="20"/>
      <w:szCs w:val="2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basedOn w:val="DefaultParagraphFont"/>
    <w:uiPriority w:val="99"/>
    <w:semiHidden/>
    <w:rsid w:val="00DC4033"/>
    <w:rPr>
      <w:sz w:val="16"/>
      <w:szCs w:val="16"/>
    </w:rPr>
  </w:style>
  <w:style w:type="paragraph" w:styleId="CommentText">
    <w:name w:val="annotation text"/>
    <w:basedOn w:val="Normal"/>
    <w:link w:val="CommentTextChar"/>
    <w:uiPriority w:val="99"/>
    <w:semiHidden/>
    <w:rsid w:val="00DC4033"/>
    <w:rPr>
      <w:sz w:val="20"/>
      <w:szCs w:val="20"/>
      <w:lang w:val="pl-PL" w:eastAsia="pl-PL"/>
    </w:rPr>
  </w:style>
  <w:style w:type="character" w:customStyle="1" w:styleId="CommentTextChar">
    <w:name w:val="Comment Text Char"/>
    <w:basedOn w:val="DefaultParagraphFont"/>
    <w:link w:val="CommentText"/>
    <w:uiPriority w:val="99"/>
    <w:semiHidden/>
    <w:locked/>
    <w:rsid w:val="00DC4033"/>
    <w:rPr>
      <w:rFonts w:eastAsia="MS Mincho"/>
      <w:sz w:val="20"/>
      <w:szCs w:val="20"/>
    </w:rPr>
  </w:style>
  <w:style w:type="paragraph" w:styleId="CommentSubject">
    <w:name w:val="annotation subject"/>
    <w:basedOn w:val="CommentText"/>
    <w:next w:val="CommentText"/>
    <w:link w:val="CommentSubjectChar"/>
    <w:uiPriority w:val="99"/>
    <w:semiHidden/>
    <w:rsid w:val="00DC4033"/>
    <w:rPr>
      <w:b/>
      <w:bCs/>
    </w:rPr>
  </w:style>
  <w:style w:type="character" w:customStyle="1" w:styleId="CommentSubjectChar">
    <w:name w:val="Comment Subject Char"/>
    <w:basedOn w:val="CommentTextChar"/>
    <w:link w:val="CommentSubject"/>
    <w:uiPriority w:val="99"/>
    <w:semiHidden/>
    <w:locked/>
    <w:rsid w:val="00DC4033"/>
    <w:rPr>
      <w:b/>
      <w:bCs/>
    </w:rPr>
  </w:style>
  <w:style w:type="table" w:styleId="DarkList">
    <w:name w:val="Dark List"/>
    <w:basedOn w:val="TableNormal"/>
    <w:uiPriority w:val="99"/>
    <w:semiHidden/>
    <w:rsid w:val="00DC4033"/>
    <w:rPr>
      <w:color w:val="0072BC"/>
      <w:sz w:val="20"/>
      <w:szCs w:val="20"/>
    </w:rPr>
    <w:tblPr>
      <w:tblStyleRowBandSize w:val="1"/>
      <w:tblStyleColBandSize w:val="1"/>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DC4033"/>
    <w:rPr>
      <w:color w:val="0072BC"/>
      <w:sz w:val="20"/>
      <w:szCs w:val="20"/>
    </w:rPr>
    <w:tblPr>
      <w:tblStyleRowBandSize w:val="1"/>
      <w:tblStyleColBandSize w:val="1"/>
      <w:tblCellMar>
        <w:top w:w="0" w:type="dxa"/>
        <w:left w:w="108" w:type="dxa"/>
        <w:bottom w:w="0" w:type="dxa"/>
        <w:right w:w="108" w:type="dxa"/>
      </w:tblCellMar>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DC4033"/>
    <w:rPr>
      <w:color w:val="0072BC"/>
      <w:sz w:val="20"/>
      <w:szCs w:val="20"/>
    </w:rPr>
    <w:tblPr>
      <w:tblStyleRowBandSize w:val="1"/>
      <w:tblStyleColBandSize w:val="1"/>
      <w:tblCellMar>
        <w:top w:w="0" w:type="dxa"/>
        <w:left w:w="108" w:type="dxa"/>
        <w:bottom w:w="0" w:type="dxa"/>
        <w:right w:w="108" w:type="dxa"/>
      </w:tblCellMar>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DC4033"/>
    <w:rPr>
      <w:color w:val="0072BC"/>
      <w:sz w:val="20"/>
      <w:szCs w:val="20"/>
    </w:rPr>
    <w:tblPr>
      <w:tblStyleRowBandSize w:val="1"/>
      <w:tblStyleColBandSize w:val="1"/>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DC4033"/>
    <w:rPr>
      <w:color w:val="0072BC"/>
      <w:sz w:val="20"/>
      <w:szCs w:val="20"/>
    </w:rPr>
    <w:tblPr>
      <w:tblStyleRowBandSize w:val="1"/>
      <w:tblStyleColBandSize w:val="1"/>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DC4033"/>
    <w:rPr>
      <w:color w:val="0072BC"/>
      <w:sz w:val="20"/>
      <w:szCs w:val="20"/>
    </w:rPr>
    <w:tblPr>
      <w:tblStyleRowBandSize w:val="1"/>
      <w:tblStyleColBandSize w:val="1"/>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DC4033"/>
    <w:rPr>
      <w:color w:val="0072BC"/>
      <w:sz w:val="20"/>
      <w:szCs w:val="20"/>
    </w:rPr>
    <w:tblPr>
      <w:tblStyleRowBandSize w:val="1"/>
      <w:tblStyleColBandSize w:val="1"/>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DC4033"/>
    <w:rPr>
      <w:lang w:val="pl-PL" w:eastAsia="pl-PL"/>
    </w:rPr>
  </w:style>
  <w:style w:type="character" w:customStyle="1" w:styleId="DateChar">
    <w:name w:val="Date Char"/>
    <w:basedOn w:val="DefaultParagraphFont"/>
    <w:link w:val="Date"/>
    <w:uiPriority w:val="99"/>
    <w:semiHidden/>
    <w:locked/>
    <w:rsid w:val="00DC4033"/>
    <w:rPr>
      <w:rFonts w:eastAsia="MS Mincho"/>
      <w:sz w:val="24"/>
      <w:szCs w:val="24"/>
    </w:rPr>
  </w:style>
  <w:style w:type="paragraph" w:styleId="DocumentMap">
    <w:name w:val="Document Map"/>
    <w:basedOn w:val="Normal"/>
    <w:link w:val="DocumentMapChar"/>
    <w:uiPriority w:val="99"/>
    <w:semiHidden/>
    <w:rsid w:val="00DC4033"/>
    <w:rPr>
      <w:rFonts w:ascii="Tahoma" w:hAnsi="Tahoma" w:cs="Tahoma"/>
      <w:sz w:val="16"/>
      <w:szCs w:val="16"/>
      <w:lang w:val="pl-PL" w:eastAsia="pl-PL"/>
    </w:rPr>
  </w:style>
  <w:style w:type="character" w:customStyle="1" w:styleId="DocumentMapChar">
    <w:name w:val="Document Map Char"/>
    <w:basedOn w:val="DefaultParagraphFont"/>
    <w:link w:val="DocumentMap"/>
    <w:uiPriority w:val="99"/>
    <w:semiHidden/>
    <w:locked/>
    <w:rsid w:val="00DC4033"/>
    <w:rPr>
      <w:rFonts w:ascii="Tahoma" w:eastAsia="MS Mincho" w:hAnsi="Tahoma" w:cs="Tahoma"/>
      <w:sz w:val="16"/>
      <w:szCs w:val="16"/>
    </w:rPr>
  </w:style>
  <w:style w:type="paragraph" w:styleId="E-mailSignature">
    <w:name w:val="E-mail Signature"/>
    <w:basedOn w:val="Normal"/>
    <w:link w:val="E-mailSignatureChar"/>
    <w:uiPriority w:val="99"/>
    <w:semiHidden/>
    <w:rsid w:val="00DC4033"/>
    <w:rPr>
      <w:lang w:val="pl-PL" w:eastAsia="pl-PL"/>
    </w:rPr>
  </w:style>
  <w:style w:type="character" w:customStyle="1" w:styleId="E-mailSignatureChar">
    <w:name w:val="E-mail Signature Char"/>
    <w:basedOn w:val="DefaultParagraphFont"/>
    <w:link w:val="E-mailSignature"/>
    <w:uiPriority w:val="99"/>
    <w:semiHidden/>
    <w:locked/>
    <w:rsid w:val="00DC4033"/>
    <w:rPr>
      <w:rFonts w:eastAsia="MS Mincho"/>
      <w:sz w:val="24"/>
      <w:szCs w:val="24"/>
    </w:rPr>
  </w:style>
  <w:style w:type="character" w:styleId="EndnoteReference">
    <w:name w:val="endnote reference"/>
    <w:basedOn w:val="DefaultParagraphFont"/>
    <w:uiPriority w:val="99"/>
    <w:semiHidden/>
    <w:rsid w:val="00DC4033"/>
    <w:rPr>
      <w:vertAlign w:val="superscript"/>
    </w:rPr>
  </w:style>
  <w:style w:type="paragraph" w:styleId="EndnoteText">
    <w:name w:val="endnote text"/>
    <w:basedOn w:val="Normal"/>
    <w:link w:val="EndnoteTextChar"/>
    <w:uiPriority w:val="99"/>
    <w:semiHidden/>
    <w:rsid w:val="00DC4033"/>
    <w:rPr>
      <w:sz w:val="20"/>
      <w:szCs w:val="20"/>
      <w:lang w:val="pl-PL" w:eastAsia="pl-PL"/>
    </w:rPr>
  </w:style>
  <w:style w:type="character" w:customStyle="1" w:styleId="EndnoteTextChar">
    <w:name w:val="Endnote Text Char"/>
    <w:basedOn w:val="DefaultParagraphFont"/>
    <w:link w:val="EndnoteText"/>
    <w:uiPriority w:val="99"/>
    <w:semiHidden/>
    <w:locked/>
    <w:rsid w:val="00DC4033"/>
    <w:rPr>
      <w:rFonts w:eastAsia="MS Mincho"/>
      <w:sz w:val="20"/>
      <w:szCs w:val="20"/>
    </w:rPr>
  </w:style>
  <w:style w:type="paragraph" w:styleId="EnvelopeAddress">
    <w:name w:val="envelope address"/>
    <w:basedOn w:val="Normal"/>
    <w:uiPriority w:val="99"/>
    <w:semiHidden/>
    <w:rsid w:val="00DC4033"/>
    <w:pPr>
      <w:framePr w:w="7938" w:h="1985" w:hRule="exact" w:hSpace="141" w:wrap="auto" w:hAnchor="page" w:xAlign="center" w:yAlign="bottom"/>
      <w:ind w:left="2835"/>
    </w:pPr>
    <w:rPr>
      <w:rFonts w:eastAsia="MS Gothic"/>
    </w:rPr>
  </w:style>
  <w:style w:type="paragraph" w:styleId="EnvelopeReturn">
    <w:name w:val="envelope return"/>
    <w:basedOn w:val="Normal"/>
    <w:uiPriority w:val="99"/>
    <w:semiHidden/>
    <w:rsid w:val="00DC4033"/>
    <w:rPr>
      <w:rFonts w:eastAsia="MS Gothic"/>
      <w:sz w:val="20"/>
      <w:szCs w:val="20"/>
    </w:rPr>
  </w:style>
  <w:style w:type="character" w:styleId="FollowedHyperlink">
    <w:name w:val="FollowedHyperlink"/>
    <w:basedOn w:val="DefaultParagraphFont"/>
    <w:uiPriority w:val="99"/>
    <w:semiHidden/>
    <w:rsid w:val="00DC4033"/>
    <w:rPr>
      <w:color w:val="auto"/>
      <w:u w:val="single"/>
    </w:rPr>
  </w:style>
  <w:style w:type="character" w:styleId="HTMLAcronym">
    <w:name w:val="HTML Acronym"/>
    <w:basedOn w:val="DefaultParagraphFont"/>
    <w:uiPriority w:val="99"/>
    <w:semiHidden/>
    <w:rsid w:val="00DC4033"/>
  </w:style>
  <w:style w:type="paragraph" w:styleId="HTMLAddress">
    <w:name w:val="HTML Address"/>
    <w:basedOn w:val="Normal"/>
    <w:link w:val="HTMLAddressChar"/>
    <w:uiPriority w:val="99"/>
    <w:semiHidden/>
    <w:rsid w:val="00DC4033"/>
    <w:rPr>
      <w:i/>
      <w:iCs/>
      <w:lang w:val="pl-PL" w:eastAsia="pl-PL"/>
    </w:rPr>
  </w:style>
  <w:style w:type="character" w:customStyle="1" w:styleId="HTMLAddressChar">
    <w:name w:val="HTML Address Char"/>
    <w:basedOn w:val="DefaultParagraphFont"/>
    <w:link w:val="HTMLAddress"/>
    <w:uiPriority w:val="99"/>
    <w:semiHidden/>
    <w:locked/>
    <w:rsid w:val="00DC4033"/>
    <w:rPr>
      <w:rFonts w:eastAsia="MS Mincho"/>
      <w:i/>
      <w:iCs/>
      <w:sz w:val="24"/>
      <w:szCs w:val="24"/>
    </w:rPr>
  </w:style>
  <w:style w:type="character" w:styleId="HTMLCite">
    <w:name w:val="HTML Cite"/>
    <w:basedOn w:val="DefaultParagraphFont"/>
    <w:uiPriority w:val="99"/>
    <w:semiHidden/>
    <w:rsid w:val="00DC4033"/>
    <w:rPr>
      <w:i/>
      <w:iCs/>
    </w:rPr>
  </w:style>
  <w:style w:type="character" w:styleId="HTMLCode">
    <w:name w:val="HTML Code"/>
    <w:basedOn w:val="DefaultParagraphFont"/>
    <w:uiPriority w:val="99"/>
    <w:semiHidden/>
    <w:rsid w:val="00DC4033"/>
    <w:rPr>
      <w:rFonts w:ascii="Consolas" w:hAnsi="Consolas" w:cs="Consolas"/>
      <w:sz w:val="20"/>
      <w:szCs w:val="20"/>
    </w:rPr>
  </w:style>
  <w:style w:type="character" w:styleId="HTMLDefinition">
    <w:name w:val="HTML Definition"/>
    <w:basedOn w:val="DefaultParagraphFont"/>
    <w:uiPriority w:val="99"/>
    <w:semiHidden/>
    <w:rsid w:val="00DC4033"/>
    <w:rPr>
      <w:i/>
      <w:iCs/>
    </w:rPr>
  </w:style>
  <w:style w:type="character" w:styleId="HTMLKeyboard">
    <w:name w:val="HTML Keyboard"/>
    <w:basedOn w:val="DefaultParagraphFont"/>
    <w:uiPriority w:val="99"/>
    <w:semiHidden/>
    <w:rsid w:val="00DC4033"/>
    <w:rPr>
      <w:rFonts w:ascii="Consolas" w:hAnsi="Consolas" w:cs="Consolas"/>
      <w:sz w:val="20"/>
      <w:szCs w:val="20"/>
    </w:rPr>
  </w:style>
  <w:style w:type="paragraph" w:styleId="HTMLPreformatted">
    <w:name w:val="HTML Preformatted"/>
    <w:basedOn w:val="Normal"/>
    <w:link w:val="HTMLPreformattedChar"/>
    <w:uiPriority w:val="99"/>
    <w:semiHidden/>
    <w:rsid w:val="00DC4033"/>
    <w:rPr>
      <w:rFonts w:ascii="Consolas" w:hAnsi="Consolas" w:cs="Consolas"/>
      <w:sz w:val="20"/>
      <w:szCs w:val="20"/>
      <w:lang w:val="pl-PL" w:eastAsia="pl-PL"/>
    </w:rPr>
  </w:style>
  <w:style w:type="character" w:customStyle="1" w:styleId="HTMLPreformattedChar">
    <w:name w:val="HTML Preformatted Char"/>
    <w:basedOn w:val="DefaultParagraphFont"/>
    <w:link w:val="HTMLPreformatted"/>
    <w:uiPriority w:val="99"/>
    <w:semiHidden/>
    <w:locked/>
    <w:rsid w:val="00DC4033"/>
    <w:rPr>
      <w:rFonts w:ascii="Consolas" w:eastAsia="MS Mincho" w:hAnsi="Consolas" w:cs="Consolas"/>
      <w:sz w:val="20"/>
      <w:szCs w:val="20"/>
    </w:rPr>
  </w:style>
  <w:style w:type="character" w:styleId="HTMLSample">
    <w:name w:val="HTML Sample"/>
    <w:basedOn w:val="DefaultParagraphFont"/>
    <w:uiPriority w:val="99"/>
    <w:semiHidden/>
    <w:rsid w:val="00DC4033"/>
    <w:rPr>
      <w:rFonts w:ascii="Consolas" w:hAnsi="Consolas" w:cs="Consolas"/>
      <w:sz w:val="24"/>
      <w:szCs w:val="24"/>
    </w:rPr>
  </w:style>
  <w:style w:type="character" w:styleId="HTMLTypewriter">
    <w:name w:val="HTML Typewriter"/>
    <w:basedOn w:val="DefaultParagraphFont"/>
    <w:uiPriority w:val="99"/>
    <w:semiHidden/>
    <w:rsid w:val="00DC4033"/>
    <w:rPr>
      <w:rFonts w:ascii="Consolas" w:hAnsi="Consolas" w:cs="Consolas"/>
      <w:sz w:val="20"/>
      <w:szCs w:val="20"/>
    </w:rPr>
  </w:style>
  <w:style w:type="character" w:styleId="HTMLVariable">
    <w:name w:val="HTML Variable"/>
    <w:basedOn w:val="DefaultParagraphFont"/>
    <w:uiPriority w:val="99"/>
    <w:semiHidden/>
    <w:rsid w:val="00DC4033"/>
    <w:rPr>
      <w:i/>
      <w:iCs/>
    </w:rPr>
  </w:style>
  <w:style w:type="paragraph" w:styleId="Index1">
    <w:name w:val="index 1"/>
    <w:basedOn w:val="Normal"/>
    <w:next w:val="Normal"/>
    <w:autoRedefine/>
    <w:uiPriority w:val="99"/>
    <w:semiHidden/>
    <w:rsid w:val="00DC4033"/>
    <w:pPr>
      <w:ind w:left="240" w:hanging="240"/>
    </w:pPr>
  </w:style>
  <w:style w:type="paragraph" w:styleId="Index2">
    <w:name w:val="index 2"/>
    <w:basedOn w:val="Normal"/>
    <w:next w:val="Normal"/>
    <w:autoRedefine/>
    <w:uiPriority w:val="99"/>
    <w:semiHidden/>
    <w:rsid w:val="00DC4033"/>
    <w:pPr>
      <w:ind w:left="480" w:hanging="240"/>
    </w:pPr>
  </w:style>
  <w:style w:type="paragraph" w:styleId="Index3">
    <w:name w:val="index 3"/>
    <w:basedOn w:val="Normal"/>
    <w:next w:val="Normal"/>
    <w:autoRedefine/>
    <w:uiPriority w:val="99"/>
    <w:semiHidden/>
    <w:rsid w:val="00DC4033"/>
    <w:pPr>
      <w:ind w:left="720" w:hanging="240"/>
    </w:pPr>
  </w:style>
  <w:style w:type="paragraph" w:styleId="Index4">
    <w:name w:val="index 4"/>
    <w:basedOn w:val="Normal"/>
    <w:next w:val="Normal"/>
    <w:autoRedefine/>
    <w:uiPriority w:val="99"/>
    <w:semiHidden/>
    <w:rsid w:val="00DC4033"/>
    <w:pPr>
      <w:ind w:left="960" w:hanging="240"/>
    </w:pPr>
  </w:style>
  <w:style w:type="paragraph" w:styleId="Index5">
    <w:name w:val="index 5"/>
    <w:basedOn w:val="Normal"/>
    <w:next w:val="Normal"/>
    <w:autoRedefine/>
    <w:uiPriority w:val="99"/>
    <w:semiHidden/>
    <w:rsid w:val="00DC4033"/>
    <w:pPr>
      <w:ind w:left="1200" w:hanging="240"/>
    </w:pPr>
  </w:style>
  <w:style w:type="paragraph" w:styleId="Index6">
    <w:name w:val="index 6"/>
    <w:basedOn w:val="Normal"/>
    <w:next w:val="Normal"/>
    <w:autoRedefine/>
    <w:uiPriority w:val="99"/>
    <w:semiHidden/>
    <w:rsid w:val="00DC4033"/>
    <w:pPr>
      <w:ind w:left="1440" w:hanging="240"/>
    </w:pPr>
  </w:style>
  <w:style w:type="paragraph" w:styleId="Index7">
    <w:name w:val="index 7"/>
    <w:basedOn w:val="Normal"/>
    <w:next w:val="Normal"/>
    <w:autoRedefine/>
    <w:uiPriority w:val="99"/>
    <w:semiHidden/>
    <w:rsid w:val="00DC4033"/>
    <w:pPr>
      <w:ind w:left="1680" w:hanging="240"/>
    </w:pPr>
  </w:style>
  <w:style w:type="paragraph" w:styleId="Index8">
    <w:name w:val="index 8"/>
    <w:basedOn w:val="Normal"/>
    <w:next w:val="Normal"/>
    <w:autoRedefine/>
    <w:uiPriority w:val="99"/>
    <w:semiHidden/>
    <w:rsid w:val="00DC4033"/>
    <w:pPr>
      <w:ind w:left="1920" w:hanging="240"/>
    </w:pPr>
  </w:style>
  <w:style w:type="paragraph" w:styleId="Index9">
    <w:name w:val="index 9"/>
    <w:basedOn w:val="Normal"/>
    <w:next w:val="Normal"/>
    <w:autoRedefine/>
    <w:uiPriority w:val="99"/>
    <w:semiHidden/>
    <w:rsid w:val="00DC4033"/>
    <w:pPr>
      <w:ind w:left="2160" w:hanging="240"/>
    </w:pPr>
  </w:style>
  <w:style w:type="paragraph" w:styleId="IndexHeading">
    <w:name w:val="index heading"/>
    <w:basedOn w:val="Normal"/>
    <w:next w:val="Index1"/>
    <w:uiPriority w:val="99"/>
    <w:semiHidden/>
    <w:rsid w:val="00DC4033"/>
    <w:rPr>
      <w:rFonts w:eastAsia="MS Gothic"/>
      <w:b/>
      <w:bCs/>
    </w:rPr>
  </w:style>
  <w:style w:type="table" w:styleId="LightGrid">
    <w:name w:val="Light Grid"/>
    <w:basedOn w:val="TableNormal"/>
    <w:uiPriority w:val="99"/>
    <w:semiHidden/>
    <w:rsid w:val="00DC4033"/>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DC4033"/>
    <w:rPr>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DC4033"/>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DC4033"/>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DC4033"/>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DC4033"/>
    <w:rPr>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DC4033"/>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0072BC"/>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b/>
        <w:bCs/>
        <w:color w:val="0072BC"/>
      </w:rPr>
      <w:tblPr/>
      <w:tcPr>
        <w:shd w:val="clear" w:color="auto" w:fill="0072BC"/>
      </w:tcPr>
    </w:tblStylePr>
    <w:tblStylePr w:type="lastRow">
      <w:pPr>
        <w:spacing w:before="0" w:after="0"/>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DC4033"/>
    <w:rPr>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DC4033"/>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DC4033"/>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DC4033"/>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DC4033"/>
    <w:rPr>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DC4033"/>
    <w:rPr>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DC4033"/>
    <w:rPr>
      <w:color w:val="00548C"/>
      <w:sz w:val="20"/>
      <w:szCs w:val="20"/>
    </w:rPr>
    <w:tblPr>
      <w:tblStyleRowBandSize w:val="1"/>
      <w:tblStyleColBandSize w:val="1"/>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DC4033"/>
    <w:rPr>
      <w:color w:val="8F0000"/>
      <w:sz w:val="20"/>
      <w:szCs w:val="20"/>
    </w:rPr>
    <w:tblPr>
      <w:tblStyleRowBandSize w:val="1"/>
      <w:tblStyleColBandSize w:val="1"/>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DC4033"/>
    <w:rPr>
      <w:color w:val="474747"/>
      <w:sz w:val="20"/>
      <w:szCs w:val="20"/>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DC4033"/>
    <w:rPr>
      <w:color w:val="707070"/>
      <w:sz w:val="20"/>
      <w:szCs w:val="20"/>
    </w:rPr>
    <w:tblPr>
      <w:tblStyleRowBandSize w:val="1"/>
      <w:tblStyleColBandSize w:val="1"/>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DC4033"/>
    <w:rPr>
      <w:color w:val="474747"/>
      <w:sz w:val="20"/>
      <w:szCs w:val="20"/>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DC4033"/>
    <w:rPr>
      <w:color w:val="393939"/>
      <w:sz w:val="20"/>
      <w:szCs w:val="20"/>
    </w:rPr>
    <w:tblPr>
      <w:tblStyleRowBandSize w:val="1"/>
      <w:tblStyleColBandSize w:val="1"/>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DC4033"/>
  </w:style>
  <w:style w:type="paragraph" w:styleId="List">
    <w:name w:val="List"/>
    <w:basedOn w:val="Normal"/>
    <w:uiPriority w:val="99"/>
    <w:semiHidden/>
    <w:rsid w:val="00DC4033"/>
    <w:pPr>
      <w:ind w:left="283" w:hanging="283"/>
    </w:pPr>
  </w:style>
  <w:style w:type="paragraph" w:styleId="List2">
    <w:name w:val="List 2"/>
    <w:basedOn w:val="Normal"/>
    <w:uiPriority w:val="99"/>
    <w:semiHidden/>
    <w:rsid w:val="00DC4033"/>
    <w:pPr>
      <w:ind w:left="566" w:hanging="283"/>
    </w:pPr>
  </w:style>
  <w:style w:type="paragraph" w:styleId="List3">
    <w:name w:val="List 3"/>
    <w:basedOn w:val="Normal"/>
    <w:uiPriority w:val="99"/>
    <w:semiHidden/>
    <w:rsid w:val="00DC4033"/>
    <w:pPr>
      <w:ind w:left="849" w:hanging="283"/>
    </w:pPr>
  </w:style>
  <w:style w:type="paragraph" w:styleId="List4">
    <w:name w:val="List 4"/>
    <w:basedOn w:val="Normal"/>
    <w:uiPriority w:val="99"/>
    <w:semiHidden/>
    <w:rsid w:val="00DC4033"/>
    <w:pPr>
      <w:ind w:left="1132" w:hanging="283"/>
    </w:pPr>
  </w:style>
  <w:style w:type="paragraph" w:styleId="List5">
    <w:name w:val="List 5"/>
    <w:basedOn w:val="Normal"/>
    <w:uiPriority w:val="99"/>
    <w:semiHidden/>
    <w:rsid w:val="00DC4033"/>
    <w:pPr>
      <w:ind w:left="1415" w:hanging="283"/>
    </w:pPr>
  </w:style>
  <w:style w:type="paragraph" w:styleId="ListBullet2">
    <w:name w:val="List Bullet 2"/>
    <w:basedOn w:val="Normal"/>
    <w:uiPriority w:val="99"/>
    <w:semiHidden/>
    <w:rsid w:val="00DC4033"/>
    <w:pPr>
      <w:numPr>
        <w:numId w:val="1"/>
      </w:numPr>
      <w:tabs>
        <w:tab w:val="clear" w:pos="360"/>
        <w:tab w:val="num" w:pos="643"/>
      </w:tabs>
      <w:ind w:left="643"/>
    </w:pPr>
  </w:style>
  <w:style w:type="paragraph" w:styleId="ListBullet3">
    <w:name w:val="List Bullet 3"/>
    <w:basedOn w:val="Normal"/>
    <w:uiPriority w:val="99"/>
    <w:semiHidden/>
    <w:rsid w:val="00DC4033"/>
    <w:pPr>
      <w:numPr>
        <w:numId w:val="2"/>
      </w:numPr>
      <w:tabs>
        <w:tab w:val="clear" w:pos="643"/>
        <w:tab w:val="num" w:pos="926"/>
      </w:tabs>
      <w:ind w:left="926"/>
    </w:pPr>
  </w:style>
  <w:style w:type="paragraph" w:styleId="ListBullet4">
    <w:name w:val="List Bullet 4"/>
    <w:basedOn w:val="Normal"/>
    <w:uiPriority w:val="99"/>
    <w:semiHidden/>
    <w:rsid w:val="00DC4033"/>
    <w:pPr>
      <w:numPr>
        <w:numId w:val="3"/>
      </w:numPr>
      <w:tabs>
        <w:tab w:val="clear" w:pos="926"/>
        <w:tab w:val="num" w:pos="1209"/>
      </w:tabs>
      <w:ind w:left="1209"/>
    </w:pPr>
  </w:style>
  <w:style w:type="paragraph" w:styleId="ListBullet5">
    <w:name w:val="List Bullet 5"/>
    <w:basedOn w:val="Normal"/>
    <w:uiPriority w:val="99"/>
    <w:semiHidden/>
    <w:rsid w:val="00DC4033"/>
    <w:pPr>
      <w:numPr>
        <w:numId w:val="4"/>
      </w:numPr>
      <w:tabs>
        <w:tab w:val="clear" w:pos="1209"/>
        <w:tab w:val="num" w:pos="1492"/>
      </w:tabs>
      <w:ind w:left="1492"/>
    </w:pPr>
  </w:style>
  <w:style w:type="paragraph" w:styleId="ListContinue">
    <w:name w:val="List Continue"/>
    <w:basedOn w:val="Normal"/>
    <w:uiPriority w:val="99"/>
    <w:semiHidden/>
    <w:rsid w:val="00DC4033"/>
    <w:pPr>
      <w:spacing w:after="120"/>
      <w:ind w:left="283"/>
    </w:pPr>
  </w:style>
  <w:style w:type="paragraph" w:styleId="ListContinue2">
    <w:name w:val="List Continue 2"/>
    <w:basedOn w:val="Normal"/>
    <w:uiPriority w:val="99"/>
    <w:semiHidden/>
    <w:rsid w:val="00DC4033"/>
    <w:pPr>
      <w:spacing w:after="120"/>
      <w:ind w:left="566"/>
    </w:pPr>
  </w:style>
  <w:style w:type="paragraph" w:styleId="ListContinue3">
    <w:name w:val="List Continue 3"/>
    <w:basedOn w:val="Normal"/>
    <w:uiPriority w:val="99"/>
    <w:semiHidden/>
    <w:rsid w:val="00DC4033"/>
    <w:pPr>
      <w:spacing w:after="120"/>
      <w:ind w:left="849"/>
    </w:pPr>
  </w:style>
  <w:style w:type="paragraph" w:styleId="ListContinue4">
    <w:name w:val="List Continue 4"/>
    <w:basedOn w:val="Normal"/>
    <w:uiPriority w:val="99"/>
    <w:semiHidden/>
    <w:rsid w:val="00DC4033"/>
    <w:pPr>
      <w:spacing w:after="120"/>
      <w:ind w:left="1132"/>
    </w:pPr>
  </w:style>
  <w:style w:type="paragraph" w:styleId="ListContinue5">
    <w:name w:val="List Continue 5"/>
    <w:basedOn w:val="Normal"/>
    <w:uiPriority w:val="99"/>
    <w:semiHidden/>
    <w:rsid w:val="00DC4033"/>
    <w:pPr>
      <w:spacing w:after="120"/>
      <w:ind w:left="1415"/>
    </w:pPr>
  </w:style>
  <w:style w:type="paragraph" w:styleId="ListNumber">
    <w:name w:val="List Number"/>
    <w:basedOn w:val="Normal"/>
    <w:uiPriority w:val="99"/>
    <w:semiHidden/>
    <w:rsid w:val="00DC4033"/>
    <w:pPr>
      <w:numPr>
        <w:numId w:val="5"/>
      </w:numPr>
      <w:tabs>
        <w:tab w:val="clear" w:pos="1492"/>
        <w:tab w:val="num" w:pos="360"/>
      </w:tabs>
      <w:ind w:left="360"/>
    </w:pPr>
  </w:style>
  <w:style w:type="paragraph" w:styleId="ListNumber2">
    <w:name w:val="List Number 2"/>
    <w:basedOn w:val="Normal"/>
    <w:uiPriority w:val="99"/>
    <w:semiHidden/>
    <w:rsid w:val="00DC4033"/>
    <w:pPr>
      <w:numPr>
        <w:numId w:val="6"/>
      </w:numPr>
      <w:tabs>
        <w:tab w:val="clear" w:pos="360"/>
        <w:tab w:val="num" w:pos="643"/>
      </w:tabs>
      <w:ind w:left="643"/>
    </w:pPr>
  </w:style>
  <w:style w:type="paragraph" w:styleId="ListNumber3">
    <w:name w:val="List Number 3"/>
    <w:basedOn w:val="Normal"/>
    <w:uiPriority w:val="99"/>
    <w:semiHidden/>
    <w:rsid w:val="00DC4033"/>
    <w:pPr>
      <w:numPr>
        <w:numId w:val="7"/>
      </w:numPr>
      <w:tabs>
        <w:tab w:val="clear" w:pos="643"/>
        <w:tab w:val="num" w:pos="926"/>
      </w:tabs>
      <w:ind w:left="926"/>
    </w:pPr>
  </w:style>
  <w:style w:type="paragraph" w:styleId="ListNumber4">
    <w:name w:val="List Number 4"/>
    <w:basedOn w:val="Normal"/>
    <w:uiPriority w:val="99"/>
    <w:semiHidden/>
    <w:rsid w:val="00DC4033"/>
    <w:pPr>
      <w:numPr>
        <w:numId w:val="8"/>
      </w:numPr>
      <w:tabs>
        <w:tab w:val="clear" w:pos="926"/>
        <w:tab w:val="num" w:pos="1209"/>
      </w:tabs>
      <w:ind w:left="1209"/>
    </w:pPr>
  </w:style>
  <w:style w:type="paragraph" w:styleId="ListNumber5">
    <w:name w:val="List Number 5"/>
    <w:basedOn w:val="Normal"/>
    <w:uiPriority w:val="99"/>
    <w:semiHidden/>
    <w:rsid w:val="00DC4033"/>
    <w:pPr>
      <w:numPr>
        <w:numId w:val="9"/>
      </w:numPr>
      <w:tabs>
        <w:tab w:val="clear" w:pos="1209"/>
        <w:tab w:val="num" w:pos="1492"/>
      </w:tabs>
      <w:ind w:left="1492"/>
    </w:pPr>
  </w:style>
  <w:style w:type="paragraph" w:styleId="MacroText">
    <w:name w:val="macro"/>
    <w:link w:val="MacroTextChar"/>
    <w:uiPriority w:val="99"/>
    <w:semiHidden/>
    <w:rsid w:val="00DC4033"/>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sz w:val="20"/>
      <w:szCs w:val="20"/>
      <w:lang w:val="en-US" w:eastAsia="en-US"/>
    </w:rPr>
  </w:style>
  <w:style w:type="character" w:customStyle="1" w:styleId="MacroTextChar">
    <w:name w:val="Macro Text Char"/>
    <w:basedOn w:val="DefaultParagraphFont"/>
    <w:link w:val="MacroText"/>
    <w:uiPriority w:val="99"/>
    <w:semiHidden/>
    <w:locked/>
    <w:rsid w:val="00DC4033"/>
    <w:rPr>
      <w:rFonts w:ascii="Consolas" w:eastAsia="MS Mincho" w:hAnsi="Consolas" w:cs="Consolas"/>
      <w:lang w:val="en-US" w:eastAsia="en-US"/>
    </w:rPr>
  </w:style>
  <w:style w:type="table" w:styleId="MediumGrid1">
    <w:name w:val="Medium Grid 1"/>
    <w:basedOn w:val="TableNormal"/>
    <w:uiPriority w:val="99"/>
    <w:semiHidden/>
    <w:rsid w:val="00DC4033"/>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DC4033"/>
    <w:rPr>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DC4033"/>
    <w:rPr>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DC4033"/>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DC4033"/>
    <w:rPr>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DC4033"/>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DC4033"/>
    <w:rPr>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DC4033"/>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DC4033"/>
    <w:rPr>
      <w:rFonts w:eastAsia="MS Gothic"/>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DC4033"/>
    <w:rPr>
      <w:rFonts w:eastAsia="MS Gothic"/>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DC4033"/>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DC4033"/>
    <w:rPr>
      <w:rFonts w:eastAsia="MS Gothic"/>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DC4033"/>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DC4033"/>
    <w:rPr>
      <w:rFonts w:eastAsia="MS Gothic"/>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DC4033"/>
    <w:rPr>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DC4033"/>
    <w:rPr>
      <w:color w:val="000000"/>
      <w:sz w:val="20"/>
      <w:szCs w:val="20"/>
    </w:rPr>
    <w:tblPr>
      <w:tblStyleRowBandSize w:val="1"/>
      <w:tblStyleColBandSize w:val="1"/>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DC4033"/>
    <w:rPr>
      <w:color w:val="000000"/>
      <w:sz w:val="20"/>
      <w:szCs w:val="20"/>
    </w:rPr>
    <w:tblPr>
      <w:tblStyleRowBandSize w:val="1"/>
      <w:tblStyleColBandSize w:val="1"/>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DC4033"/>
    <w:rPr>
      <w:color w:val="000000"/>
      <w:sz w:val="20"/>
      <w:szCs w:val="20"/>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DC4033"/>
    <w:rPr>
      <w:color w:val="000000"/>
      <w:sz w:val="20"/>
      <w:szCs w:val="20"/>
    </w:rPr>
    <w:tblPr>
      <w:tblStyleRowBandSize w:val="1"/>
      <w:tblStyleColBandSize w:val="1"/>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DC4033"/>
    <w:rPr>
      <w:color w:val="000000"/>
      <w:sz w:val="20"/>
      <w:szCs w:val="20"/>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DC4033"/>
    <w:rPr>
      <w:color w:val="000000"/>
      <w:sz w:val="20"/>
      <w:szCs w:val="20"/>
    </w:rPr>
    <w:tblPr>
      <w:tblStyleRowBandSize w:val="1"/>
      <w:tblStyleColBandSize w:val="1"/>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DC4033"/>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DC4033"/>
    <w:rPr>
      <w:rFonts w:eastAsia="MS Gothic"/>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DC4033"/>
    <w:rPr>
      <w:rFonts w:eastAsia="MS Gothic"/>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DC4033"/>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DC4033"/>
    <w:rPr>
      <w:rFonts w:eastAsia="MS Gothic"/>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DC4033"/>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DC4033"/>
    <w:rPr>
      <w:rFonts w:eastAsia="MS Gothic"/>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DC4033"/>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DC4033"/>
    <w:rPr>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DC4033"/>
    <w:rPr>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DC4033"/>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DC4033"/>
    <w:rPr>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DC4033"/>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DC4033"/>
    <w:rPr>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DC4033"/>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DC4033"/>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DC4033"/>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DC4033"/>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DC4033"/>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DC4033"/>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DC4033"/>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DC4033"/>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lang w:val="pl-PL" w:eastAsia="pl-PL"/>
    </w:rPr>
  </w:style>
  <w:style w:type="character" w:customStyle="1" w:styleId="MessageHeaderChar">
    <w:name w:val="Message Header Char"/>
    <w:basedOn w:val="DefaultParagraphFont"/>
    <w:link w:val="MessageHeader"/>
    <w:uiPriority w:val="99"/>
    <w:semiHidden/>
    <w:locked/>
    <w:rsid w:val="00DC4033"/>
    <w:rPr>
      <w:rFonts w:ascii="Times New Roman" w:eastAsia="MS Gothic" w:hAnsi="Times New Roman" w:cs="Times New Roman"/>
      <w:sz w:val="24"/>
      <w:szCs w:val="24"/>
      <w:shd w:val="pct20" w:color="auto" w:fill="auto"/>
    </w:rPr>
  </w:style>
  <w:style w:type="paragraph" w:styleId="NormalWeb">
    <w:name w:val="Normal (Web)"/>
    <w:basedOn w:val="Normal"/>
    <w:uiPriority w:val="99"/>
    <w:semiHidden/>
    <w:rsid w:val="00DC4033"/>
  </w:style>
  <w:style w:type="paragraph" w:styleId="NormalIndent">
    <w:name w:val="Normal Indent"/>
    <w:basedOn w:val="Normal"/>
    <w:uiPriority w:val="99"/>
    <w:semiHidden/>
    <w:rsid w:val="00DC4033"/>
    <w:pPr>
      <w:ind w:left="720"/>
    </w:pPr>
  </w:style>
  <w:style w:type="paragraph" w:styleId="NoteHeading">
    <w:name w:val="Note Heading"/>
    <w:basedOn w:val="Normal"/>
    <w:next w:val="Normal"/>
    <w:link w:val="NoteHeadingChar"/>
    <w:uiPriority w:val="99"/>
    <w:semiHidden/>
    <w:rsid w:val="00DC4033"/>
    <w:rPr>
      <w:lang w:val="pl-PL" w:eastAsia="pl-PL"/>
    </w:rPr>
  </w:style>
  <w:style w:type="character" w:customStyle="1" w:styleId="NoteHeadingChar">
    <w:name w:val="Note Heading Char"/>
    <w:basedOn w:val="DefaultParagraphFont"/>
    <w:link w:val="NoteHeading"/>
    <w:uiPriority w:val="99"/>
    <w:semiHidden/>
    <w:locked/>
    <w:rsid w:val="00DC4033"/>
    <w:rPr>
      <w:rFonts w:eastAsia="MS Mincho"/>
      <w:sz w:val="24"/>
      <w:szCs w:val="24"/>
    </w:rPr>
  </w:style>
  <w:style w:type="character" w:styleId="PlaceholderText">
    <w:name w:val="Placeholder Text"/>
    <w:basedOn w:val="DefaultParagraphFont"/>
    <w:uiPriority w:val="99"/>
    <w:semiHidden/>
    <w:rsid w:val="0045649E"/>
    <w:rPr>
      <w:color w:val="auto"/>
      <w:shd w:val="clear" w:color="auto" w:fill="DFDFDF"/>
    </w:rPr>
  </w:style>
  <w:style w:type="paragraph" w:styleId="PlainText">
    <w:name w:val="Plain Text"/>
    <w:basedOn w:val="Normal"/>
    <w:link w:val="PlainTextChar"/>
    <w:uiPriority w:val="99"/>
    <w:semiHidden/>
    <w:rsid w:val="00DC4033"/>
    <w:rPr>
      <w:rFonts w:ascii="Consolas" w:hAnsi="Consolas" w:cs="Consolas"/>
      <w:sz w:val="21"/>
      <w:szCs w:val="21"/>
      <w:lang w:val="pl-PL" w:eastAsia="pl-PL"/>
    </w:rPr>
  </w:style>
  <w:style w:type="character" w:customStyle="1" w:styleId="PlainTextChar">
    <w:name w:val="Plain Text Char"/>
    <w:basedOn w:val="DefaultParagraphFont"/>
    <w:link w:val="PlainText"/>
    <w:uiPriority w:val="99"/>
    <w:semiHidden/>
    <w:locked/>
    <w:rsid w:val="00DC4033"/>
    <w:rPr>
      <w:rFonts w:ascii="Consolas" w:eastAsia="MS Mincho" w:hAnsi="Consolas" w:cs="Consolas"/>
      <w:sz w:val="21"/>
      <w:szCs w:val="21"/>
    </w:rPr>
  </w:style>
  <w:style w:type="paragraph" w:styleId="Salutation">
    <w:name w:val="Salutation"/>
    <w:basedOn w:val="Normal"/>
    <w:next w:val="Normal"/>
    <w:link w:val="SalutationChar"/>
    <w:uiPriority w:val="99"/>
    <w:semiHidden/>
    <w:rsid w:val="00DC4033"/>
    <w:rPr>
      <w:lang w:val="pl-PL" w:eastAsia="pl-PL"/>
    </w:rPr>
  </w:style>
  <w:style w:type="character" w:customStyle="1" w:styleId="SalutationChar">
    <w:name w:val="Salutation Char"/>
    <w:basedOn w:val="DefaultParagraphFont"/>
    <w:link w:val="Salutation"/>
    <w:uiPriority w:val="99"/>
    <w:semiHidden/>
    <w:locked/>
    <w:rsid w:val="00DC4033"/>
    <w:rPr>
      <w:rFonts w:eastAsia="MS Mincho"/>
      <w:sz w:val="24"/>
      <w:szCs w:val="24"/>
    </w:rPr>
  </w:style>
  <w:style w:type="paragraph" w:styleId="Signature">
    <w:name w:val="Signature"/>
    <w:basedOn w:val="Normal"/>
    <w:link w:val="SignatureChar"/>
    <w:uiPriority w:val="99"/>
    <w:semiHidden/>
    <w:rsid w:val="00DC4033"/>
    <w:pPr>
      <w:ind w:left="4252"/>
    </w:pPr>
    <w:rPr>
      <w:lang w:val="pl-PL" w:eastAsia="pl-PL"/>
    </w:rPr>
  </w:style>
  <w:style w:type="character" w:customStyle="1" w:styleId="SignatureChar">
    <w:name w:val="Signature Char"/>
    <w:basedOn w:val="DefaultParagraphFont"/>
    <w:link w:val="Signature"/>
    <w:uiPriority w:val="99"/>
    <w:semiHidden/>
    <w:locked/>
    <w:rsid w:val="00DC4033"/>
    <w:rPr>
      <w:rFonts w:eastAsia="MS Mincho"/>
      <w:sz w:val="24"/>
      <w:szCs w:val="24"/>
    </w:rPr>
  </w:style>
  <w:style w:type="table" w:styleId="Table3Deffects1">
    <w:name w:val="Table 3D effects 1"/>
    <w:basedOn w:val="TableNormal"/>
    <w:uiPriority w:val="99"/>
    <w:semiHidden/>
    <w:rsid w:val="00DC4033"/>
    <w:pPr>
      <w:jc w:val="both"/>
    </w:pPr>
    <w:rPr>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C4033"/>
    <w:pPr>
      <w:jc w:val="both"/>
    </w:pPr>
    <w:rPr>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C4033"/>
    <w:pPr>
      <w:jc w:val="both"/>
    </w:pPr>
    <w:rPr>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C4033"/>
    <w:pPr>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C4033"/>
    <w:pPr>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C4033"/>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C4033"/>
    <w:pPr>
      <w:jc w:val="both"/>
    </w:pPr>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C4033"/>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C4033"/>
    <w:pPr>
      <w:jc w:val="both"/>
    </w:pPr>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C4033"/>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C4033"/>
    <w:pPr>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C4033"/>
    <w:pPr>
      <w:jc w:val="both"/>
    </w:pPr>
    <w:rPr>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C4033"/>
    <w:pPr>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C4033"/>
    <w:pPr>
      <w:jc w:val="both"/>
    </w:pPr>
    <w:rPr>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DC4033"/>
    <w:pPr>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DC4033"/>
    <w:pPr>
      <w:jc w:val="both"/>
    </w:pPr>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C4033"/>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DC4033"/>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C4033"/>
    <w:pPr>
      <w:jc w:val="both"/>
    </w:pPr>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C4033"/>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C4033"/>
    <w:pPr>
      <w:jc w:val="both"/>
    </w:pPr>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C4033"/>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DC4033"/>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DC4033"/>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DC4033"/>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C4033"/>
    <w:pPr>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C4033"/>
    <w:pPr>
      <w:jc w:val="both"/>
    </w:pPr>
    <w:rPr>
      <w:sz w:val="20"/>
      <w:szCs w:val="20"/>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C4033"/>
    <w:pPr>
      <w:jc w:val="both"/>
    </w:pPr>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C4033"/>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C4033"/>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C4033"/>
    <w:pPr>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C4033"/>
    <w:pPr>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C4033"/>
    <w:pPr>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DC4033"/>
    <w:pPr>
      <w:ind w:left="240" w:hanging="240"/>
    </w:pPr>
  </w:style>
  <w:style w:type="paragraph" w:styleId="TableofFigures">
    <w:name w:val="table of figures"/>
    <w:basedOn w:val="Normal"/>
    <w:next w:val="Normal"/>
    <w:uiPriority w:val="99"/>
    <w:semiHidden/>
    <w:rsid w:val="00DC4033"/>
  </w:style>
  <w:style w:type="table" w:styleId="TableProfessional">
    <w:name w:val="Table Professional"/>
    <w:basedOn w:val="TableNormal"/>
    <w:uiPriority w:val="99"/>
    <w:semiHidden/>
    <w:rsid w:val="00DC4033"/>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C4033"/>
    <w:pPr>
      <w:jc w:val="both"/>
    </w:pPr>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C4033"/>
    <w:pPr>
      <w:jc w:val="both"/>
    </w:pPr>
    <w:rPr>
      <w:sz w:val="20"/>
      <w:szCs w:val="20"/>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C4033"/>
    <w:pPr>
      <w:jc w:val="both"/>
    </w:pPr>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C4033"/>
    <w:pPr>
      <w:jc w:val="both"/>
    </w:pPr>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C4033"/>
    <w:pPr>
      <w:jc w:val="both"/>
    </w:pPr>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C4033"/>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DC4033"/>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C4033"/>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C4033"/>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45649E"/>
    <w:pPr>
      <w:tabs>
        <w:tab w:val="right" w:leader="dot" w:pos="7371"/>
      </w:tabs>
      <w:spacing w:after="60" w:line="240" w:lineRule="exact"/>
      <w:ind w:left="2041" w:right="567" w:hanging="340"/>
    </w:pPr>
    <w:rPr>
      <w:sz w:val="20"/>
      <w:szCs w:val="20"/>
    </w:rPr>
  </w:style>
  <w:style w:type="paragraph" w:styleId="TOC7">
    <w:name w:val="toc 7"/>
    <w:basedOn w:val="Normal"/>
    <w:next w:val="Normal"/>
    <w:autoRedefine/>
    <w:uiPriority w:val="99"/>
    <w:semiHidden/>
    <w:rsid w:val="0045649E"/>
    <w:pPr>
      <w:tabs>
        <w:tab w:val="right" w:leader="dot" w:pos="7371"/>
      </w:tabs>
      <w:spacing w:after="60" w:line="240" w:lineRule="exact"/>
      <w:ind w:left="2381" w:right="567" w:hanging="340"/>
    </w:pPr>
    <w:rPr>
      <w:sz w:val="20"/>
      <w:szCs w:val="20"/>
    </w:rPr>
  </w:style>
  <w:style w:type="paragraph" w:styleId="TOC8">
    <w:name w:val="toc 8"/>
    <w:basedOn w:val="Normal"/>
    <w:next w:val="Normal"/>
    <w:autoRedefine/>
    <w:uiPriority w:val="99"/>
    <w:semiHidden/>
    <w:rsid w:val="00DC4033"/>
    <w:pPr>
      <w:spacing w:after="100"/>
      <w:ind w:left="1680"/>
    </w:pPr>
  </w:style>
  <w:style w:type="paragraph" w:styleId="TOC9">
    <w:name w:val="toc 9"/>
    <w:basedOn w:val="Normal"/>
    <w:next w:val="Normal"/>
    <w:autoRedefine/>
    <w:uiPriority w:val="99"/>
    <w:semiHidden/>
    <w:rsid w:val="00DC4033"/>
    <w:pPr>
      <w:spacing w:after="100"/>
      <w:ind w:left="1920"/>
    </w:pPr>
  </w:style>
  <w:style w:type="paragraph" w:customStyle="1" w:styleId="OpiH1">
    <w:name w:val="Opi_H_1"/>
    <w:basedOn w:val="ECHRHeading2"/>
    <w:uiPriority w:val="99"/>
    <w:rsid w:val="007C6A77"/>
    <w:pPr>
      <w:ind w:left="635" w:hanging="357"/>
      <w:outlineLvl w:val="2"/>
    </w:pPr>
  </w:style>
  <w:style w:type="paragraph" w:customStyle="1" w:styleId="OpiHa0">
    <w:name w:val="Opi_H_a"/>
    <w:basedOn w:val="ECHRHeading3"/>
    <w:uiPriority w:val="99"/>
    <w:rsid w:val="007C6A77"/>
    <w:pPr>
      <w:ind w:left="833" w:hanging="357"/>
      <w:outlineLvl w:val="3"/>
    </w:pPr>
    <w:rPr>
      <w:b/>
      <w:bCs/>
      <w:i w:val="0"/>
      <w:iCs w:val="0"/>
      <w:sz w:val="20"/>
      <w:szCs w:val="20"/>
    </w:rPr>
  </w:style>
  <w:style w:type="paragraph" w:customStyle="1" w:styleId="ECHRFooter">
    <w:name w:val="ECHR_Footer"/>
    <w:aliases w:val="Footer_ECHR"/>
    <w:basedOn w:val="Footer"/>
    <w:uiPriority w:val="99"/>
    <w:semiHidden/>
    <w:rsid w:val="0045649E"/>
    <w:pPr>
      <w:jc w:val="left"/>
    </w:pPr>
    <w:rPr>
      <w:sz w:val="8"/>
      <w:szCs w:val="8"/>
    </w:rPr>
  </w:style>
  <w:style w:type="paragraph" w:customStyle="1" w:styleId="ECHRFooterLine">
    <w:name w:val="ECHR_Footer_Line"/>
    <w:aliases w:val="Footer_Line"/>
    <w:basedOn w:val="Normal"/>
    <w:next w:val="ECHRFooter"/>
    <w:uiPriority w:val="99"/>
    <w:semiHidden/>
    <w:rsid w:val="0045649E"/>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99"/>
    <w:rsid w:val="007C6A77"/>
    <w:pPr>
      <w:spacing w:after="240"/>
      <w:jc w:val="center"/>
      <w:outlineLvl w:val="0"/>
    </w:pPr>
    <w:rPr>
      <w:lang w:val="en-GB"/>
    </w:rPr>
  </w:style>
  <w:style w:type="paragraph" w:customStyle="1" w:styleId="OpiHi">
    <w:name w:val="Opi_H_i"/>
    <w:basedOn w:val="ECHRHeading4"/>
    <w:uiPriority w:val="99"/>
    <w:rsid w:val="007C6A77"/>
    <w:pPr>
      <w:ind w:left="1037" w:hanging="357"/>
      <w:outlineLvl w:val="4"/>
    </w:pPr>
    <w:rPr>
      <w:b w:val="0"/>
      <w:bCs w:val="0"/>
      <w:i/>
      <w:iCs/>
    </w:rPr>
  </w:style>
  <w:style w:type="paragraph" w:customStyle="1" w:styleId="JuHeaderLandscape">
    <w:name w:val="Ju_Header_Landscape"/>
    <w:basedOn w:val="ECHRHeader"/>
    <w:uiPriority w:val="99"/>
    <w:rsid w:val="007C6A77"/>
    <w:pPr>
      <w:tabs>
        <w:tab w:val="clear" w:pos="3686"/>
        <w:tab w:val="clear" w:pos="7371"/>
        <w:tab w:val="center" w:pos="6146"/>
        <w:tab w:val="right" w:pos="12293"/>
      </w:tabs>
    </w:pPr>
  </w:style>
  <w:style w:type="paragraph" w:customStyle="1" w:styleId="DummyStyle">
    <w:name w:val="Dummy_Style"/>
    <w:basedOn w:val="Normal"/>
    <w:uiPriority w:val="99"/>
    <w:semiHidden/>
    <w:rsid w:val="007C6A77"/>
    <w:rPr>
      <w:color w:val="00B050"/>
      <w:lang w:val="en-GB"/>
    </w:rPr>
  </w:style>
  <w:style w:type="paragraph" w:styleId="Revision">
    <w:name w:val="Revision"/>
    <w:hidden/>
    <w:uiPriority w:val="99"/>
    <w:semiHidden/>
    <w:rsid w:val="00F25813"/>
    <w:rPr>
      <w:rFonts w:eastAsia="MS Mincho"/>
      <w:sz w:val="24"/>
      <w:szCs w:val="24"/>
      <w:lang w:val="en-US" w:eastAsia="en-US"/>
    </w:rPr>
  </w:style>
  <w:style w:type="character" w:customStyle="1" w:styleId="JuNames0">
    <w:name w:val="Ju_Names"/>
    <w:uiPriority w:val="99"/>
    <w:rsid w:val="00F25813"/>
    <w:rPr>
      <w:smallCaps/>
    </w:rPr>
  </w:style>
  <w:style w:type="character" w:customStyle="1" w:styleId="ECHRParaChar">
    <w:name w:val="ECHR_Para Char"/>
    <w:aliases w:val="Ju_Para Char"/>
    <w:link w:val="ECHRPara"/>
    <w:uiPriority w:val="99"/>
    <w:locked/>
    <w:rsid w:val="00F25813"/>
    <w:rPr>
      <w:rFonts w:eastAsia="MS Mincho"/>
      <w:sz w:val="24"/>
      <w:szCs w:val="24"/>
      <w:lang w:val="en-GB"/>
    </w:rPr>
  </w:style>
  <w:style w:type="character" w:customStyle="1" w:styleId="JuQuotChar">
    <w:name w:val="Ju_Quot Char"/>
    <w:link w:val="ECHRParaQuote"/>
    <w:uiPriority w:val="99"/>
    <w:locked/>
    <w:rsid w:val="00A936F2"/>
    <w:rPr>
      <w:rFonts w:eastAsia="MS Mincho"/>
      <w:sz w:val="20"/>
      <w:szCs w:val="20"/>
      <w:lang w:val="en-GB"/>
    </w:rPr>
  </w:style>
  <w:style w:type="character" w:customStyle="1" w:styleId="JuParaCar">
    <w:name w:val="Ju_Para Car"/>
    <w:uiPriority w:val="99"/>
    <w:rsid w:val="00F25813"/>
    <w:rPr>
      <w:rFonts w:eastAsia="MS Mincho"/>
      <w:sz w:val="24"/>
      <w:szCs w:val="24"/>
    </w:rPr>
  </w:style>
  <w:style w:type="character" w:customStyle="1" w:styleId="normal10">
    <w:name w:val="normal10"/>
    <w:basedOn w:val="DefaultParagraphFont"/>
    <w:uiPriority w:val="99"/>
    <w:rsid w:val="00F25813"/>
  </w:style>
  <w:style w:type="paragraph" w:customStyle="1" w:styleId="ClinContent">
    <w:name w:val="ClinContent"/>
    <w:basedOn w:val="Normal"/>
    <w:uiPriority w:val="99"/>
    <w:rsid w:val="007C61B3"/>
    <w:pPr>
      <w:spacing w:before="240"/>
    </w:pPr>
    <w:rPr>
      <w:rFonts w:ascii="Verdana" w:eastAsia="Times New Roman" w:hAnsi="Verdana" w:cs="Verdana"/>
      <w:sz w:val="20"/>
      <w:szCs w:val="20"/>
      <w:lang w:val="en-GB" w:eastAsia="en-GB"/>
    </w:rPr>
  </w:style>
  <w:style w:type="paragraph" w:customStyle="1" w:styleId="s50c0b1c7">
    <w:name w:val="s50c0b1c7"/>
    <w:basedOn w:val="Normal"/>
    <w:uiPriority w:val="99"/>
    <w:rsid w:val="007C61B3"/>
    <w:pPr>
      <w:spacing w:before="100" w:beforeAutospacing="1" w:after="100" w:afterAutospacing="1"/>
      <w:jc w:val="left"/>
    </w:pPr>
    <w:rPr>
      <w:rFonts w:eastAsia="Times New Roman"/>
      <w:lang w:val="en-GB" w:eastAsia="en-GB"/>
    </w:rPr>
  </w:style>
  <w:style w:type="character" w:customStyle="1" w:styleId="s3aeeab2">
    <w:name w:val="s3aeeab2"/>
    <w:basedOn w:val="DefaultParagraphFont"/>
    <w:uiPriority w:val="99"/>
    <w:rsid w:val="007C61B3"/>
  </w:style>
  <w:style w:type="character" w:customStyle="1" w:styleId="sfbbfee58">
    <w:name w:val="sfbbfee58"/>
    <w:basedOn w:val="DefaultParagraphFont"/>
    <w:uiPriority w:val="99"/>
    <w:rsid w:val="007C61B3"/>
  </w:style>
  <w:style w:type="character" w:customStyle="1" w:styleId="s4f807e54">
    <w:name w:val="s4f807e54"/>
    <w:uiPriority w:val="99"/>
    <w:rsid w:val="0014054A"/>
  </w:style>
  <w:style w:type="numbering" w:styleId="ArticleSection">
    <w:name w:val="Outline List 3"/>
    <w:basedOn w:val="NoList"/>
    <w:uiPriority w:val="99"/>
    <w:semiHidden/>
    <w:unhideWhenUsed/>
    <w:locked/>
    <w:rsid w:val="00585BED"/>
    <w:pPr>
      <w:numPr>
        <w:numId w:val="23"/>
      </w:numPr>
    </w:pPr>
  </w:style>
  <w:style w:type="numbering" w:styleId="1ai">
    <w:name w:val="Outline List 1"/>
    <w:basedOn w:val="NoList"/>
    <w:uiPriority w:val="99"/>
    <w:semiHidden/>
    <w:unhideWhenUsed/>
    <w:locked/>
    <w:rsid w:val="00585BED"/>
    <w:pPr>
      <w:numPr>
        <w:numId w:val="22"/>
      </w:numPr>
    </w:pPr>
  </w:style>
  <w:style w:type="numbering" w:styleId="111111">
    <w:name w:val="Outline List 2"/>
    <w:basedOn w:val="NoList"/>
    <w:uiPriority w:val="99"/>
    <w:semiHidden/>
    <w:unhideWhenUsed/>
    <w:locked/>
    <w:rsid w:val="00585BED"/>
    <w:pPr>
      <w:numPr>
        <w:numId w:val="21"/>
      </w:numPr>
    </w:pPr>
  </w:style>
</w:styles>
</file>

<file path=word/webSettings.xml><?xml version="1.0" encoding="utf-8"?>
<w:webSettings xmlns:r="http://schemas.openxmlformats.org/officeDocument/2006/relationships" xmlns:w="http://schemas.openxmlformats.org/wordprocessingml/2006/main">
  <w:divs>
    <w:div w:id="1313951637">
      <w:marLeft w:val="0"/>
      <w:marRight w:val="0"/>
      <w:marTop w:val="0"/>
      <w:marBottom w:val="0"/>
      <w:divBdr>
        <w:top w:val="none" w:sz="0" w:space="0" w:color="auto"/>
        <w:left w:val="none" w:sz="0" w:space="0" w:color="auto"/>
        <w:bottom w:val="none" w:sz="0" w:space="0" w:color="auto"/>
        <w:right w:val="none" w:sz="0" w:space="0" w:color="auto"/>
      </w:divBdr>
    </w:div>
    <w:div w:id="1313951638">
      <w:marLeft w:val="0"/>
      <w:marRight w:val="0"/>
      <w:marTop w:val="0"/>
      <w:marBottom w:val="0"/>
      <w:divBdr>
        <w:top w:val="none" w:sz="0" w:space="0" w:color="auto"/>
        <w:left w:val="none" w:sz="0" w:space="0" w:color="auto"/>
        <w:bottom w:val="none" w:sz="0" w:space="0" w:color="auto"/>
        <w:right w:val="none" w:sz="0" w:space="0" w:color="auto"/>
      </w:divBdr>
    </w:div>
    <w:div w:id="1313951639">
      <w:marLeft w:val="0"/>
      <w:marRight w:val="0"/>
      <w:marTop w:val="0"/>
      <w:marBottom w:val="0"/>
      <w:divBdr>
        <w:top w:val="none" w:sz="0" w:space="0" w:color="auto"/>
        <w:left w:val="none" w:sz="0" w:space="0" w:color="auto"/>
        <w:bottom w:val="none" w:sz="0" w:space="0" w:color="auto"/>
        <w:right w:val="none" w:sz="0" w:space="0" w:color="auto"/>
      </w:divBdr>
    </w:div>
    <w:div w:id="1313951640">
      <w:marLeft w:val="0"/>
      <w:marRight w:val="0"/>
      <w:marTop w:val="0"/>
      <w:marBottom w:val="0"/>
      <w:divBdr>
        <w:top w:val="none" w:sz="0" w:space="0" w:color="auto"/>
        <w:left w:val="none" w:sz="0" w:space="0" w:color="auto"/>
        <w:bottom w:val="none" w:sz="0" w:space="0" w:color="auto"/>
        <w:right w:val="none" w:sz="0" w:space="0" w:color="auto"/>
      </w:divBdr>
    </w:div>
    <w:div w:id="1313951641">
      <w:marLeft w:val="0"/>
      <w:marRight w:val="0"/>
      <w:marTop w:val="0"/>
      <w:marBottom w:val="0"/>
      <w:divBdr>
        <w:top w:val="none" w:sz="0" w:space="0" w:color="auto"/>
        <w:left w:val="none" w:sz="0" w:space="0" w:color="auto"/>
        <w:bottom w:val="none" w:sz="0" w:space="0" w:color="auto"/>
        <w:right w:val="none" w:sz="0" w:space="0" w:color="auto"/>
      </w:divBdr>
    </w:div>
    <w:div w:id="1313951642">
      <w:marLeft w:val="0"/>
      <w:marRight w:val="0"/>
      <w:marTop w:val="0"/>
      <w:marBottom w:val="0"/>
      <w:divBdr>
        <w:top w:val="none" w:sz="0" w:space="0" w:color="auto"/>
        <w:left w:val="none" w:sz="0" w:space="0" w:color="auto"/>
        <w:bottom w:val="none" w:sz="0" w:space="0" w:color="auto"/>
        <w:right w:val="none" w:sz="0" w:space="0" w:color="auto"/>
      </w:divBdr>
      <w:divsChild>
        <w:div w:id="1313951636">
          <w:marLeft w:val="0"/>
          <w:marRight w:val="0"/>
          <w:marTop w:val="0"/>
          <w:marBottom w:val="0"/>
          <w:divBdr>
            <w:top w:val="none" w:sz="0" w:space="0" w:color="auto"/>
            <w:left w:val="none" w:sz="0" w:space="0" w:color="auto"/>
            <w:bottom w:val="none" w:sz="0" w:space="0" w:color="auto"/>
            <w:right w:val="none" w:sz="0" w:space="0" w:color="auto"/>
          </w:divBdr>
        </w:div>
      </w:divsChild>
    </w:div>
    <w:div w:id="1313951643">
      <w:marLeft w:val="0"/>
      <w:marRight w:val="0"/>
      <w:marTop w:val="0"/>
      <w:marBottom w:val="0"/>
      <w:divBdr>
        <w:top w:val="none" w:sz="0" w:space="0" w:color="auto"/>
        <w:left w:val="none" w:sz="0" w:space="0" w:color="auto"/>
        <w:bottom w:val="none" w:sz="0" w:space="0" w:color="auto"/>
        <w:right w:val="none" w:sz="0" w:space="0" w:color="auto"/>
      </w:divBdr>
    </w:div>
    <w:div w:id="1313951644">
      <w:marLeft w:val="0"/>
      <w:marRight w:val="0"/>
      <w:marTop w:val="0"/>
      <w:marBottom w:val="0"/>
      <w:divBdr>
        <w:top w:val="none" w:sz="0" w:space="0" w:color="auto"/>
        <w:left w:val="none" w:sz="0" w:space="0" w:color="auto"/>
        <w:bottom w:val="none" w:sz="0" w:space="0" w:color="auto"/>
        <w:right w:val="none" w:sz="0" w:space="0" w:color="auto"/>
      </w:divBdr>
    </w:div>
    <w:div w:id="1313951645">
      <w:marLeft w:val="0"/>
      <w:marRight w:val="0"/>
      <w:marTop w:val="0"/>
      <w:marBottom w:val="0"/>
      <w:divBdr>
        <w:top w:val="none" w:sz="0" w:space="0" w:color="auto"/>
        <w:left w:val="none" w:sz="0" w:space="0" w:color="auto"/>
        <w:bottom w:val="none" w:sz="0" w:space="0" w:color="auto"/>
        <w:right w:val="none" w:sz="0" w:space="0" w:color="auto"/>
      </w:divBdr>
    </w:div>
    <w:div w:id="1313951647">
      <w:marLeft w:val="0"/>
      <w:marRight w:val="0"/>
      <w:marTop w:val="0"/>
      <w:marBottom w:val="0"/>
      <w:divBdr>
        <w:top w:val="none" w:sz="0" w:space="0" w:color="auto"/>
        <w:left w:val="none" w:sz="0" w:space="0" w:color="auto"/>
        <w:bottom w:val="none" w:sz="0" w:space="0" w:color="auto"/>
        <w:right w:val="none" w:sz="0" w:space="0" w:color="auto"/>
      </w:divBdr>
    </w:div>
    <w:div w:id="1313951648">
      <w:marLeft w:val="0"/>
      <w:marRight w:val="0"/>
      <w:marTop w:val="0"/>
      <w:marBottom w:val="0"/>
      <w:divBdr>
        <w:top w:val="none" w:sz="0" w:space="0" w:color="auto"/>
        <w:left w:val="none" w:sz="0" w:space="0" w:color="auto"/>
        <w:bottom w:val="none" w:sz="0" w:space="0" w:color="auto"/>
        <w:right w:val="none" w:sz="0" w:space="0" w:color="auto"/>
      </w:divBdr>
      <w:divsChild>
        <w:div w:id="1313951649">
          <w:marLeft w:val="0"/>
          <w:marRight w:val="0"/>
          <w:marTop w:val="0"/>
          <w:marBottom w:val="0"/>
          <w:divBdr>
            <w:top w:val="none" w:sz="0" w:space="0" w:color="auto"/>
            <w:left w:val="none" w:sz="0" w:space="0" w:color="auto"/>
            <w:bottom w:val="none" w:sz="0" w:space="0" w:color="auto"/>
            <w:right w:val="none" w:sz="0" w:space="0" w:color="auto"/>
          </w:divBdr>
        </w:div>
      </w:divsChild>
    </w:div>
    <w:div w:id="1313951650">
      <w:marLeft w:val="0"/>
      <w:marRight w:val="0"/>
      <w:marTop w:val="0"/>
      <w:marBottom w:val="0"/>
      <w:divBdr>
        <w:top w:val="none" w:sz="0" w:space="0" w:color="auto"/>
        <w:left w:val="none" w:sz="0" w:space="0" w:color="auto"/>
        <w:bottom w:val="none" w:sz="0" w:space="0" w:color="auto"/>
        <w:right w:val="none" w:sz="0" w:space="0" w:color="auto"/>
      </w:divBdr>
      <w:divsChild>
        <w:div w:id="1313951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hudoc.echr.coe.int/eng?i=002-11446" TargetMode="Externa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49</Pages>
  <Words>17642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2021-01-20T15:16:00Z</dcterms:created>
  <dcterms:modified xsi:type="dcterms:W3CDTF">2021-04-30T14:44:00Z</dcterms:modified>
</cp:coreProperties>
</file>