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15" w:rsidRPr="001823B5" w:rsidRDefault="00245C15" w:rsidP="00E31CB0">
      <w:pPr>
        <w:jc w:val="center"/>
      </w:pPr>
      <w:r w:rsidRPr="0014054A">
        <w:rPr>
          <w:rStyle w:val="s4f807e54"/>
          <w:rFonts w:ascii="Arial" w:hAnsi="Arial" w:cs="Arial"/>
          <w:sz w:val="18"/>
          <w:szCs w:val="18"/>
        </w:rPr>
        <w:t>© Copyright for the Polish translation by Naczelny Sąd Administracyjny, Warszawa 202</w:t>
      </w:r>
      <w:r>
        <w:rPr>
          <w:rStyle w:val="s4f807e54"/>
          <w:rFonts w:ascii="Arial" w:hAnsi="Arial" w:cs="Arial"/>
          <w:sz w:val="18"/>
          <w:szCs w:val="18"/>
        </w:rPr>
        <w:t>1</w:t>
      </w:r>
    </w:p>
    <w:p w:rsidR="00245C15" w:rsidRPr="001823B5" w:rsidRDefault="00245C15" w:rsidP="001823B5">
      <w:pPr>
        <w:jc w:val="center"/>
      </w:pPr>
    </w:p>
    <w:p w:rsidR="00245C15" w:rsidRPr="001823B5" w:rsidRDefault="00245C15" w:rsidP="001823B5">
      <w:pPr>
        <w:jc w:val="center"/>
      </w:pPr>
    </w:p>
    <w:p w:rsidR="00245C15" w:rsidRDefault="00245C15" w:rsidP="001823B5">
      <w:pPr>
        <w:jc w:val="center"/>
      </w:pPr>
      <w:r>
        <w:t>EUROPEJSKI TRYBUNAŁ PRAW CZŁOWIEKA</w:t>
      </w:r>
    </w:p>
    <w:p w:rsidR="00245C15" w:rsidRPr="001823B5" w:rsidRDefault="00245C15" w:rsidP="001823B5">
      <w:pPr>
        <w:jc w:val="center"/>
      </w:pPr>
      <w:r>
        <w:t>PIERWSZA SEKCJA</w:t>
      </w: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rPr>
          <w:b/>
          <w:bCs/>
        </w:rPr>
      </w:pPr>
      <w:bookmarkStart w:id="0" w:name="To"/>
      <w:r>
        <w:rPr>
          <w:b/>
          <w:bCs/>
        </w:rPr>
        <w:t xml:space="preserve">SPRAWA </w:t>
      </w:r>
      <w:bookmarkEnd w:id="0"/>
      <w:r>
        <w:rPr>
          <w:b/>
          <w:bCs/>
        </w:rPr>
        <w:t>CATT przeciwko ZJEDNOCZONEMU KRÓLESTWU</w:t>
      </w:r>
    </w:p>
    <w:p w:rsidR="00245C15" w:rsidRPr="001823B5" w:rsidRDefault="00245C15" w:rsidP="001823B5">
      <w:pPr>
        <w:jc w:val="center"/>
      </w:pPr>
    </w:p>
    <w:p w:rsidR="00245C15" w:rsidRPr="001823B5" w:rsidRDefault="00245C15" w:rsidP="001823B5">
      <w:pPr>
        <w:jc w:val="center"/>
        <w:rPr>
          <w:i/>
          <w:iCs/>
        </w:rPr>
      </w:pPr>
      <w:r>
        <w:rPr>
          <w:i/>
          <w:iCs/>
        </w:rPr>
        <w:t>(Skarga nr 43514/15)</w:t>
      </w: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r>
        <w:t>WYROK</w:t>
      </w: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p>
    <w:p w:rsidR="00245C15" w:rsidRPr="001823B5" w:rsidRDefault="00245C15" w:rsidP="001823B5">
      <w:pPr>
        <w:jc w:val="center"/>
      </w:pPr>
      <w:r>
        <w:t>STRASBURG</w:t>
      </w:r>
    </w:p>
    <w:p w:rsidR="00245C15" w:rsidRPr="001823B5" w:rsidRDefault="00245C15" w:rsidP="001823B5">
      <w:pPr>
        <w:jc w:val="center"/>
      </w:pPr>
    </w:p>
    <w:p w:rsidR="00245C15" w:rsidRPr="001823B5" w:rsidRDefault="00245C15" w:rsidP="001823B5">
      <w:pPr>
        <w:jc w:val="center"/>
      </w:pPr>
      <w:r>
        <w:t>24 stycznia 2019</w:t>
      </w:r>
      <w:r w:rsidR="00D87A64">
        <w:t xml:space="preserve"> r.</w:t>
      </w:r>
    </w:p>
    <w:p w:rsidR="00245C15" w:rsidRDefault="00245C15" w:rsidP="001823B5">
      <w:pPr>
        <w:jc w:val="center"/>
      </w:pPr>
    </w:p>
    <w:p w:rsidR="00245C15" w:rsidRPr="001823B5" w:rsidRDefault="00245C15" w:rsidP="001823B5">
      <w:pPr>
        <w:jc w:val="center"/>
      </w:pPr>
    </w:p>
    <w:p w:rsidR="00245C15" w:rsidRDefault="00245C15" w:rsidP="00445EBE">
      <w:pPr>
        <w:pStyle w:val="jucase0"/>
        <w:ind w:firstLine="0"/>
        <w:jc w:val="center"/>
        <w:rPr>
          <w:color w:val="FF0000"/>
          <w:sz w:val="28"/>
          <w:szCs w:val="28"/>
          <w:u w:val="single"/>
        </w:rPr>
      </w:pPr>
      <w:r>
        <w:rPr>
          <w:color w:val="FF0000"/>
          <w:sz w:val="28"/>
          <w:szCs w:val="28"/>
          <w:u w:val="single"/>
        </w:rPr>
        <w:t>OSTATECZNY</w:t>
      </w:r>
    </w:p>
    <w:p w:rsidR="00245C15" w:rsidRDefault="00245C15" w:rsidP="00445EBE">
      <w:pPr>
        <w:pStyle w:val="jupara"/>
        <w:tabs>
          <w:tab w:val="left" w:pos="4650"/>
        </w:tabs>
        <w:ind w:firstLine="0"/>
        <w:jc w:val="center"/>
        <w:rPr>
          <w:color w:val="FF0000"/>
          <w:sz w:val="28"/>
          <w:szCs w:val="28"/>
        </w:rPr>
      </w:pPr>
    </w:p>
    <w:p w:rsidR="00245C15" w:rsidRDefault="00245C15" w:rsidP="00445EBE">
      <w:pPr>
        <w:pStyle w:val="jupara"/>
        <w:ind w:firstLine="0"/>
        <w:jc w:val="center"/>
        <w:rPr>
          <w:color w:val="FF0000"/>
          <w:sz w:val="28"/>
          <w:szCs w:val="28"/>
        </w:rPr>
      </w:pPr>
      <w:r>
        <w:rPr>
          <w:color w:val="FF0000"/>
          <w:sz w:val="28"/>
          <w:szCs w:val="28"/>
        </w:rPr>
        <w:t>24/04/2019</w:t>
      </w:r>
    </w:p>
    <w:p w:rsidR="00245C15" w:rsidRDefault="00245C15" w:rsidP="00445EBE">
      <w:pPr>
        <w:pStyle w:val="jupara"/>
        <w:ind w:firstLine="0"/>
        <w:jc w:val="center"/>
      </w:pPr>
    </w:p>
    <w:p w:rsidR="00245C15" w:rsidRDefault="00245C15" w:rsidP="00445EBE">
      <w:pPr>
        <w:jc w:val="center"/>
        <w:rPr>
          <w:i/>
          <w:iCs/>
          <w:sz w:val="22"/>
          <w:szCs w:val="22"/>
        </w:rPr>
      </w:pPr>
      <w:r>
        <w:rPr>
          <w:i/>
          <w:iCs/>
          <w:sz w:val="22"/>
          <w:szCs w:val="22"/>
        </w:rPr>
        <w:t>Wyrok ten stał się ostateczny zgodnie z art. 44 ust. 2 Konwencji. Może podlegać korekcie wydawniczej.</w:t>
      </w:r>
    </w:p>
    <w:p w:rsidR="00245C15" w:rsidRPr="001823B5" w:rsidRDefault="00245C15" w:rsidP="001823B5">
      <w:pPr>
        <w:pStyle w:val="ECHRPara"/>
        <w:ind w:firstLine="0"/>
        <w:sectPr w:rsidR="00245C15" w:rsidRPr="001823B5" w:rsidSect="00251B1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08" w:gutter="0"/>
          <w:pgNumType w:start="1"/>
          <w:cols w:space="708"/>
          <w:titlePg/>
          <w:docGrid w:linePitch="326"/>
        </w:sectPr>
      </w:pPr>
    </w:p>
    <w:p w:rsidR="00245C15" w:rsidRPr="001823B5" w:rsidRDefault="00245C15" w:rsidP="001823B5">
      <w:pPr>
        <w:pStyle w:val="JuCase"/>
      </w:pPr>
      <w:r>
        <w:lastRenderedPageBreak/>
        <w:t>W sprawie Catt przeciwko Zjednoczonemu Królestwu,</w:t>
      </w:r>
    </w:p>
    <w:p w:rsidR="00245C15" w:rsidRPr="001823B5" w:rsidRDefault="00245C15" w:rsidP="001823B5">
      <w:pPr>
        <w:pStyle w:val="ECHRPara"/>
      </w:pPr>
      <w:r>
        <w:t>Europejski Trybunał Praw Człowieka (</w:t>
      </w:r>
      <w:r w:rsidR="00D01C05">
        <w:t xml:space="preserve">Pierwsza </w:t>
      </w:r>
      <w:r>
        <w:t>Sekcja), zasiadając jako Izba w składzie:</w:t>
      </w:r>
    </w:p>
    <w:p w:rsidR="00245C15" w:rsidRPr="001823B5" w:rsidRDefault="00245C15" w:rsidP="001823B5">
      <w:pPr>
        <w:pStyle w:val="ECHRDecisionBody"/>
      </w:pPr>
      <w:r>
        <w:tab/>
        <w:t xml:space="preserve">Linos-Alexandre Sicilianos, </w:t>
      </w:r>
      <w:r>
        <w:rPr>
          <w:i/>
          <w:iCs/>
        </w:rPr>
        <w:t>Przewodniczący</w:t>
      </w:r>
      <w:r>
        <w:t>,</w:t>
      </w:r>
      <w:r w:rsidR="00D01C05" w:rsidRPr="001823B5">
        <w:br/>
      </w:r>
      <w:r>
        <w:tab/>
        <w:t>Aleš Pejchal,</w:t>
      </w:r>
      <w:r w:rsidR="00D01C05" w:rsidRPr="00D01C05">
        <w:t xml:space="preserve"> </w:t>
      </w:r>
      <w:r w:rsidR="00D01C05" w:rsidRPr="001823B5">
        <w:br/>
      </w:r>
      <w:r w:rsidR="00D01C05">
        <w:tab/>
      </w:r>
      <w:r>
        <w:t>Ksenija Turković,</w:t>
      </w:r>
      <w:r w:rsidR="00D01C05" w:rsidRPr="00D01C05">
        <w:t xml:space="preserve"> </w:t>
      </w:r>
      <w:r w:rsidR="00D01C05" w:rsidRPr="001823B5">
        <w:br/>
      </w:r>
      <w:r w:rsidR="00D01C05">
        <w:tab/>
      </w:r>
      <w:r>
        <w:t>Armen Harutyunyan,</w:t>
      </w:r>
      <w:r w:rsidR="00D01C05" w:rsidRPr="00D01C05">
        <w:t xml:space="preserve"> </w:t>
      </w:r>
      <w:r w:rsidR="00D01C05" w:rsidRPr="001823B5">
        <w:br/>
      </w:r>
      <w:r w:rsidR="00D01C05">
        <w:tab/>
      </w:r>
      <w:r>
        <w:t>Pauliine Koskelo,</w:t>
      </w:r>
      <w:r w:rsidR="00D01C05" w:rsidRPr="00D01C05">
        <w:t xml:space="preserve"> </w:t>
      </w:r>
      <w:r w:rsidR="00D01C05" w:rsidRPr="001823B5">
        <w:br/>
      </w:r>
      <w:r w:rsidR="00D01C05">
        <w:tab/>
      </w:r>
      <w:r>
        <w:t>Tim Eicke,</w:t>
      </w:r>
      <w:r w:rsidR="00D01C05" w:rsidRPr="00D01C05">
        <w:t xml:space="preserve"> </w:t>
      </w:r>
      <w:r w:rsidR="00D01C05" w:rsidRPr="001823B5">
        <w:br/>
      </w:r>
      <w:r>
        <w:tab/>
        <w:t xml:space="preserve">Gilberto Felici, </w:t>
      </w:r>
      <w:r>
        <w:rPr>
          <w:i/>
          <w:iCs/>
        </w:rPr>
        <w:t>sędziowie</w:t>
      </w:r>
      <w:r w:rsidR="00D01C05" w:rsidRPr="001823B5">
        <w:br/>
      </w:r>
      <w:r>
        <w:t xml:space="preserve"> oraz Abel Campos, </w:t>
      </w:r>
      <w:r>
        <w:rPr>
          <w:i/>
          <w:iCs/>
        </w:rPr>
        <w:t>Kanclerz Sekcji</w:t>
      </w:r>
      <w:r>
        <w:t>,</w:t>
      </w:r>
    </w:p>
    <w:p w:rsidR="00245C15" w:rsidRPr="001823B5" w:rsidRDefault="00833EEB" w:rsidP="001823B5">
      <w:pPr>
        <w:pStyle w:val="ECHRPara"/>
      </w:pPr>
      <w:r>
        <w:t xml:space="preserve">Po obradach </w:t>
      </w:r>
      <w:r w:rsidR="00245C15">
        <w:t xml:space="preserve">na posiedzeniu </w:t>
      </w:r>
      <w:r>
        <w:t>niejawnym w dniach</w:t>
      </w:r>
      <w:r w:rsidR="00245C15">
        <w:t xml:space="preserve"> 11 września i 11 grudnia 2018</w:t>
      </w:r>
      <w:r w:rsidR="00D87A64">
        <w:t xml:space="preserve"> r.</w:t>
      </w:r>
      <w:r w:rsidR="00245C15">
        <w:t>,</w:t>
      </w:r>
    </w:p>
    <w:p w:rsidR="00245C15" w:rsidRPr="001823B5" w:rsidRDefault="00245C15" w:rsidP="001823B5">
      <w:pPr>
        <w:pStyle w:val="ECHRPara"/>
      </w:pPr>
      <w:r>
        <w:t>Wydaje następujący wyrok, który został przyjęty w drugiej ze wskazanych wyżej dat.</w:t>
      </w:r>
    </w:p>
    <w:p w:rsidR="00245C15" w:rsidRPr="001823B5" w:rsidRDefault="00245C15" w:rsidP="001823B5">
      <w:pPr>
        <w:pStyle w:val="ECHRTitle1"/>
      </w:pPr>
      <w:r>
        <w:t>POSTĘPOWANIE</w:t>
      </w:r>
    </w:p>
    <w:p w:rsidR="00245C15" w:rsidRPr="001823B5" w:rsidRDefault="00245C15" w:rsidP="001823B5">
      <w:pPr>
        <w:pStyle w:val="ECHRPara"/>
      </w:pPr>
      <w:r w:rsidRPr="001823B5">
        <w:t>1</w:t>
      </w:r>
      <w:r>
        <w:t>. Sprawa wywodzi się ze skargi (nr 43514/15) wniesionej w dniu 2</w:t>
      </w:r>
      <w:r w:rsidR="00F761B6">
        <w:t> </w:t>
      </w:r>
      <w:r>
        <w:t>września 2015</w:t>
      </w:r>
      <w:r w:rsidR="00D87A64">
        <w:t xml:space="preserve"> r.</w:t>
      </w:r>
      <w:r>
        <w:t xml:space="preserve"> przeciwko Zjednoczonemu Królestwu do Trybunału na</w:t>
      </w:r>
      <w:r w:rsidR="00F761B6">
        <w:t> </w:t>
      </w:r>
      <w:r>
        <w:t>podstawie art.</w:t>
      </w:r>
      <w:r w:rsidR="00833EEB">
        <w:t xml:space="preserve"> </w:t>
      </w:r>
      <w:r>
        <w:t xml:space="preserve">34 Konwencji o </w:t>
      </w:r>
      <w:r w:rsidR="00EF68B7">
        <w:t>ochronie praw człowieka i podstawowych wolności</w:t>
      </w:r>
      <w:r>
        <w:t xml:space="preserve"> („Konwencja”) przez obywatela brytyjskiego, pana Johna Oldroyda Catta.</w:t>
      </w:r>
    </w:p>
    <w:p w:rsidR="00245C15" w:rsidRPr="001823B5" w:rsidRDefault="00245C15" w:rsidP="001823B5">
      <w:pPr>
        <w:pStyle w:val="ECHRPara"/>
      </w:pPr>
      <w:r w:rsidRPr="001823B5">
        <w:t>2</w:t>
      </w:r>
      <w:r>
        <w:t>. Skarżący był reprezentowany przez pana S. Dutta z Bhatt Murphy Solicitors, adwokata z siedzibą w Londynie. Rząd Zjednoczonego Królestwa („Rząd”) był reprezentowany przez pełnomocnika, panią R. Sagoo z Foreign and Commonwealth Office.</w:t>
      </w:r>
    </w:p>
    <w:p w:rsidR="00245C15" w:rsidRPr="001823B5" w:rsidRDefault="00245C15" w:rsidP="001823B5">
      <w:pPr>
        <w:pStyle w:val="ECHRPara"/>
      </w:pPr>
      <w:r w:rsidRPr="001823B5">
        <w:t>3</w:t>
      </w:r>
      <w:r>
        <w:t xml:space="preserve">. W dniu 19 maja 2016 r. skarga została </w:t>
      </w:r>
      <w:r w:rsidR="00EF68B7">
        <w:t>zakomunikowana</w:t>
      </w:r>
      <w:r>
        <w:t xml:space="preserve"> Rządowi.</w:t>
      </w:r>
    </w:p>
    <w:p w:rsidR="00245C15" w:rsidRPr="001823B5" w:rsidRDefault="00245C15" w:rsidP="001823B5">
      <w:pPr>
        <w:pStyle w:val="ECHRPara"/>
      </w:pPr>
      <w:r w:rsidRPr="001823B5">
        <w:t>4</w:t>
      </w:r>
      <w:r>
        <w:t xml:space="preserve">. Komisja Równości i Praw Człowieka (Equality and Human Rights Commission) oraz organizacja pozarządowa Privacy International zostały dopuszczone do udziału w procedurze pisemnej (art. 36 ust. 2 Konwencji oraz </w:t>
      </w:r>
      <w:r w:rsidR="00EF68B7">
        <w:t>Reguł</w:t>
      </w:r>
      <w:r w:rsidR="00833EEB">
        <w:t>a</w:t>
      </w:r>
      <w:r>
        <w:t xml:space="preserve"> 44 </w:t>
      </w:r>
      <w:r w:rsidR="00EF68B7">
        <w:t>§</w:t>
      </w:r>
      <w:r>
        <w:t xml:space="preserve"> 3 Regulaminu Trybunału).</w:t>
      </w:r>
    </w:p>
    <w:p w:rsidR="00245C15" w:rsidRPr="003143EA" w:rsidRDefault="00245C15" w:rsidP="001823B5">
      <w:pPr>
        <w:pStyle w:val="ECHRTitle1"/>
      </w:pPr>
      <w:r>
        <w:t>FAKTY</w:t>
      </w:r>
    </w:p>
    <w:p w:rsidR="00245C15" w:rsidRPr="00B53C73" w:rsidRDefault="00245C15" w:rsidP="003143EA">
      <w:pPr>
        <w:pStyle w:val="ECHRPara"/>
        <w:ind w:firstLine="0"/>
        <w:rPr>
          <w:i/>
          <w:iCs/>
        </w:rPr>
      </w:pPr>
      <w:r>
        <w:rPr>
          <w:i/>
          <w:iCs/>
        </w:rPr>
        <w:t>[Paragrafy 5 - 71 wyroku pominięte i zastąpione tłumaczeniem poniższego streszczenia przygotowanego przez Kancelarię Europejskiego Trybunału Praw Człowieka</w:t>
      </w:r>
    </w:p>
    <w:p w:rsidR="00245C15" w:rsidRPr="00B53C73" w:rsidRDefault="00245C15" w:rsidP="003143EA">
      <w:pPr>
        <w:pStyle w:val="ECHRPara"/>
        <w:rPr>
          <w:i/>
          <w:iCs/>
          <w:u w:val="single"/>
        </w:rPr>
      </w:pPr>
    </w:p>
    <w:p w:rsidR="00245C15" w:rsidRPr="00A62E56" w:rsidRDefault="00245C15" w:rsidP="003143EA">
      <w:pPr>
        <w:pStyle w:val="ECHRPara"/>
        <w:rPr>
          <w:u w:val="single"/>
        </w:rPr>
      </w:pPr>
      <w:r>
        <w:rPr>
          <w:i/>
          <w:iCs/>
          <w:u w:val="single"/>
        </w:rPr>
        <w:lastRenderedPageBreak/>
        <w:t>Streszczenie stanu faktycznego</w:t>
      </w:r>
      <w:r w:rsidRPr="00B53C73">
        <w:rPr>
          <w:rStyle w:val="Odwoanieprzypisudolnego"/>
        </w:rPr>
        <w:footnoteReference w:id="2"/>
      </w:r>
      <w:r>
        <w:rPr>
          <w:u w:val="single"/>
        </w:rPr>
        <w:t>:</w:t>
      </w:r>
    </w:p>
    <w:p w:rsidR="00245C15" w:rsidRDefault="00245C15" w:rsidP="00D26A75">
      <w:pPr>
        <w:pStyle w:val="ECHRPara"/>
        <w:ind w:firstLine="0"/>
        <w:rPr>
          <w:lang w:eastAsia="en-US"/>
        </w:rPr>
      </w:pPr>
    </w:p>
    <w:p w:rsidR="00245C15" w:rsidRPr="00D26A75" w:rsidRDefault="00245C15" w:rsidP="00D01C05">
      <w:pPr>
        <w:pStyle w:val="ECHRPara"/>
        <w:rPr>
          <w:rFonts w:eastAsia="Times New Roman"/>
        </w:rPr>
      </w:pPr>
      <w:r>
        <w:t>Skarżący był aktywnym działaczem pokojowym od 1948</w:t>
      </w:r>
      <w:r w:rsidR="00D87A64">
        <w:t xml:space="preserve"> r.</w:t>
      </w:r>
      <w:r>
        <w:t xml:space="preserve">. W 2005 r. zaczął brać udział w demonstracjach organizowanych </w:t>
      </w:r>
      <w:r w:rsidRPr="00995165">
        <w:t xml:space="preserve">przez grupę </w:t>
      </w:r>
      <w:r w:rsidR="00995165">
        <w:t>protestującą z użyciem przemocy</w:t>
      </w:r>
      <w:r w:rsidRPr="00995165">
        <w:t>, które przyciągnęły znaczną liczbę policjantów. Sam skarżący nigdy nie został skazany za żadne przestępstwo, a</w:t>
      </w:r>
      <w:r w:rsidR="00503886" w:rsidRPr="00995165">
        <w:t xml:space="preserve"> zagrożenie, że popełni przestępstwo</w:t>
      </w:r>
      <w:r w:rsidRPr="00995165">
        <w:t xml:space="preserve"> </w:t>
      </w:r>
      <w:r w:rsidR="00995165">
        <w:t>z użyciem przemocy</w:t>
      </w:r>
      <w:r w:rsidR="00BF1C33">
        <w:t>,</w:t>
      </w:r>
      <w:r w:rsidR="00995165">
        <w:t xml:space="preserve"> </w:t>
      </w:r>
      <w:r w:rsidRPr="00995165">
        <w:t>było niewielkie.</w:t>
      </w:r>
    </w:p>
    <w:p w:rsidR="00245C15" w:rsidRPr="00485C68" w:rsidRDefault="00245C15" w:rsidP="00D01C05">
      <w:pPr>
        <w:pStyle w:val="ECHRPara"/>
        <w:rPr>
          <w:rFonts w:eastAsia="Times New Roman"/>
        </w:rPr>
      </w:pPr>
      <w:r>
        <w:t>W postępowaniu krajowym skarżący starał się o usunięcie swoich danych przechowywanych w policyjnej bazie danych zwanej „</w:t>
      </w:r>
      <w:r w:rsidR="00503886">
        <w:t xml:space="preserve">Bazą </w:t>
      </w:r>
      <w:r>
        <w:t>danych o</w:t>
      </w:r>
      <w:r w:rsidR="00F761B6">
        <w:t> </w:t>
      </w:r>
      <w:r>
        <w:t>ekstremizmie” (</w:t>
      </w:r>
      <w:r w:rsidRPr="00503886">
        <w:rPr>
          <w:i/>
        </w:rPr>
        <w:t>Extremism Database</w:t>
      </w:r>
      <w:r>
        <w:t>). Przechowywane dane zawierały takie informacje jak jego nazwisko, adres, data urodzenia i udział w</w:t>
      </w:r>
      <w:r w:rsidR="00F761B6">
        <w:t> </w:t>
      </w:r>
      <w:r>
        <w:t>demonstracjach. Większość zapisów dotyczyła demonstracji organizowanych przez grupę protest</w:t>
      </w:r>
      <w:r w:rsidR="00995165">
        <w:t>ującą z użyciem przemocy</w:t>
      </w:r>
      <w:r>
        <w:t>, ale inne dotyczyły obecności skarżącego na imprezach politycznych i związkowych].</w:t>
      </w:r>
    </w:p>
    <w:p w:rsidR="00245C15" w:rsidRPr="001823B5" w:rsidRDefault="00245C15" w:rsidP="001823B5">
      <w:pPr>
        <w:pStyle w:val="ECHRTitle1"/>
      </w:pPr>
      <w:r w:rsidRPr="0003444D">
        <w:t>PRAWO</w:t>
      </w:r>
    </w:p>
    <w:p w:rsidR="00245C15" w:rsidRPr="001823B5" w:rsidRDefault="00245C15" w:rsidP="001823B5">
      <w:pPr>
        <w:pStyle w:val="ECHRHeading1"/>
      </w:pPr>
      <w:r>
        <w:t xml:space="preserve">I. </w:t>
      </w:r>
      <w:r w:rsidR="00295262">
        <w:t>ZARZUCANE</w:t>
      </w:r>
      <w:r>
        <w:t xml:space="preserve"> NARUSZENIE ART. 8 KONWENCJI</w:t>
      </w:r>
    </w:p>
    <w:p w:rsidR="00245C15" w:rsidRPr="001823B5" w:rsidRDefault="00245C15" w:rsidP="001823B5">
      <w:pPr>
        <w:pStyle w:val="ECHRPara"/>
      </w:pPr>
      <w:r w:rsidRPr="001823B5">
        <w:t>72</w:t>
      </w:r>
      <w:r>
        <w:t>. Skarżący zarzucił, że zatrzymanie jego danych przez policję stanowiło naruszenie jego prawa do prywatności, o którym mowa w art</w:t>
      </w:r>
      <w:r w:rsidR="00381767">
        <w:t>.</w:t>
      </w:r>
      <w:r>
        <w:t xml:space="preserve"> 8 Konwencji, który brzmi następująco:</w:t>
      </w:r>
    </w:p>
    <w:p w:rsidR="00245C15" w:rsidRPr="001823B5" w:rsidRDefault="0003444D" w:rsidP="001823B5">
      <w:pPr>
        <w:pStyle w:val="ECHRParaQuote"/>
      </w:pPr>
      <w:r>
        <w:t>„</w:t>
      </w:r>
      <w:r w:rsidR="00245C15">
        <w:t>1. Każdy ma prawo do poszanowania swojego życia prywatnego i rodzinnego, swojego mieszkania i swojej korespondencji.</w:t>
      </w:r>
    </w:p>
    <w:p w:rsidR="00245C15" w:rsidRPr="001823B5" w:rsidRDefault="00245C15" w:rsidP="001823B5">
      <w:pPr>
        <w:pStyle w:val="ECHRParaQuote"/>
      </w:pPr>
      <w:r>
        <w:t>2. Niedopuszczalna jest ingerencja władzy publicznej w korzystanie z tego prawa, z</w:t>
      </w:r>
      <w:r w:rsidR="00F761B6">
        <w:t> </w:t>
      </w:r>
      <w:r>
        <w:t>wyjątkiem przypadków przewidzianych przez ustawę i koniecznych w</w:t>
      </w:r>
      <w:r w:rsidR="00F761B6">
        <w:t> </w:t>
      </w:r>
      <w:r>
        <w:t>demokratycznym społeczeństwie z uwagi na bezpieczeństwo państwowe, bezpieczeństwo publiczne lub dobrobyt gospodarczy kraju, ochronę porządku i</w:t>
      </w:r>
      <w:r w:rsidR="00F761B6">
        <w:t> </w:t>
      </w:r>
      <w:r>
        <w:t>zapobieganie przestępstwom, ochronę zdrowia i moralności lub ochronę praw i</w:t>
      </w:r>
      <w:r w:rsidR="00F761B6">
        <w:t> </w:t>
      </w:r>
      <w:r>
        <w:t>wolności innych osób".</w:t>
      </w:r>
    </w:p>
    <w:p w:rsidR="00245C15" w:rsidRPr="001823B5" w:rsidRDefault="00245C15" w:rsidP="001823B5">
      <w:pPr>
        <w:pStyle w:val="ECHRHeading2"/>
      </w:pPr>
      <w:r>
        <w:t>A. Dopuszczalność</w:t>
      </w:r>
    </w:p>
    <w:p w:rsidR="00245C15" w:rsidRPr="001823B5" w:rsidRDefault="00245C15" w:rsidP="001823B5">
      <w:pPr>
        <w:pStyle w:val="ECHRPara"/>
      </w:pPr>
      <w:r w:rsidRPr="001823B5">
        <w:t>73</w:t>
      </w:r>
      <w:r>
        <w:t>. Rząd podniósł dwa argumenty związane z dopuszczalnością.</w:t>
      </w:r>
    </w:p>
    <w:p w:rsidR="00245C15" w:rsidRPr="001823B5" w:rsidRDefault="00245C15" w:rsidP="001823B5">
      <w:pPr>
        <w:pStyle w:val="ECHRPara"/>
      </w:pPr>
      <w:r w:rsidRPr="001823B5">
        <w:t>74</w:t>
      </w:r>
      <w:r>
        <w:t>. Pierwszym z nich był</w:t>
      </w:r>
      <w:r w:rsidR="0003444D">
        <w:t>o twierdzenie</w:t>
      </w:r>
      <w:r>
        <w:t>, że skarżący nie jest już ofiarą w</w:t>
      </w:r>
      <w:r w:rsidR="00662C06">
        <w:t> </w:t>
      </w:r>
      <w:r>
        <w:t>zakresie wskazanym w jego skardze, ponieważ prawie wszystkie wpisy w</w:t>
      </w:r>
      <w:r w:rsidR="00662C06">
        <w:t> </w:t>
      </w:r>
      <w:r>
        <w:t>bazie danych, na które złożył skargę, zostały usunięte w 2012 r.</w:t>
      </w:r>
    </w:p>
    <w:p w:rsidR="00245C15" w:rsidRPr="001823B5" w:rsidRDefault="00245C15" w:rsidP="001823B5">
      <w:pPr>
        <w:pStyle w:val="ECHRPara"/>
      </w:pPr>
      <w:r w:rsidRPr="001823B5">
        <w:lastRenderedPageBreak/>
        <w:t>75</w:t>
      </w:r>
      <w:r>
        <w:t>. W związku z tym skarżący podkreślił, że jego skarga dotyczyła odmowy policji w 2010 r. usunięcia sześćdziesięciu sześciu wpisów w bazie danych, w których wymieniono go, a które były gromadzone i</w:t>
      </w:r>
      <w:r w:rsidR="00662C06">
        <w:t> </w:t>
      </w:r>
      <w:r>
        <w:t>przechowywane począwszy od 2004 r. Fakt, że wszystkie te wpisy, z</w:t>
      </w:r>
      <w:r w:rsidR="00662C06">
        <w:t> </w:t>
      </w:r>
      <w:r>
        <w:t>wyjątkiem sześciu, zostały usunięte w 2012 r. w kontekście procedury usuwania spowodowanej ujawnieniem tajnych informacji o pracy policji w</w:t>
      </w:r>
      <w:r w:rsidR="00662C06">
        <w:t> </w:t>
      </w:r>
      <w:r>
        <w:t>niepowiązanych postępowaniach krajowych, nie miał znaczenia.</w:t>
      </w:r>
    </w:p>
    <w:p w:rsidR="00245C15" w:rsidRPr="001823B5" w:rsidRDefault="00245C15" w:rsidP="001823B5">
      <w:pPr>
        <w:pStyle w:val="ECHRPara"/>
      </w:pPr>
      <w:r w:rsidRPr="001823B5">
        <w:t>76</w:t>
      </w:r>
      <w:r>
        <w:t>. Trybunał odnotowuje, że dane skarżącego zostały po raz pierwszy zgromadzone i zatrzymane w 2005 r. (</w:t>
      </w:r>
      <w:r w:rsidR="00D87A64">
        <w:t>zob. paragraf</w:t>
      </w:r>
      <w:r>
        <w:t xml:space="preserve"> </w:t>
      </w:r>
      <w:r w:rsidRPr="001823B5">
        <w:t>9</w:t>
      </w:r>
      <w:r>
        <w:t>, powyżej). Od tego czasu policja stale zatrzymywała w takiej czy innej formie jego dane osobowe w bazie danych. W związku z tym od 2005 r. miał on status ofiary z punktu widzenia Konwencji. Na taki wniosek nie ma wpływu fakt, że niektóre dane osobowe skarżącego zostały usunięte w 2012 r.</w:t>
      </w:r>
    </w:p>
    <w:p w:rsidR="00245C15" w:rsidRPr="001823B5" w:rsidRDefault="00245C15" w:rsidP="001823B5">
      <w:pPr>
        <w:pStyle w:val="ECHRPara"/>
      </w:pPr>
      <w:r w:rsidRPr="001823B5">
        <w:t>77</w:t>
      </w:r>
      <w:r>
        <w:t>. Drugim argumentem przedstawionym przez Rząd było to, że skarżący miał do dyspozycji szereg sądowych środków odwoławczych, z których mógł skorzystać w celu zapewnienia usunięcia swoich danych osobowych.</w:t>
      </w:r>
    </w:p>
    <w:p w:rsidR="00245C15" w:rsidRPr="001823B5" w:rsidRDefault="00245C15" w:rsidP="001823B5">
      <w:pPr>
        <w:pStyle w:val="ECHRPara"/>
      </w:pPr>
      <w:r w:rsidRPr="001823B5">
        <w:t>78</w:t>
      </w:r>
      <w:r w:rsidRPr="0003444D">
        <w:t xml:space="preserve">. </w:t>
      </w:r>
      <w:r w:rsidRPr="0003444D">
        <w:rPr>
          <w:iCs/>
        </w:rPr>
        <w:t>Trybunał przypomina, że zgodnie z jego utrwalonym orzecznictwem, gdy zastosowano środek odwoławczy, nie jest wymagane zastosowanie innego środka, który ma zasadniczo ten sam cel (zob. m.in.</w:t>
      </w:r>
      <w:r w:rsidR="00833EEB">
        <w:rPr>
          <w:i/>
          <w:iCs/>
        </w:rPr>
        <w:t xml:space="preserve"> </w:t>
      </w:r>
      <w:r>
        <w:rPr>
          <w:i/>
          <w:iCs/>
        </w:rPr>
        <w:t xml:space="preserve">Micallef przeciwko Malcie </w:t>
      </w:r>
      <w:r w:rsidRPr="0003444D">
        <w:rPr>
          <w:iCs/>
        </w:rPr>
        <w:t>[</w:t>
      </w:r>
      <w:r w:rsidR="0003444D" w:rsidRPr="0003444D">
        <w:rPr>
          <w:iCs/>
        </w:rPr>
        <w:t>WI</w:t>
      </w:r>
      <w:r w:rsidRPr="0003444D">
        <w:rPr>
          <w:iCs/>
        </w:rPr>
        <w:t>], nr 17056/06, § 58</w:t>
      </w:r>
      <w:bookmarkStart w:id="1" w:name="HIT2"/>
      <w:r w:rsidRPr="0003444D">
        <w:t xml:space="preserve">, </w:t>
      </w:r>
      <w:r w:rsidR="00833EEB" w:rsidRPr="0003444D">
        <w:t>ETPC</w:t>
      </w:r>
      <w:r w:rsidRPr="0003444D">
        <w:t xml:space="preserve"> 2009 oraz</w:t>
      </w:r>
      <w:r w:rsidR="00833EEB" w:rsidRPr="0003444D">
        <w:t xml:space="preserve"> </w:t>
      </w:r>
      <w:r w:rsidRPr="0003444D">
        <w:rPr>
          <w:i/>
        </w:rPr>
        <w:t>Kozacıoğlu przeciwko Turcji</w:t>
      </w:r>
      <w:r>
        <w:t xml:space="preserve"> [</w:t>
      </w:r>
      <w:r w:rsidR="0003444D">
        <w:t>WI</w:t>
      </w:r>
      <w:r>
        <w:t>], nr 2334/03, § 40, 19 lutego 2009 r.).</w:t>
      </w:r>
      <w:bookmarkEnd w:id="1"/>
    </w:p>
    <w:p w:rsidR="00245C15" w:rsidRPr="001823B5" w:rsidRDefault="00245C15" w:rsidP="001823B5">
      <w:pPr>
        <w:pStyle w:val="ECHRPara"/>
      </w:pPr>
      <w:r w:rsidRPr="001823B5">
        <w:t>79</w:t>
      </w:r>
      <w:r>
        <w:t>. W świetle powyższego,</w:t>
      </w:r>
      <w:r w:rsidR="00D87A64">
        <w:t xml:space="preserve"> </w:t>
      </w:r>
      <w:r>
        <w:t>Trybunał stwierdza, że skarga nie jest w</w:t>
      </w:r>
      <w:r w:rsidR="00662C06">
        <w:t> </w:t>
      </w:r>
      <w:r>
        <w:t>sposób oczywisty nieuzasadniona w rozumieniu art. 35 ust. 3</w:t>
      </w:r>
      <w:r w:rsidR="008C0E70">
        <w:t xml:space="preserve"> lit.</w:t>
      </w:r>
      <w:r>
        <w:t xml:space="preserve"> </w:t>
      </w:r>
      <w:r w:rsidR="008C0E70">
        <w:t>a</w:t>
      </w:r>
      <w:r>
        <w:t xml:space="preserve"> Konwencji. Trybunał zauważa przy tym, że nie jest ona niedopuszczalna z</w:t>
      </w:r>
      <w:r w:rsidR="00662C06">
        <w:t> </w:t>
      </w:r>
      <w:r>
        <w:t>jakichkolwiek innych względów. Należy ją, zatem, uznać za dopuszczalną.</w:t>
      </w:r>
    </w:p>
    <w:p w:rsidR="00245C15" w:rsidRPr="001823B5" w:rsidRDefault="00245C15" w:rsidP="001823B5">
      <w:pPr>
        <w:pStyle w:val="ECHRHeading2"/>
      </w:pPr>
      <w:r>
        <w:t xml:space="preserve">B. </w:t>
      </w:r>
      <w:r w:rsidR="00295262">
        <w:t>Przedmiot</w:t>
      </w:r>
      <w:r>
        <w:t xml:space="preserve"> skargi</w:t>
      </w:r>
    </w:p>
    <w:p w:rsidR="00245C15" w:rsidRPr="001823B5" w:rsidRDefault="00245C15" w:rsidP="001823B5">
      <w:pPr>
        <w:pStyle w:val="ECHRHeading3"/>
      </w:pPr>
      <w:r>
        <w:t>1. Stanowiska stron</w:t>
      </w:r>
    </w:p>
    <w:p w:rsidR="00245C15" w:rsidRPr="001823B5" w:rsidRDefault="00245C15" w:rsidP="001823B5">
      <w:pPr>
        <w:pStyle w:val="ECHRPara"/>
      </w:pPr>
      <w:bookmarkStart w:id="2" w:name="theapplicantcomplained"/>
      <w:r w:rsidRPr="001823B5">
        <w:t>80</w:t>
      </w:r>
      <w:bookmarkEnd w:id="2"/>
      <w:r>
        <w:t xml:space="preserve">. Skarżący zarzucał, że systematyczne gromadzenie i przechowywanie informacji o nim w przeszukiwalnej bazie danych stanowiło </w:t>
      </w:r>
      <w:r w:rsidR="008C0E70">
        <w:t>ingerencję w</w:t>
      </w:r>
      <w:r w:rsidR="00662C06">
        <w:t> </w:t>
      </w:r>
      <w:r w:rsidR="008C0E70">
        <w:t>jego prawo</w:t>
      </w:r>
      <w:r>
        <w:t xml:space="preserve"> do prywatności na podstawie art. 8. Twierdził on, że ingerencja ta nie była uzasadniona, ponieważ baza danych, w której przechowywano dane, nie zapewniała wystarczających zabezpieczeń, a zatem nie była </w:t>
      </w:r>
      <w:r w:rsidR="00BF1C33">
        <w:t>przewidziana przez ustawę</w:t>
      </w:r>
      <w:r>
        <w:t xml:space="preserve">. Twierdził on w szczególności, że zakres bazy danych może być dostosowywany arbitralnie przez policję; dane są zatrzymywane przez zbyt długi okres na podstawie tego, że baza danych jako całość może być użyteczna; dane podlegają zautomatyzowanemu i ręcznemu przetwarzaniu. Nie przedstawił on argumentów opartych na przepisach dotyczących ochrony danych, ale stwierdził, że zatrzymywanie danych jest nieuzasadnione, biorąc pod uwagę fakt, że zatrzymywane dane dotyczyły jego zaangażowania w prawidłową i zgodną z prawem działalność polityczną i nigdy nie były użyteczne dla jakichkolwiek funkcji policyjnych. </w:t>
      </w:r>
      <w:r>
        <w:lastRenderedPageBreak/>
        <w:t xml:space="preserve">Zatrzymywanie takich danych może mieć skutek zniechęcający („efekt </w:t>
      </w:r>
      <w:r w:rsidR="00DE3E57">
        <w:t>mrożący</w:t>
      </w:r>
      <w:r>
        <w:t>”).</w:t>
      </w:r>
    </w:p>
    <w:p w:rsidR="00245C15" w:rsidRPr="001823B5" w:rsidRDefault="00245C15" w:rsidP="001823B5">
      <w:pPr>
        <w:pStyle w:val="ECHRPara"/>
      </w:pPr>
      <w:r w:rsidRPr="001823B5">
        <w:t>81</w:t>
      </w:r>
      <w:r>
        <w:t>. Skarżący argumentował również, że ponieważ po wydaniu orzeczenia przez Sąd Najwyższy zostały znalezione w bazie danych zapisy, które go</w:t>
      </w:r>
      <w:r w:rsidR="00662C06">
        <w:t> </w:t>
      </w:r>
      <w:r>
        <w:t>dotyczyły, Sąd Najwyższy wydał decyzję na podstawie niepełnych danych faktycznych. Przywołując swoje twierdzenie, że baza danych nie posiadała wystarczających zabezpieczeń, skarżący argumentował, że zapisy stanu faktycznego nie są należycie ujawniane nawet w kontekście postępowania przed Sądem Najwyższym, co wskazuje na niezgodność bazy danych z</w:t>
      </w:r>
      <w:r w:rsidR="00662C06">
        <w:t> </w:t>
      </w:r>
      <w:r>
        <w:t>prawem. Stwierdził również, że nie istnieje rzeczywisty system nadzoru lub niezależnego przeglądu, podkreślając, że złożenie przez osoby, których dane dotyczą „wniosku o dostęp do informacji” (</w:t>
      </w:r>
      <w:r w:rsidRPr="00582ACE">
        <w:rPr>
          <w:i/>
        </w:rPr>
        <w:t>subject access request</w:t>
      </w:r>
      <w:r>
        <w:t>) zgodnie z</w:t>
      </w:r>
      <w:r w:rsidR="00662C06">
        <w:t> </w:t>
      </w:r>
      <w:r>
        <w:t xml:space="preserve">ustawą o ochronie danych osobowych (DPA) będzie skuteczne tylko wtedy, gdy wszystkie istotne dane zostaną ujawnione przez policję w momencie otrzymania takiego wniosku. Skarżący twierdził również, że margines </w:t>
      </w:r>
      <w:r w:rsidR="00EF68B7">
        <w:t>oceny</w:t>
      </w:r>
      <w:r>
        <w:t>, jaki należy przyznać w świetle orzeczeń sądów krajowych, jest ograniczony, biorąc pod uwagę fakt, że sądy te nie posiadały wszystkich istotnych informacji.</w:t>
      </w:r>
    </w:p>
    <w:p w:rsidR="00245C15" w:rsidRPr="001823B5" w:rsidRDefault="00245C15" w:rsidP="001823B5">
      <w:pPr>
        <w:pStyle w:val="ECHRPara"/>
      </w:pPr>
      <w:r w:rsidRPr="001823B5">
        <w:t>82</w:t>
      </w:r>
      <w:r>
        <w:t>. Rząd uznał, że gromadzenie i przechowywanie informacji dotyczących skarżącego stanowiło ingerencję w jego prawo do poszanowania życia prywatnego. Jednakże, opierając się na ustaleniach Sądu Najwyższego, utrzymywał, że ingerencja ta była bardzo ograniczona.</w:t>
      </w:r>
    </w:p>
    <w:p w:rsidR="00245C15" w:rsidRPr="001823B5" w:rsidRDefault="00245C15" w:rsidP="001823B5">
      <w:pPr>
        <w:pStyle w:val="ECHRPara"/>
      </w:pPr>
      <w:r w:rsidRPr="001823B5">
        <w:t>83</w:t>
      </w:r>
      <w:r>
        <w:t xml:space="preserve">. Opierał się również na ustaleniach Sądu Najwyższego, że ingerencja ta była </w:t>
      </w:r>
      <w:r w:rsidR="00BF1C33">
        <w:t>przewidziana przez ustawę</w:t>
      </w:r>
      <w:r>
        <w:t>, podlegając ustawie o ochronie danych osobowych z 1998 r. oraz ustawowemu kodeksowi praktyki i wytycznych (</w:t>
      </w:r>
      <w:r w:rsidRPr="00582ACE">
        <w:rPr>
          <w:i/>
        </w:rPr>
        <w:t>Code of Practice and Guidance</w:t>
      </w:r>
      <w:r>
        <w:t>).</w:t>
      </w:r>
    </w:p>
    <w:p w:rsidR="00245C15" w:rsidRPr="001823B5" w:rsidRDefault="00245C15" w:rsidP="001823B5">
      <w:pPr>
        <w:pStyle w:val="ECHRPara"/>
      </w:pPr>
      <w:r w:rsidRPr="001823B5">
        <w:t>84</w:t>
      </w:r>
      <w:r>
        <w:t>. Jeśli chodzi o konieczność przechowywania informacji dotyczących skarżącego, Rząd podkreślił, że różnice zdań między Sądem Apelacyjnym a</w:t>
      </w:r>
      <w:r w:rsidR="00662C06">
        <w:t> </w:t>
      </w:r>
      <w:r>
        <w:t>Sądem Najwyższym odzwierciedlają opinie obu sądów na temat dowodów. Odnosząc się do szerokiego zakresu kontroli sądowej w tej kwestii n</w:t>
      </w:r>
      <w:r w:rsidR="00582ACE">
        <w:t>a</w:t>
      </w:r>
      <w:r w:rsidR="00662C06">
        <w:t> </w:t>
      </w:r>
      <w:r w:rsidR="00582ACE">
        <w:t>szczeblu krajowym, utrzymywał on</w:t>
      </w:r>
      <w:r>
        <w:t xml:space="preserve">, że to, czy konieczne jest zatrzymanie danych skarżącego, mieści się w granicach marginesu </w:t>
      </w:r>
      <w:r w:rsidR="00EF68B7">
        <w:t>oceny</w:t>
      </w:r>
      <w:r>
        <w:t xml:space="preserve"> państwa.</w:t>
      </w:r>
    </w:p>
    <w:p w:rsidR="00245C15" w:rsidRPr="001823B5" w:rsidRDefault="00245C15" w:rsidP="001823B5">
      <w:pPr>
        <w:pStyle w:val="ECHRPara"/>
      </w:pPr>
      <w:r w:rsidRPr="001823B5">
        <w:t>85</w:t>
      </w:r>
      <w:r>
        <w:t>. W odniesieniu do ujawnienia dodatkowych raportów dotyczących skarżącego po zakończeniu postępowania krajowego Rząd stwierdził, że</w:t>
      </w:r>
      <w:r w:rsidR="00662C06">
        <w:t> </w:t>
      </w:r>
      <w:r>
        <w:t>nie</w:t>
      </w:r>
      <w:r w:rsidR="00662C06">
        <w:t> </w:t>
      </w:r>
      <w:r>
        <w:t>mają one żadnego szczególnego wpływu na treść wyroków krajowych i</w:t>
      </w:r>
      <w:r w:rsidR="00662C06">
        <w:t> </w:t>
      </w:r>
      <w:r>
        <w:t>że</w:t>
      </w:r>
      <w:r w:rsidR="00662C06">
        <w:t> </w:t>
      </w:r>
      <w:r>
        <w:t>skarżący powinien skorzystać z krajowych środków odwoławczych w</w:t>
      </w:r>
      <w:r w:rsidR="00662C06">
        <w:t> </w:t>
      </w:r>
      <w:r>
        <w:t>celu wniesienia skargi dotyczącej tych ujawnień, na przykład w drodze kontroli sądowej.</w:t>
      </w:r>
    </w:p>
    <w:p w:rsidR="00245C15" w:rsidRPr="001823B5" w:rsidRDefault="00245C15" w:rsidP="001823B5">
      <w:pPr>
        <w:pStyle w:val="ECHRHeading3"/>
      </w:pPr>
      <w:r>
        <w:t>2. Oświadczenia interwenientów ubocznych</w:t>
      </w:r>
    </w:p>
    <w:p w:rsidR="00245C15" w:rsidRPr="001823B5" w:rsidRDefault="00245C15" w:rsidP="001823B5">
      <w:pPr>
        <w:pStyle w:val="ECHRHeading4"/>
      </w:pPr>
      <w:r>
        <w:t>a) Komisja Równości i Praw Człowieka</w:t>
      </w:r>
    </w:p>
    <w:p w:rsidR="00245C15" w:rsidRPr="001823B5" w:rsidRDefault="00245C15" w:rsidP="001823B5">
      <w:pPr>
        <w:pStyle w:val="ECHRPara"/>
      </w:pPr>
      <w:bookmarkStart w:id="3" w:name="EHRCstart"/>
      <w:r w:rsidRPr="001823B5">
        <w:t>86</w:t>
      </w:r>
      <w:bookmarkEnd w:id="3"/>
      <w:r>
        <w:t xml:space="preserve">. Komisja Równości i Praw Człowieka (Equality and Human Rights Commission, EHRC) przedłożyła uwagi dotyczące bazy danych </w:t>
      </w:r>
      <w:r>
        <w:lastRenderedPageBreak/>
        <w:t>o</w:t>
      </w:r>
      <w:r w:rsidR="00662C06">
        <w:t> </w:t>
      </w:r>
      <w:r>
        <w:t>ekstremizmie (</w:t>
      </w:r>
      <w:r w:rsidRPr="00721680">
        <w:rPr>
          <w:i/>
        </w:rPr>
        <w:t>Extremism Database</w:t>
      </w:r>
      <w:r>
        <w:t xml:space="preserve">), którą określiła jako skomputeryzowaną i przeszukiwalną policyjną bazę danych, gdzie przechowywane są duże ilości danych wywiadowczych na temat legalnych protestów publicznych i osób biorących w nich udział. Według EHRC, baza danych nie została utworzona na mocy żadnego aktu </w:t>
      </w:r>
      <w:r w:rsidR="00464632">
        <w:t>ustawowego</w:t>
      </w:r>
      <w:r>
        <w:t>, nie ma żadnych podstaw prawnych i żadna opublikowana polityka nie odnosi się do jej utworzenia, celów lub funkcji.</w:t>
      </w:r>
    </w:p>
    <w:p w:rsidR="00245C15" w:rsidRPr="001823B5" w:rsidRDefault="00245C15" w:rsidP="001823B5">
      <w:pPr>
        <w:pStyle w:val="ECHRPara"/>
      </w:pPr>
      <w:r w:rsidRPr="001823B5">
        <w:t>87</w:t>
      </w:r>
      <w:r>
        <w:t>. W interwencji przywołano odpowiednie normy i wytyczne określone w różnych instrumentach międzynarodowych, w tym w art</w:t>
      </w:r>
      <w:r w:rsidR="00381767">
        <w:t>.</w:t>
      </w:r>
      <w:r>
        <w:t xml:space="preserve"> 17 Międzynarodowego paktu praw obywatelskich i politycznych oraz w</w:t>
      </w:r>
      <w:r w:rsidR="00662C06">
        <w:t> </w:t>
      </w:r>
      <w:r>
        <w:t>zaleceniu R</w:t>
      </w:r>
      <w:r w:rsidR="009F65AE">
        <w:t xml:space="preserve"> </w:t>
      </w:r>
      <w:r>
        <w:t>(87)</w:t>
      </w:r>
      <w:r w:rsidR="009F65AE">
        <w:t xml:space="preserve"> 15</w:t>
      </w:r>
      <w:r>
        <w:t xml:space="preserve"> Komitetu Ministrów Rady Europy dotyczącym wykorzystania danych osobowych w sektorze policji. Opierając się na</w:t>
      </w:r>
      <w:r w:rsidR="00662C06">
        <w:t> </w:t>
      </w:r>
      <w:r>
        <w:t xml:space="preserve">orzecznictwie tego Trybunału oraz Trybunału Sprawiedliwości Unii Europejskiej, Komisja dalej określiła, co uważa za podstawowe minimalne zasady wymagane do spełnienia wymogu, aby </w:t>
      </w:r>
      <w:r w:rsidR="008E78F5">
        <w:t>reżim</w:t>
      </w:r>
      <w:r>
        <w:t xml:space="preserve"> prawny był „</w:t>
      </w:r>
      <w:r w:rsidR="008E78F5">
        <w:t xml:space="preserve">przewidziany przez </w:t>
      </w:r>
      <w:r w:rsidR="00464632">
        <w:t>ustaw</w:t>
      </w:r>
      <w:r w:rsidR="008E78F5">
        <w:t>ę</w:t>
      </w:r>
      <w:r>
        <w:t>” w kontekście policyjnej bazy danych będącej przedmiotem niniejszej sprawy. Są to następujące zasady:</w:t>
      </w:r>
    </w:p>
    <w:p w:rsidR="00245C15" w:rsidRPr="001823B5" w:rsidRDefault="00245C15" w:rsidP="001823B5">
      <w:pPr>
        <w:pStyle w:val="JuParaSub"/>
      </w:pPr>
      <w:r>
        <w:t>(i) nadanie uprawnień policji musi być publikowane i publicznie dostępne;</w:t>
      </w:r>
    </w:p>
    <w:p w:rsidR="00245C15" w:rsidRPr="001823B5" w:rsidRDefault="00245C15" w:rsidP="001823B5">
      <w:pPr>
        <w:pStyle w:val="JuParaSub"/>
      </w:pPr>
      <w:r>
        <w:t>(ii) wymagane są jasne i publicznie dostępne zabezpieczenia w celu zagwarantowania, by ingerencja nie nastąpiła w sposób arbitralny, niewłaściwy lub niepotrzebny;</w:t>
      </w:r>
    </w:p>
    <w:p w:rsidR="00245C15" w:rsidRPr="001823B5" w:rsidRDefault="00245C15" w:rsidP="001823B5">
      <w:pPr>
        <w:pStyle w:val="JuParaSub"/>
      </w:pPr>
      <w:r>
        <w:t>(iii) muszą istnieć jasne i dostępne kryteria umożliwiające osobom fizycznym, których dane osobowe są przechowywane, zapewnienie ich</w:t>
      </w:r>
      <w:r w:rsidR="00662C06">
        <w:t> </w:t>
      </w:r>
      <w:r>
        <w:t>usunięcia, w tym w drodze niezależne</w:t>
      </w:r>
      <w:r w:rsidR="009378C0">
        <w:t>j kontroli</w:t>
      </w:r>
      <w:r>
        <w:t>;</w:t>
      </w:r>
    </w:p>
    <w:p w:rsidR="00245C15" w:rsidRPr="001823B5" w:rsidRDefault="00245C15" w:rsidP="001823B5">
      <w:pPr>
        <w:pStyle w:val="JuParaSub"/>
      </w:pPr>
      <w:r>
        <w:t>(iv) należy usuwać informacje dotyczące osób, których nie podejrzewa się o działalność przestępczą.</w:t>
      </w:r>
    </w:p>
    <w:p w:rsidR="00245C15" w:rsidRPr="001823B5" w:rsidRDefault="00245C15" w:rsidP="001823B5">
      <w:pPr>
        <w:pStyle w:val="ECHRPara"/>
      </w:pPr>
      <w:bookmarkStart w:id="4" w:name="EHRCend"/>
      <w:r w:rsidRPr="001823B5">
        <w:t>88</w:t>
      </w:r>
      <w:bookmarkEnd w:id="4"/>
      <w:r>
        <w:t xml:space="preserve">. Następnie EHRC stwierdziła brak minimalnych zabezpieczeń bazy danych o ekstremizmie. Podkreśliła również niebezpieczeństwo „efektu </w:t>
      </w:r>
      <w:r w:rsidR="009378C0">
        <w:t>mrożącego</w:t>
      </w:r>
      <w:r>
        <w:t>” dla uprawnionych protestów politycznych, w przypadku gdy baza danych o ekstremizmie zawiera informacje o działalności politycznej.</w:t>
      </w:r>
    </w:p>
    <w:p w:rsidR="00245C15" w:rsidRPr="001823B5" w:rsidRDefault="00245C15" w:rsidP="001823B5">
      <w:pPr>
        <w:pStyle w:val="ECHRHeading4"/>
      </w:pPr>
      <w:r>
        <w:t>b) Privacy International</w:t>
      </w:r>
    </w:p>
    <w:p w:rsidR="00245C15" w:rsidRPr="001823B5" w:rsidRDefault="00245C15" w:rsidP="001823B5">
      <w:pPr>
        <w:pStyle w:val="ECHRPara"/>
      </w:pPr>
      <w:r w:rsidRPr="001823B5">
        <w:t>89</w:t>
      </w:r>
      <w:r>
        <w:t>. Privacy International jest organizacją pozarządową z siedzibą w</w:t>
      </w:r>
      <w:r w:rsidR="00662C06">
        <w:t> </w:t>
      </w:r>
      <w:r>
        <w:t xml:space="preserve">Zjednoczonym Królestwie, która zajmuje się bezprawnym wykorzystywaniem </w:t>
      </w:r>
      <w:r w:rsidRPr="005F756F">
        <w:t>nadzoru</w:t>
      </w:r>
      <w:r w:rsidR="005F756F">
        <w:t xml:space="preserve"> (</w:t>
      </w:r>
      <w:r w:rsidR="005F756F" w:rsidRPr="005F756F">
        <w:rPr>
          <w:i/>
        </w:rPr>
        <w:t>surveillance</w:t>
      </w:r>
      <w:r w:rsidR="005F756F">
        <w:t>)</w:t>
      </w:r>
      <w:r w:rsidRPr="005F756F">
        <w:t>.</w:t>
      </w:r>
    </w:p>
    <w:p w:rsidR="00245C15" w:rsidRPr="001823B5" w:rsidRDefault="00245C15" w:rsidP="001823B5">
      <w:pPr>
        <w:pStyle w:val="ECHRPara"/>
      </w:pPr>
      <w:r w:rsidRPr="001823B5">
        <w:t>90</w:t>
      </w:r>
      <w:r>
        <w:t xml:space="preserve">. Privacy International skrytykowała dokonaną przez Sąd Najwyższy kwalifikację ingerencji w prawo skarżącego do prywatności jako drobną, ponieważ dotyczy ona działań, które miały miejsce publicznie, podkreślając, że gromadzenie takich informacji powinno być postrzegane w tym kontekście. Privacy International argumentowała, że wraz z szybkim rozwojem technologicznym podejście to umożliwiłoby monitorowanie dużych ilości informacji, które są w pewnym stopniu publiczne, takich jak informacje z mediów społecznościowych, technologia rozpoznawania </w:t>
      </w:r>
      <w:r>
        <w:lastRenderedPageBreak/>
        <w:t xml:space="preserve">twarzy, kamery noszone na ciele, CCTV i technologia automatycznego rozpoznawania tablic rejestracyjnych. Skrytykowała brak </w:t>
      </w:r>
      <w:r w:rsidR="009378C0">
        <w:t>ustawodawstwa regulującego</w:t>
      </w:r>
      <w:r>
        <w:t xml:space="preserve"> gromadzenie i wykorzystywanie danych uzyskanych z takich źródeł.</w:t>
      </w:r>
    </w:p>
    <w:p w:rsidR="00245C15" w:rsidRPr="001823B5" w:rsidRDefault="00245C15" w:rsidP="001823B5">
      <w:pPr>
        <w:pStyle w:val="ECHRPara"/>
      </w:pPr>
      <w:r w:rsidRPr="001823B5">
        <w:t>91</w:t>
      </w:r>
      <w:r>
        <w:t>. Privacy International stwierdziła, że zatrzymywanie takich danych jest naruszeniem prawa do prywatności, a także prawa do wolności</w:t>
      </w:r>
      <w:r w:rsidR="009378C0">
        <w:t xml:space="preserve"> wyrażania opinii</w:t>
      </w:r>
      <w:r>
        <w:t>, podkreślając ponownie, że takie naruszenie nie może być uznane za</w:t>
      </w:r>
      <w:r w:rsidR="00662C06">
        <w:t> </w:t>
      </w:r>
      <w:r>
        <w:t>drobne.</w:t>
      </w:r>
    </w:p>
    <w:p w:rsidR="00245C15" w:rsidRPr="001823B5" w:rsidRDefault="00245C15" w:rsidP="001823B5">
      <w:pPr>
        <w:pStyle w:val="ECHRHeading3"/>
      </w:pPr>
      <w:r>
        <w:t>3. Ocena Trybunału</w:t>
      </w:r>
    </w:p>
    <w:p w:rsidR="00245C15" w:rsidRPr="001823B5" w:rsidRDefault="00A25FB8" w:rsidP="001823B5">
      <w:pPr>
        <w:pStyle w:val="ECHRHeading4"/>
      </w:pPr>
      <w:r>
        <w:t>a</w:t>
      </w:r>
      <w:bookmarkStart w:id="5" w:name="_GoBack"/>
      <w:bookmarkEnd w:id="5"/>
      <w:r w:rsidR="00245C15">
        <w:t>) Ingerencja</w:t>
      </w:r>
    </w:p>
    <w:p w:rsidR="00245C15" w:rsidRPr="001823B5" w:rsidRDefault="00245C15" w:rsidP="001823B5">
      <w:pPr>
        <w:pStyle w:val="ECHRPara"/>
      </w:pPr>
      <w:r w:rsidRPr="001823B5">
        <w:t>92</w:t>
      </w:r>
      <w:r>
        <w:t>. W świetle wniosków Sądu Najwyższego Rząd przyznał, że</w:t>
      </w:r>
      <w:r w:rsidR="00662C06">
        <w:t> </w:t>
      </w:r>
      <w:r>
        <w:t>gromadzenie i przechowywanie danych osobowych skarżącego naruszało jego prawa wynikające z art. 8. Twierdził on jednak, że naruszenie praw skarżącego było ograniczone.</w:t>
      </w:r>
    </w:p>
    <w:p w:rsidR="00245C15" w:rsidRPr="001823B5" w:rsidRDefault="00245C15" w:rsidP="001823B5">
      <w:pPr>
        <w:pStyle w:val="ECHRPara"/>
      </w:pPr>
      <w:bookmarkStart w:id="6" w:name="para75"/>
      <w:r w:rsidRPr="001823B5">
        <w:t>93</w:t>
      </w:r>
      <w:bookmarkEnd w:id="6"/>
      <w:r>
        <w:t>. Trybunał przypom</w:t>
      </w:r>
      <w:r w:rsidR="009378C0">
        <w:t>ina</w:t>
      </w:r>
      <w:r>
        <w:t>, że w jego orzecznictwie powszechnie uznaje się, że samo przechowywanie informacji stanowi ingerencję w prawo skarżących do poszanowania życia prywatnego, zagwarantowane w art</w:t>
      </w:r>
      <w:r w:rsidR="00381767">
        <w:t>.</w:t>
      </w:r>
      <w:r>
        <w:t xml:space="preserve"> 8 ust. 1 Konwencji (zob.</w:t>
      </w:r>
      <w:r w:rsidR="00833EEB">
        <w:t xml:space="preserve"> </w:t>
      </w:r>
      <w:r>
        <w:t>S</w:t>
      </w:r>
      <w:r w:rsidRPr="009378C0">
        <w:rPr>
          <w:i/>
        </w:rPr>
        <w:t>. i Marper</w:t>
      </w:r>
      <w:r>
        <w:t xml:space="preserve">, </w:t>
      </w:r>
      <w:r w:rsidRPr="005F756F">
        <w:t>cyt</w:t>
      </w:r>
      <w:r w:rsidR="009378C0" w:rsidRPr="005F756F">
        <w:t>.</w:t>
      </w:r>
      <w:r w:rsidRPr="005F756F">
        <w:t xml:space="preserve"> powyżej,</w:t>
      </w:r>
      <w:r>
        <w:t xml:space="preserve"> § 67 i</w:t>
      </w:r>
      <w:r w:rsidR="00833EEB">
        <w:t xml:space="preserve"> </w:t>
      </w:r>
      <w:r w:rsidRPr="009378C0">
        <w:rPr>
          <w:i/>
        </w:rPr>
        <w:t>Segerstedt-Wiberg i inni przeciwko Szwecji</w:t>
      </w:r>
      <w:r>
        <w:t xml:space="preserve">, nr 62332/00, § 73, </w:t>
      </w:r>
      <w:r w:rsidR="00833EEB">
        <w:t>ETPC</w:t>
      </w:r>
      <w:r>
        <w:t xml:space="preserve"> 2006</w:t>
      </w:r>
      <w:r>
        <w:noBreakHyphen/>
        <w:t>VII z dalszymi odniesieniami). Trybunał uważa, że do kwestii rzekomego „ograniczonego” charakteru ingerencji w prawa skarżącego należy raczej podejść w kontekście tego, czy ingerencja ta była konieczna w demokratycznym społeczeństwie (</w:t>
      </w:r>
      <w:r w:rsidR="00D87A64">
        <w:t>zob. paragraf</w:t>
      </w:r>
      <w:r w:rsidR="009467A4">
        <w:t>y</w:t>
      </w:r>
      <w:r>
        <w:t xml:space="preserve"> </w:t>
      </w:r>
      <w:r w:rsidRPr="001823B5">
        <w:t>109</w:t>
      </w:r>
      <w:r>
        <w:t>-</w:t>
      </w:r>
      <w:r w:rsidRPr="001823B5">
        <w:t>128</w:t>
      </w:r>
      <w:r>
        <w:t>, poniżej).</w:t>
      </w:r>
    </w:p>
    <w:p w:rsidR="00245C15" w:rsidRPr="001823B5" w:rsidRDefault="00245C15" w:rsidP="001823B5">
      <w:pPr>
        <w:pStyle w:val="ECHRHeading4"/>
      </w:pPr>
      <w:r>
        <w:t>b) Uzasadnienie</w:t>
      </w:r>
    </w:p>
    <w:p w:rsidR="00245C15" w:rsidRPr="001823B5" w:rsidRDefault="00245C15" w:rsidP="001823B5">
      <w:pPr>
        <w:pStyle w:val="ECHRHeading5"/>
      </w:pPr>
      <w:r>
        <w:t xml:space="preserve">(i) </w:t>
      </w:r>
      <w:r w:rsidR="002D24F4">
        <w:t>Przewidziana przez ustawę</w:t>
      </w:r>
    </w:p>
    <w:p w:rsidR="00245C15" w:rsidRPr="001823B5" w:rsidRDefault="00245C15" w:rsidP="001823B5">
      <w:pPr>
        <w:pStyle w:val="ECHRPara"/>
      </w:pPr>
      <w:r w:rsidRPr="001823B5">
        <w:t>94</w:t>
      </w:r>
      <w:r>
        <w:t>. Jak przypomniał Trybunał, wyrażenie „</w:t>
      </w:r>
      <w:r w:rsidR="002D24F4">
        <w:t>przewidzian</w:t>
      </w:r>
      <w:r w:rsidR="008E78F5">
        <w:t>y</w:t>
      </w:r>
      <w:r w:rsidR="002D24F4">
        <w:t xml:space="preserve"> przez </w:t>
      </w:r>
      <w:r w:rsidR="009B3856">
        <w:t>ustawą</w:t>
      </w:r>
      <w:r>
        <w:t>” nie tylko wymaga, aby zaskarżony środek miał pewne podstawy w prawie krajowym, ale także odnosi się do jakości przedmiotowego prawa, wymagając, aby było ono dostępne dla zainteresowanej osoby i</w:t>
      </w:r>
      <w:r w:rsidR="00662C06">
        <w:t> </w:t>
      </w:r>
      <w:r>
        <w:t>przewidywalne co do jego skutków. Aby prawo krajowe spełniało te</w:t>
      </w:r>
      <w:r w:rsidR="00662C06">
        <w:t> </w:t>
      </w:r>
      <w:r>
        <w:t>wymogi, musi ono zapewniać odpowiednią ochronę prawną przed arbitralnością i w związku z tym wskazywać dostatecznie jasno zakres i</w:t>
      </w:r>
      <w:r w:rsidR="00662C06">
        <w:t> </w:t>
      </w:r>
      <w:r>
        <w:t>swobodę decyzyjną przyznaną właściwym organom oraz sposób jego wykonywania (zob. m.in.</w:t>
      </w:r>
      <w:r w:rsidR="00833EEB">
        <w:t xml:space="preserve"> </w:t>
      </w:r>
      <w:r w:rsidRPr="009B3856">
        <w:rPr>
          <w:i/>
        </w:rPr>
        <w:t>M.M. przeciwko Zjednoczonemu Królestwu</w:t>
      </w:r>
      <w:r>
        <w:t>, nr</w:t>
      </w:r>
      <w:r w:rsidR="00662C06">
        <w:t> </w:t>
      </w:r>
      <w:r>
        <w:t>24029/07, § 193, 13 listopada 2012 z dalszymi odniesieniami).</w:t>
      </w:r>
    </w:p>
    <w:p w:rsidR="00245C15" w:rsidRPr="001823B5" w:rsidRDefault="00245C15" w:rsidP="001823B5">
      <w:pPr>
        <w:pStyle w:val="ECHRPara"/>
      </w:pPr>
      <w:r w:rsidRPr="001823B5">
        <w:t>95</w:t>
      </w:r>
      <w:r>
        <w:t>. Trybunał zauważył również, że istnieją różne kluczowe etapy, na</w:t>
      </w:r>
      <w:r w:rsidR="00662C06">
        <w:t> </w:t>
      </w:r>
      <w:r>
        <w:t>których mogą pojawić się kwestie ochrony danych na mocy art. 8 Konwencji, w tym podczas gromadzenia, przechowywania, wykorzystywania i przekazywania danych (</w:t>
      </w:r>
      <w:r w:rsidRPr="009B3856">
        <w:rPr>
          <w:i/>
        </w:rPr>
        <w:t>M.M.,</w:t>
      </w:r>
      <w:r w:rsidR="009B3856" w:rsidRPr="009B3856">
        <w:t xml:space="preserve"> </w:t>
      </w:r>
      <w:r w:rsidR="009B3856">
        <w:t>cyt. powyżej,</w:t>
      </w:r>
      <w:r>
        <w:t xml:space="preserve"> § 195).</w:t>
      </w:r>
    </w:p>
    <w:p w:rsidR="00245C15" w:rsidRPr="001823B5" w:rsidRDefault="00245C15" w:rsidP="001823B5">
      <w:pPr>
        <w:pStyle w:val="ECHRHeading6"/>
      </w:pPr>
      <w:r>
        <w:lastRenderedPageBreak/>
        <w:t>(α) Gromadzenie danych</w:t>
      </w:r>
    </w:p>
    <w:p w:rsidR="00245C15" w:rsidRPr="001823B5" w:rsidRDefault="00245C15" w:rsidP="001823B5">
      <w:pPr>
        <w:pStyle w:val="ECHRPara"/>
      </w:pPr>
      <w:r w:rsidRPr="001823B5">
        <w:t>96</w:t>
      </w:r>
      <w:r>
        <w:t>. W odniesieniu do kwestii gromadzenia danych Trybunał odnotowuje, że w niniejszej sprawie gromadzenie danych odbywało się na podstawie ogólnych uprawnień policyjnych w common law, w odniesieniu do roboczej definicji „ekstremizmu krajowego”. Definicja ta różniła się w zależności od</w:t>
      </w:r>
      <w:r w:rsidR="00662C06">
        <w:t> </w:t>
      </w:r>
      <w:r>
        <w:t>organów policyjnych, a jej niejednoznaczność była krytykowana przez</w:t>
      </w:r>
      <w:r w:rsidR="00827205" w:rsidRPr="00827205">
        <w:t xml:space="preserve"> </w:t>
      </w:r>
      <w:r w:rsidR="005F756F" w:rsidRPr="005F756F">
        <w:t>Inspektorat Policji Jej Królewskiej Mości (</w:t>
      </w:r>
      <w:r w:rsidR="00827205" w:rsidRPr="005F756F">
        <w:rPr>
          <w:i/>
        </w:rPr>
        <w:t>Her Majesty’s Inspectorate of</w:t>
      </w:r>
      <w:r w:rsidR="00662C06">
        <w:rPr>
          <w:i/>
        </w:rPr>
        <w:t> </w:t>
      </w:r>
      <w:r w:rsidR="00827205" w:rsidRPr="005F756F">
        <w:rPr>
          <w:i/>
        </w:rPr>
        <w:t>Constabulary</w:t>
      </w:r>
      <w:r w:rsidR="00827205" w:rsidRPr="005F756F">
        <w:t>,</w:t>
      </w:r>
      <w:r w:rsidRPr="005F756F">
        <w:t xml:space="preserve"> </w:t>
      </w:r>
      <w:r w:rsidR="005F756F" w:rsidRPr="005F756F">
        <w:t>„</w:t>
      </w:r>
      <w:r w:rsidRPr="005F756F">
        <w:t>HMIC</w:t>
      </w:r>
      <w:r w:rsidR="005F756F" w:rsidRPr="005F756F">
        <w:t>”,</w:t>
      </w:r>
      <w:r w:rsidRPr="005F756F">
        <w:t xml:space="preserve"> </w:t>
      </w:r>
      <w:r w:rsidR="00D87A64" w:rsidRPr="005F756F">
        <w:t>zob. paragraf</w:t>
      </w:r>
      <w:r w:rsidRPr="005F756F">
        <w:t xml:space="preserve"> 52 powyżej).</w:t>
      </w:r>
    </w:p>
    <w:p w:rsidR="00245C15" w:rsidRPr="001823B5" w:rsidRDefault="00245C15" w:rsidP="001823B5">
      <w:pPr>
        <w:pStyle w:val="ECHRPara"/>
      </w:pPr>
      <w:bookmarkStart w:id="7" w:name="para82"/>
      <w:r w:rsidRPr="001823B5">
        <w:t>97</w:t>
      </w:r>
      <w:bookmarkEnd w:id="7"/>
      <w:r>
        <w:t>. W świetle ogólnego charakteru uprawnień policji oraz różnorodności definicji terminu „ekstremizm krajowy” Trybunał uważa, że istniała znaczna niejednoznaczność co do kryteriów stosowanych przez policję przy gromadzeniu przedmiotowych danych. Trybunał zauważa, że – jak się wydaje – być może w związku z tym przedmiotowa baza danych została zgromadzona w sposób nieco doraźny. Dlatego Trybunał zgadza się ze</w:t>
      </w:r>
      <w:r w:rsidR="00662C06">
        <w:t> </w:t>
      </w:r>
      <w:r>
        <w:t>skarżącym, że na podstawie dostępnych informacji trudno jest określić dokładny zakres i treść gromadzonych i opracowywanych danych w celu utworzenia bazy danych.</w:t>
      </w:r>
    </w:p>
    <w:p w:rsidR="00245C15" w:rsidRPr="001823B5" w:rsidRDefault="00245C15" w:rsidP="001823B5">
      <w:pPr>
        <w:pStyle w:val="ECHRPara"/>
      </w:pPr>
      <w:r w:rsidRPr="001823B5">
        <w:t>98</w:t>
      </w:r>
      <w:r>
        <w:t xml:space="preserve">. Jednak </w:t>
      </w:r>
      <w:r w:rsidR="00827205">
        <w:t xml:space="preserve">Rząd </w:t>
      </w:r>
      <w:r>
        <w:t>argumentował, że utworzenie bazy danych nie musi być ustawowo umocowane. Trybunał uważa, że twierdzenie to jest poparte zasadą 3.1. rezolucji Komitetu Ministrów (74) 29 w sprawie ochrony prywatności osób fizycznych wobec elektronicznych banków danych w</w:t>
      </w:r>
      <w:r w:rsidR="00662C06">
        <w:t> </w:t>
      </w:r>
      <w:r>
        <w:t>sektorze publicznym (</w:t>
      </w:r>
      <w:r w:rsidR="00D87A64">
        <w:t>zob. paragraf</w:t>
      </w:r>
      <w:r>
        <w:t xml:space="preserve"> </w:t>
      </w:r>
      <w:r w:rsidRPr="001823B5">
        <w:t>61</w:t>
      </w:r>
      <w:r>
        <w:t xml:space="preserve"> powyżej), która stanowi, że</w:t>
      </w:r>
      <w:r w:rsidR="00662C06">
        <w:t> </w:t>
      </w:r>
      <w:r>
        <w:t>powstanie takich banków danych musi być przewidziane w ustawie lub w</w:t>
      </w:r>
      <w:r w:rsidR="00662C06">
        <w:t> </w:t>
      </w:r>
      <w:r>
        <w:t>specjalnym rozporządzeniu albo podane do wiadomości publicznej w</w:t>
      </w:r>
      <w:r w:rsidR="00662C06">
        <w:t> </w:t>
      </w:r>
      <w:r>
        <w:t>oświadczeniu lub dokumencie, zgodnie z systemem prawnym każdego państwa członkowskiego. W związku z tym Trybunał zauważa, że</w:t>
      </w:r>
      <w:r w:rsidR="00662C06">
        <w:t> </w:t>
      </w:r>
      <w:r>
        <w:t xml:space="preserve">„zarządzanie” danymi było regulowane </w:t>
      </w:r>
      <w:r w:rsidR="00827205">
        <w:t xml:space="preserve">ustawodawstwem </w:t>
      </w:r>
      <w:r>
        <w:t>i kodeksem postępowania (</w:t>
      </w:r>
      <w:r w:rsidR="00D87A64">
        <w:t>zob. paragraf</w:t>
      </w:r>
      <w:r w:rsidR="00827205">
        <w:t>y</w:t>
      </w:r>
      <w:r>
        <w:t xml:space="preserve"> </w:t>
      </w:r>
      <w:r w:rsidRPr="001823B5">
        <w:t>37</w:t>
      </w:r>
      <w:r>
        <w:t>-</w:t>
      </w:r>
      <w:r w:rsidRPr="001823B5">
        <w:t>40</w:t>
      </w:r>
      <w:r>
        <w:t xml:space="preserve"> i</w:t>
      </w:r>
      <w:r w:rsidR="00827205">
        <w:t xml:space="preserve"> paragraf</w:t>
      </w:r>
      <w:r>
        <w:t xml:space="preserve"> </w:t>
      </w:r>
      <w:r w:rsidRPr="001823B5">
        <w:t>99</w:t>
      </w:r>
      <w:r>
        <w:t>), podczas gdy ogólne uprawnienia policji, które pozwalały na gromadzenie danych, były przewidziane w common law. Na poparcie swojego wniosku, że gromadzenie danych skarżącego było możliwe do przewidzenia, Sąd Najwyższy powołał się na sprawozdanie HMIC z 2003 r. (zob. § 28 jego wyroku) oraz na</w:t>
      </w:r>
      <w:r w:rsidR="00662C06">
        <w:t> </w:t>
      </w:r>
      <w:r>
        <w:t>równoczesne doniesienia prasowe. Trybunał zauważ</w:t>
      </w:r>
      <w:r w:rsidR="00930002">
        <w:t>a</w:t>
      </w:r>
      <w:r>
        <w:t xml:space="preserve">, że istnienie konkretnej bazy danych zostało wyraźnie uznane dopiero w postępowaniu krajowym w tej sprawie, chociaż przyznaje, że na podstawie publicznie dostępnych informacji można było wywnioskować, że policja prawdopodobnie </w:t>
      </w:r>
      <w:r w:rsidR="00930002">
        <w:t>prowadziła</w:t>
      </w:r>
      <w:r>
        <w:t xml:space="preserve"> taką bazę danych.</w:t>
      </w:r>
    </w:p>
    <w:p w:rsidR="00245C15" w:rsidRPr="001823B5" w:rsidRDefault="00245C15" w:rsidP="001823B5">
      <w:pPr>
        <w:pStyle w:val="ECHRPara"/>
      </w:pPr>
      <w:bookmarkStart w:id="8" w:name="Itisofconcern"/>
      <w:r w:rsidRPr="001823B5">
        <w:t>99</w:t>
      </w:r>
      <w:bookmarkEnd w:id="8"/>
      <w:r>
        <w:t>. Obawy budzi fakt, że gromadzenie danych do celów tej bazy danych nie miało jaśniejszej i bardziej spójnej podstawy prawnej. Ramy regulujące gromadzenie danych dotyczących skarżącego nie mogą być jednak postrzegane w oderwaniu od przepisów regulujących zatrzymywanie i</w:t>
      </w:r>
      <w:r w:rsidR="00662C06">
        <w:t> </w:t>
      </w:r>
      <w:r>
        <w:t>wykorzystywanie danych osobowych skarżącego. W związku z tym, zanim dojdzie do rozstrzygnięcia w tym zakresie, Trybunał zamierza zbadać przepisy, które nakładają pewne środki ochrony prawnej przed arbitralnością.</w:t>
      </w:r>
    </w:p>
    <w:p w:rsidR="00245C15" w:rsidRPr="001823B5" w:rsidRDefault="00245C15" w:rsidP="001823B5">
      <w:pPr>
        <w:pStyle w:val="ECHRHeading6"/>
      </w:pPr>
      <w:r>
        <w:lastRenderedPageBreak/>
        <w:t>(β) Zatrzymywanie i wykorzystywanie danych</w:t>
      </w:r>
    </w:p>
    <w:p w:rsidR="00245C15" w:rsidRPr="001823B5" w:rsidRDefault="00245C15" w:rsidP="001823B5">
      <w:pPr>
        <w:pStyle w:val="ECHRPara"/>
      </w:pPr>
      <w:r w:rsidRPr="001823B5">
        <w:t>100</w:t>
      </w:r>
      <w:r>
        <w:t xml:space="preserve">. Trybunał zbadał ostatnio przepisy regulujące zatrzymywanie danych w niniejszej sprawie w cytowanym powyżej wyroku w sprawie </w:t>
      </w:r>
      <w:r>
        <w:rPr>
          <w:i/>
          <w:iCs/>
        </w:rPr>
        <w:t>M.M</w:t>
      </w:r>
      <w:r>
        <w:t>. Przepisy te to ustawa o ochronie danych osobowych (</w:t>
      </w:r>
      <w:r w:rsidRPr="00107798">
        <w:rPr>
          <w:i/>
        </w:rPr>
        <w:t>Data Protection Act</w:t>
      </w:r>
      <w:r>
        <w:t>) oraz Kodeks postępowania w zakresie zarządzania informacjami policyjnymi (</w:t>
      </w:r>
      <w:r w:rsidRPr="00107798">
        <w:rPr>
          <w:i/>
        </w:rPr>
        <w:t>Code of Practice on the Management of Police Information</w:t>
      </w:r>
      <w:r w:rsidR="0058231F">
        <w:rPr>
          <w:i/>
        </w:rPr>
        <w:t xml:space="preserve">, </w:t>
      </w:r>
      <w:r w:rsidR="0058231F" w:rsidRPr="0058231F">
        <w:t>„MoPI”</w:t>
      </w:r>
      <w:r>
        <w:t>) z</w:t>
      </w:r>
      <w:r w:rsidR="00662C06">
        <w:t> </w:t>
      </w:r>
      <w:r>
        <w:t>2005</w:t>
      </w:r>
      <w:r w:rsidR="00662C06">
        <w:t> </w:t>
      </w:r>
      <w:r w:rsidR="00D87A64">
        <w:t>r.</w:t>
      </w:r>
      <w:r>
        <w:t xml:space="preserve"> W niniejszej sprawie przepisy dotyczące zatrzymywania danych stwierdzają, że istnieje domniemanie przemawiające za zatrzymywaniem danych, jeżeli dane nie </w:t>
      </w:r>
      <w:r w:rsidR="00107798">
        <w:t>są nadmierne</w:t>
      </w:r>
      <w:r>
        <w:t>, są niezbędne dla celów policyjnych i</w:t>
      </w:r>
      <w:r w:rsidR="00662C06">
        <w:t> </w:t>
      </w:r>
      <w:r>
        <w:t>są aktualne. Po początkowej decyzji o zatrzymaniu dane muszą być zatrzymane przez okres co najmniej sześciu lat. Po upływie tego okresu należy je poddać przeglądowi i mogą zostać usunięte. Nie ma ustalonego terminu, w którym należy dokonać przeglądu danych lub w którym należy je usunąć. Policja zachowuje ogólną swobodę decydowania o zatrzymywaniu danych, jeżeli jest to konieczne.</w:t>
      </w:r>
    </w:p>
    <w:p w:rsidR="00245C15" w:rsidRPr="001823B5" w:rsidRDefault="00245C15" w:rsidP="001823B5">
      <w:pPr>
        <w:pStyle w:val="ECHRPara"/>
      </w:pPr>
      <w:r w:rsidRPr="001823B5">
        <w:t>101</w:t>
      </w:r>
      <w:r>
        <w:t xml:space="preserve">. W cytowanym powyżej wyroku w sprawie </w:t>
      </w:r>
      <w:r>
        <w:rPr>
          <w:i/>
          <w:iCs/>
        </w:rPr>
        <w:t>M.M.</w:t>
      </w:r>
      <w:r>
        <w:t xml:space="preserve"> Trybunał stwierdził naruszenie art. 8 na podstawie tego, że zatrzymywanie i ujawnianie danych osobowych nie było </w:t>
      </w:r>
      <w:r w:rsidR="00107798">
        <w:t>przewidziane przez ustawę</w:t>
      </w:r>
      <w:r>
        <w:t xml:space="preserve">. Zauważył, że nieselektywne i </w:t>
      </w:r>
      <w:r w:rsidR="002B6314">
        <w:t>nieograniczone</w:t>
      </w:r>
      <w:r>
        <w:t xml:space="preserve"> gromadzenie danych z rejestrów karnych najprawdopodobniej nie będzie zgodne z wymogami art. 8 </w:t>
      </w:r>
      <w:r w:rsidR="00107798">
        <w:t xml:space="preserve">przy braku </w:t>
      </w:r>
      <w:r>
        <w:t>jasnych i szczegółowych przepisów ustawowych wyjaśniających obowiązujące zabezpieczenia i określających zasady regulujące, między innymi, okoliczności, w jakich dane mogą być gromadzone, czas ich przechowywania, sposób ich wykorzystania oraz okoliczności, w jakich mogą zostać zniszczone. Zauważył również brak jakiegokolwiek mechanizmu niezależne</w:t>
      </w:r>
      <w:r w:rsidR="002B6314">
        <w:t>j kontroli</w:t>
      </w:r>
      <w:r>
        <w:t xml:space="preserve"> decyzji o zatrzymaniu lub ujawnieniu danych (</w:t>
      </w:r>
      <w:r w:rsidR="00381767">
        <w:t>zob.</w:t>
      </w:r>
      <w:r>
        <w:t xml:space="preserve"> </w:t>
      </w:r>
      <w:r>
        <w:rPr>
          <w:i/>
          <w:iCs/>
        </w:rPr>
        <w:t>M.M.</w:t>
      </w:r>
      <w:r>
        <w:t xml:space="preserve">, </w:t>
      </w:r>
      <w:r w:rsidR="002B6314">
        <w:t xml:space="preserve">cyt. powyżej, </w:t>
      </w:r>
      <w:r>
        <w:t>§§ 199-206).</w:t>
      </w:r>
    </w:p>
    <w:p w:rsidR="00245C15" w:rsidRPr="001823B5" w:rsidRDefault="00245C15" w:rsidP="001823B5">
      <w:pPr>
        <w:pStyle w:val="ECHRPara"/>
      </w:pPr>
      <w:r w:rsidRPr="001823B5">
        <w:t>102</w:t>
      </w:r>
      <w:r>
        <w:t xml:space="preserve">. Jednak o ile przepisy dotyczące zatrzymywania danych w obecnej sprawie są w pewnym stopniu podobne do przepisów dotyczących sprawy </w:t>
      </w:r>
      <w:r>
        <w:rPr>
          <w:i/>
          <w:iCs/>
        </w:rPr>
        <w:t>M.M.</w:t>
      </w:r>
      <w:r>
        <w:t>, inne elementy nie są takie same.</w:t>
      </w:r>
    </w:p>
    <w:p w:rsidR="00245C15" w:rsidRPr="001823B5" w:rsidRDefault="00245C15" w:rsidP="001823B5">
      <w:pPr>
        <w:pStyle w:val="ECHRPara"/>
      </w:pPr>
      <w:bookmarkStart w:id="9" w:name="para84"/>
      <w:r w:rsidRPr="001823B5">
        <w:t>103</w:t>
      </w:r>
      <w:bookmarkEnd w:id="9"/>
      <w:r>
        <w:t>. W pierwszej kolejności Trybunał zauważ</w:t>
      </w:r>
      <w:r w:rsidR="009467A4">
        <w:t>a</w:t>
      </w:r>
      <w:r>
        <w:t>, że</w:t>
      </w:r>
      <w:r w:rsidR="00833EEB">
        <w:t xml:space="preserve"> </w:t>
      </w:r>
      <w:r w:rsidR="002B6314">
        <w:t xml:space="preserve">sprawa </w:t>
      </w:r>
      <w:r>
        <w:rPr>
          <w:i/>
          <w:iCs/>
        </w:rPr>
        <w:t>M.M.</w:t>
      </w:r>
      <w:r>
        <w:t xml:space="preserve"> dotyczyła zatrzymywania danych z rejestrów karnych, które Trybunał określił jako nie</w:t>
      </w:r>
      <w:r w:rsidR="00662C06">
        <w:t> </w:t>
      </w:r>
      <w:r>
        <w:t xml:space="preserve">tylko osobowe, ale także wrażliwe, z „potencjalnie druzgocącymi skutkami” w przypadku ich ujawnienia. Co więcej, skarga w sprawie </w:t>
      </w:r>
      <w:r>
        <w:rPr>
          <w:i/>
          <w:iCs/>
        </w:rPr>
        <w:t>M.M.</w:t>
      </w:r>
      <w:r>
        <w:t xml:space="preserve"> nie dotyczyła gromadzenia danych przez </w:t>
      </w:r>
      <w:r w:rsidR="002B6314">
        <w:t xml:space="preserve">policyjne </w:t>
      </w:r>
      <w:r>
        <w:t>służby wywiadowcze, ale</w:t>
      </w:r>
      <w:r w:rsidR="00662C06">
        <w:t> </w:t>
      </w:r>
      <w:r>
        <w:t>koncentrowała się na reżimie ujawniania danych z rejestrów karnych, a</w:t>
      </w:r>
      <w:r w:rsidR="00662C06">
        <w:t> </w:t>
      </w:r>
      <w:r>
        <w:t xml:space="preserve">Trybunał skrytykował brak ustawowych ram regulujących (w niektórych przypadkach obowiązkowe) przekazywanie takich danych przez policję potencjalnym pracodawcom w Irlandii Północnej w tym czasie (zob. </w:t>
      </w:r>
      <w:r>
        <w:rPr>
          <w:i/>
          <w:iCs/>
        </w:rPr>
        <w:t>M.M.</w:t>
      </w:r>
      <w:r>
        <w:t>, cyt</w:t>
      </w:r>
      <w:r w:rsidR="002B6314">
        <w:t>.</w:t>
      </w:r>
      <w:r>
        <w:t xml:space="preserve"> powyżej, § 203).</w:t>
      </w:r>
    </w:p>
    <w:p w:rsidR="00245C15" w:rsidRPr="001823B5" w:rsidRDefault="00245C15" w:rsidP="001823B5">
      <w:pPr>
        <w:pStyle w:val="ECHRPara"/>
      </w:pPr>
      <w:r w:rsidRPr="001823B5">
        <w:t>104</w:t>
      </w:r>
      <w:r>
        <w:t>. W tym kontekście Trybunał zauważ</w:t>
      </w:r>
      <w:r w:rsidR="002B6314">
        <w:t>a</w:t>
      </w:r>
      <w:r>
        <w:t xml:space="preserve"> również, że w przeciwieństwie do skarżącego w sprawie </w:t>
      </w:r>
      <w:r>
        <w:rPr>
          <w:i/>
          <w:iCs/>
        </w:rPr>
        <w:t>M.M.</w:t>
      </w:r>
      <w:r>
        <w:t xml:space="preserve">, skarżący w niniejszej sprawie miał możliwość złożenia wniosku o </w:t>
      </w:r>
      <w:r w:rsidR="00FC3B13">
        <w:t xml:space="preserve">kontrolę </w:t>
      </w:r>
      <w:r>
        <w:t>i usunięcie swoich danych, z której skorzystał (</w:t>
      </w:r>
      <w:r w:rsidR="00381767">
        <w:t>zob.</w:t>
      </w:r>
      <w:r>
        <w:t xml:space="preserve"> a contrario </w:t>
      </w:r>
      <w:r>
        <w:rPr>
          <w:i/>
          <w:iCs/>
        </w:rPr>
        <w:t>M.M.</w:t>
      </w:r>
      <w:r>
        <w:t xml:space="preserve">, </w:t>
      </w:r>
      <w:r w:rsidR="00FC3B13">
        <w:t xml:space="preserve"> cyt. powyżej, </w:t>
      </w:r>
      <w:r>
        <w:t>§ 206).</w:t>
      </w:r>
    </w:p>
    <w:p w:rsidR="00245C15" w:rsidRPr="001823B5" w:rsidRDefault="00245C15" w:rsidP="001823B5">
      <w:pPr>
        <w:pStyle w:val="ECHRHeading6"/>
      </w:pPr>
      <w:r>
        <w:lastRenderedPageBreak/>
        <w:t>(γ) Wniosek</w:t>
      </w:r>
    </w:p>
    <w:p w:rsidR="00245C15" w:rsidRPr="001823B5" w:rsidRDefault="00245C15" w:rsidP="001823B5">
      <w:pPr>
        <w:pStyle w:val="ECHRPara"/>
      </w:pPr>
      <w:bookmarkStart w:id="10" w:name="para94"/>
      <w:bookmarkStart w:id="11" w:name="para98"/>
      <w:bookmarkStart w:id="12" w:name="ambiguityofthelegalbasis"/>
      <w:r w:rsidRPr="001823B5">
        <w:t>105</w:t>
      </w:r>
      <w:bookmarkEnd w:id="10"/>
      <w:bookmarkEnd w:id="11"/>
      <w:bookmarkEnd w:id="12"/>
      <w:r>
        <w:t xml:space="preserve">. Trybunał wyraża obawy związane z niejednoznacznością podstawy prawnej gromadzenia danych osobowych skarżącego. W szczególności Trybunał zwraca uwagę na luźno zdefiniowane pojęcie „ekstremizmu krajowego” oraz na fakt, że dane skarżącego mogą być zatrzymywane </w:t>
      </w:r>
      <w:r w:rsidR="00FC3B13">
        <w:t xml:space="preserve">potencjalnie </w:t>
      </w:r>
      <w:r>
        <w:t>na czas nieokreślony. Jednak zatrzymane dane nie zostałyby ujawnione stronom trzecim; a skarżący miał możliwość złożenia wniosku o</w:t>
      </w:r>
      <w:r w:rsidR="00662C06">
        <w:t> </w:t>
      </w:r>
      <w:r>
        <w:t>usunięcie swoich danych.</w:t>
      </w:r>
    </w:p>
    <w:p w:rsidR="00245C15" w:rsidRPr="001823B5" w:rsidRDefault="00245C15" w:rsidP="001823B5">
      <w:pPr>
        <w:pStyle w:val="ECHRPara"/>
      </w:pPr>
      <w:r w:rsidRPr="001823B5">
        <w:t>106</w:t>
      </w:r>
      <w:r>
        <w:t>. W związku z tym Trybunał przypomina, że kwestia, czy</w:t>
      </w:r>
      <w:r w:rsidR="00662C06">
        <w:t> </w:t>
      </w:r>
      <w:r>
        <w:t xml:space="preserve">gromadzenie, zatrzymywanie i wykorzystywanie danych osobowych skarżącego było </w:t>
      </w:r>
      <w:r w:rsidR="00FC3B13">
        <w:t>przewidziane przez ustawę</w:t>
      </w:r>
      <w:r>
        <w:t xml:space="preserve"> prawem, jest ściśle związana z</w:t>
      </w:r>
      <w:r w:rsidR="00662C06">
        <w:t> </w:t>
      </w:r>
      <w:r>
        <w:t xml:space="preserve">szerszą kwestią, czy ingerencja ta była konieczna w demokratycznym społeczeństwie (zob. </w:t>
      </w:r>
      <w:r>
        <w:rPr>
          <w:i/>
          <w:iCs/>
        </w:rPr>
        <w:t>S. i Marper</w:t>
      </w:r>
      <w:r>
        <w:t xml:space="preserve">, </w:t>
      </w:r>
      <w:r w:rsidR="00FC3B13">
        <w:t xml:space="preserve">cyt. powyżej, </w:t>
      </w:r>
      <w:r>
        <w:t xml:space="preserve">§ 99 </w:t>
      </w:r>
      <w:r w:rsidR="00833EEB">
        <w:t>ETPC</w:t>
      </w:r>
      <w:r>
        <w:t xml:space="preserve"> 2008).</w:t>
      </w:r>
    </w:p>
    <w:p w:rsidR="00245C15" w:rsidRPr="001823B5" w:rsidRDefault="00245C15" w:rsidP="001823B5">
      <w:pPr>
        <w:pStyle w:val="ECHRPara"/>
      </w:pPr>
      <w:r w:rsidRPr="001823B5">
        <w:t>107</w:t>
      </w:r>
      <w:r>
        <w:t>. W związku z tym, w świetle analizy przedstawionej w</w:t>
      </w:r>
      <w:r w:rsidR="00FC3B13">
        <w:t xml:space="preserve"> paragrafach</w:t>
      </w:r>
      <w:r>
        <w:t xml:space="preserve"> </w:t>
      </w:r>
      <w:r w:rsidRPr="001823B5">
        <w:t>109</w:t>
      </w:r>
      <w:r>
        <w:t>-</w:t>
      </w:r>
      <w:r w:rsidRPr="001823B5">
        <w:t>128</w:t>
      </w:r>
      <w:r>
        <w:t xml:space="preserve"> poniżej, Trybunał nie uważa za konieczne decydowanie, czy</w:t>
      </w:r>
      <w:r w:rsidR="00662C06">
        <w:t> </w:t>
      </w:r>
      <w:r>
        <w:t>ingerencja była „</w:t>
      </w:r>
      <w:r w:rsidR="00FC3B13">
        <w:t>przewidziana przez ustawę</w:t>
      </w:r>
      <w:r>
        <w:t>” w rozumieniu art. 8 ust. 2 Konwencji.</w:t>
      </w:r>
    </w:p>
    <w:p w:rsidR="00245C15" w:rsidRPr="001823B5" w:rsidRDefault="00245C15" w:rsidP="001823B5">
      <w:pPr>
        <w:pStyle w:val="ECHRHeading5"/>
      </w:pPr>
      <w:r>
        <w:t>(ii) U</w:t>
      </w:r>
      <w:r w:rsidR="00FC3B13">
        <w:t>praw</w:t>
      </w:r>
      <w:r>
        <w:t>niony cel</w:t>
      </w:r>
    </w:p>
    <w:p w:rsidR="00245C15" w:rsidRPr="001823B5" w:rsidRDefault="00245C15" w:rsidP="001823B5">
      <w:pPr>
        <w:pStyle w:val="ECHRPara"/>
      </w:pPr>
      <w:bookmarkStart w:id="13" w:name="para91"/>
      <w:r w:rsidRPr="001823B5">
        <w:t>108</w:t>
      </w:r>
      <w:bookmarkEnd w:id="13"/>
      <w:r>
        <w:t>. Nie było znaczącego sporu co do tego, czy utworzenie i utrzymanie bazy danych przez policję dąży do osiągnięcia u</w:t>
      </w:r>
      <w:r w:rsidR="00FC3B13">
        <w:t>praw</w:t>
      </w:r>
      <w:r>
        <w:t>nionego celu. Trybunał również</w:t>
      </w:r>
      <w:r w:rsidR="00FC3B13" w:rsidRPr="00FC3B13">
        <w:t xml:space="preserve"> </w:t>
      </w:r>
      <w:r w:rsidR="00FC3B13">
        <w:t>uważa</w:t>
      </w:r>
      <w:r>
        <w:t xml:space="preserve">, że policja dąży do </w:t>
      </w:r>
      <w:r w:rsidR="00FC3B13">
        <w:t xml:space="preserve">takiego </w:t>
      </w:r>
      <w:r>
        <w:t>celu</w:t>
      </w:r>
      <w:r w:rsidR="002D24F4">
        <w:t xml:space="preserve">, a </w:t>
      </w:r>
      <w:r>
        <w:t xml:space="preserve">jest </w:t>
      </w:r>
      <w:r w:rsidR="002D24F4">
        <w:t xml:space="preserve">nim ochrona porządku i </w:t>
      </w:r>
      <w:r>
        <w:t>zapobieganie przestępstwom oraz ochrona praw i wolności innych osób.</w:t>
      </w:r>
    </w:p>
    <w:p w:rsidR="00245C15" w:rsidRPr="001823B5" w:rsidRDefault="00245C15" w:rsidP="001823B5">
      <w:pPr>
        <w:pStyle w:val="ECHRHeading5"/>
      </w:pPr>
      <w:r>
        <w:t>(iii) Konieczna w demokratycznym społeczeństwie.</w:t>
      </w:r>
    </w:p>
    <w:p w:rsidR="00245C15" w:rsidRPr="001823B5" w:rsidRDefault="00245C15" w:rsidP="001823B5">
      <w:pPr>
        <w:pStyle w:val="ECHRPara"/>
      </w:pPr>
      <w:bookmarkStart w:id="14" w:name="para100"/>
      <w:bookmarkStart w:id="15" w:name="TheCourthassetouton"/>
      <w:r w:rsidRPr="001823B5">
        <w:t>109</w:t>
      </w:r>
      <w:bookmarkEnd w:id="14"/>
      <w:bookmarkEnd w:id="15"/>
      <w:r>
        <w:t>. Trybunał wielokrotnie określał elementy, które należy wziąć pod</w:t>
      </w:r>
      <w:r w:rsidR="00662C06">
        <w:t> </w:t>
      </w:r>
      <w:r>
        <w:t>uwagę przy rozważaniu, czy ingerencja w prawa skarżącego wynikające z art. 8 była konieczna, a zatem uzasadniona. W społeczeństwie demokratycznym będzie ona konieczna, jeżeli będzie odpowiadać na</w:t>
      </w:r>
      <w:r w:rsidR="00662C06">
        <w:t> </w:t>
      </w:r>
      <w:r>
        <w:t>„naglącą potrzebę społeczną”, jeżeli będzie proporcjonalna do</w:t>
      </w:r>
      <w:r w:rsidR="00662C06">
        <w:t> </w:t>
      </w:r>
      <w:r>
        <w:t>u</w:t>
      </w:r>
      <w:r w:rsidR="002D24F4">
        <w:t>prawnionego</w:t>
      </w:r>
      <w:r>
        <w:t xml:space="preserve"> celu, do którego zmierza, i jeżeli powody podane przez władze krajowe w celu jej uzasadnienia są </w:t>
      </w:r>
      <w:r w:rsidR="007C266D">
        <w:t>„</w:t>
      </w:r>
      <w:r>
        <w:t>istotne i wystarczające". W</w:t>
      </w:r>
      <w:r w:rsidR="00662C06">
        <w:t> </w:t>
      </w:r>
      <w:r>
        <w:t xml:space="preserve">ocenie tej należy pozostawić właściwym organom krajowym margines </w:t>
      </w:r>
      <w:r w:rsidR="00EF68B7">
        <w:t>oceny</w:t>
      </w:r>
      <w:r>
        <w:t xml:space="preserve"> (zob. </w:t>
      </w:r>
      <w:r>
        <w:rPr>
          <w:i/>
          <w:iCs/>
        </w:rPr>
        <w:t>S. i Marper</w:t>
      </w:r>
      <w:r>
        <w:t xml:space="preserve">, </w:t>
      </w:r>
      <w:r w:rsidR="007C266D">
        <w:t xml:space="preserve">cyt. powyżej, </w:t>
      </w:r>
      <w:r>
        <w:t>§ 101-102).</w:t>
      </w:r>
    </w:p>
    <w:p w:rsidR="00245C15" w:rsidRPr="001823B5" w:rsidRDefault="00245C15" w:rsidP="001823B5">
      <w:pPr>
        <w:pStyle w:val="ECHRPara"/>
      </w:pPr>
      <w:r w:rsidRPr="001823B5">
        <w:t>110</w:t>
      </w:r>
      <w:r>
        <w:t>. Zajmując się najpierw tym ostatnim elementem, Trybunał zauważa</w:t>
      </w:r>
      <w:r w:rsidR="007C266D">
        <w:t xml:space="preserve"> argument Rządu</w:t>
      </w:r>
      <w:r>
        <w:t>, iż sądy krajowe dokładnie zbadały te kwestie w świetle art.</w:t>
      </w:r>
      <w:r w:rsidR="00662C06">
        <w:t> </w:t>
      </w:r>
      <w:r>
        <w:t>8. Sądy te różniły się w swoich wnioskach, ale wskazywało to na to, że</w:t>
      </w:r>
      <w:r w:rsidR="00662C06">
        <w:t> </w:t>
      </w:r>
      <w:r>
        <w:t xml:space="preserve">chodziło o punkt, w którym prawidłowe stosowanie zasad na podstawie art. 8 mogło jednak przynieść </w:t>
      </w:r>
      <w:r w:rsidR="007C266D">
        <w:t xml:space="preserve">różny </w:t>
      </w:r>
      <w:r>
        <w:t xml:space="preserve">wynik. Odnosząc się do szerokiego zakresu kontroli sądowej na szczeblu krajowym, </w:t>
      </w:r>
      <w:r w:rsidR="007C266D">
        <w:t xml:space="preserve">Rząd </w:t>
      </w:r>
      <w:r>
        <w:t>utrzymywał, że to, czy</w:t>
      </w:r>
      <w:r w:rsidR="00662C06">
        <w:t> </w:t>
      </w:r>
      <w:r>
        <w:t xml:space="preserve">konieczne jest zatrzymanie danych skarżącego, mieści się w ramach marginesu </w:t>
      </w:r>
      <w:r w:rsidR="00EF68B7">
        <w:t>oceny</w:t>
      </w:r>
      <w:r>
        <w:t xml:space="preserve"> państwa, a zatem </w:t>
      </w:r>
      <w:r w:rsidR="0027500A">
        <w:t xml:space="preserve">decyzja nie należy </w:t>
      </w:r>
      <w:r>
        <w:t>do tego Trybunału.</w:t>
      </w:r>
    </w:p>
    <w:p w:rsidR="00245C15" w:rsidRPr="001823B5" w:rsidRDefault="00245C15" w:rsidP="001823B5">
      <w:pPr>
        <w:pStyle w:val="ECHRPara"/>
      </w:pPr>
      <w:r w:rsidRPr="001823B5">
        <w:lastRenderedPageBreak/>
        <w:t>111</w:t>
      </w:r>
      <w:r>
        <w:t>. W tym względzie Trybunał przypomina, że w sprawach z art. 8 generalnie rozumi</w:t>
      </w:r>
      <w:r w:rsidR="005F26D7">
        <w:t>e</w:t>
      </w:r>
      <w:r>
        <w:t xml:space="preserve"> margines </w:t>
      </w:r>
      <w:r w:rsidR="00EF68B7">
        <w:t>oceny</w:t>
      </w:r>
      <w:r>
        <w:t xml:space="preserve"> jako oznaczający, że gdy niezależne i</w:t>
      </w:r>
      <w:r w:rsidR="00662C06">
        <w:t> </w:t>
      </w:r>
      <w:r>
        <w:t xml:space="preserve">bezstronne sądy krajowe dokładnie zbadały fakty, stosując odpowiednie standardy praw człowieka zgodnie z </w:t>
      </w:r>
      <w:r w:rsidR="0027500A">
        <w:t xml:space="preserve">Konwencją </w:t>
      </w:r>
      <w:r>
        <w:t>i związanym z</w:t>
      </w:r>
      <w:r w:rsidR="00662C06">
        <w:t> </w:t>
      </w:r>
      <w:r>
        <w:t>nią</w:t>
      </w:r>
      <w:r w:rsidR="00662C06">
        <w:t> </w:t>
      </w:r>
      <w:r>
        <w:t xml:space="preserve">orzecznictwem i odpowiednio </w:t>
      </w:r>
      <w:r w:rsidR="0027500A">
        <w:t>wy</w:t>
      </w:r>
      <w:r>
        <w:t xml:space="preserve">ważyły osobisty interes skarżącego </w:t>
      </w:r>
      <w:r w:rsidR="0027500A">
        <w:t>w</w:t>
      </w:r>
      <w:r w:rsidR="00662C06">
        <w:t> </w:t>
      </w:r>
      <w:r w:rsidR="0027500A">
        <w:t>stosunku do bardziej ogólnego interesu publicznego</w:t>
      </w:r>
      <w:r>
        <w:t xml:space="preserve"> w sprawie, nie jest jego zadaniem zastąpienie oceny właściwych organów krajowych własną oceną merytoryczną (w tym w szczególności własną oceną okoliczności faktycznych dotyczących proporcjonalności), chyba że zostanie wykazane, że istnieją ku temu istotne powody (zob.</w:t>
      </w:r>
      <w:r w:rsidR="00833EEB">
        <w:t xml:space="preserve"> </w:t>
      </w:r>
      <w:r>
        <w:rPr>
          <w:i/>
          <w:iCs/>
        </w:rPr>
        <w:t>McDonald przeciwko Zjednoczonemu Królestwu</w:t>
      </w:r>
      <w:r>
        <w:t>, nr 4241/12, § 57, 20 maja 2014 r.).</w:t>
      </w:r>
    </w:p>
    <w:p w:rsidR="00245C15" w:rsidRPr="001823B5" w:rsidRDefault="00245C15" w:rsidP="001823B5">
      <w:pPr>
        <w:pStyle w:val="ECHRPara"/>
      </w:pPr>
      <w:bookmarkStart w:id="16" w:name="specialcategory"/>
      <w:r w:rsidRPr="001823B5">
        <w:t>112</w:t>
      </w:r>
      <w:bookmarkEnd w:id="16"/>
      <w:r>
        <w:t>. Trybunał uważa jednak, że w niniejszej sprawie istnieją ku temu powody. Po pierwsze, uważa za istotne, że dane osobowe ujawniające opinie polityczne należą do specjalnych kategorii danych</w:t>
      </w:r>
      <w:r w:rsidR="0027500A" w:rsidRPr="0027500A">
        <w:t xml:space="preserve"> </w:t>
      </w:r>
      <w:r w:rsidR="0027500A">
        <w:t>wrażliwych</w:t>
      </w:r>
      <w:r>
        <w:t>, które wymagają zwiększonego poziomu ochrony (</w:t>
      </w:r>
      <w:r w:rsidR="00D87A64">
        <w:t>zob. paragraf</w:t>
      </w:r>
      <w:r w:rsidR="0027500A">
        <w:t>y</w:t>
      </w:r>
      <w:r>
        <w:t xml:space="preserve"> </w:t>
      </w:r>
      <w:r w:rsidRPr="001823B5">
        <w:t>58</w:t>
      </w:r>
      <w:r>
        <w:t>-</w:t>
      </w:r>
      <w:r w:rsidRPr="001823B5">
        <w:t>60</w:t>
      </w:r>
      <w:r>
        <w:t xml:space="preserve"> i</w:t>
      </w:r>
      <w:r w:rsidR="00833EEB">
        <w:t xml:space="preserve"> </w:t>
      </w:r>
      <w:r w:rsidRPr="001823B5">
        <w:t>67</w:t>
      </w:r>
      <w:r>
        <w:t>-</w:t>
      </w:r>
      <w:r w:rsidRPr="001823B5">
        <w:t>70</w:t>
      </w:r>
      <w:r>
        <w:t xml:space="preserve"> powyżej oraz </w:t>
      </w:r>
      <w:r>
        <w:rPr>
          <w:i/>
          <w:iCs/>
        </w:rPr>
        <w:t>S. i Marper</w:t>
      </w:r>
      <w:r>
        <w:t xml:space="preserve">, </w:t>
      </w:r>
      <w:r w:rsidR="0027500A">
        <w:t xml:space="preserve">cyt. powyżej, </w:t>
      </w:r>
      <w:r>
        <w:t xml:space="preserve">§ 76). Zauważa, że na szczeblu krajowym ten element skargi został określony jako </w:t>
      </w:r>
      <w:r w:rsidR="00A025AD">
        <w:t xml:space="preserve">dotyczący </w:t>
      </w:r>
      <w:r>
        <w:t>przepisów o</w:t>
      </w:r>
      <w:r w:rsidR="00662C06">
        <w:t> </w:t>
      </w:r>
      <w:r>
        <w:t xml:space="preserve">ochronie danych i nie stanowił przedmiotu </w:t>
      </w:r>
      <w:r w:rsidR="00A025AD">
        <w:t xml:space="preserve">szczególnej uwagi podczas </w:t>
      </w:r>
      <w:r>
        <w:t>postępowania sądowego. Stwierdziwszy, że zatrzymanie danych skarżącego nie było uzasadnione na podstawie art. 8, Sąd Apelacyjny nie uznał, że</w:t>
      </w:r>
      <w:r w:rsidR="00662C06">
        <w:t> </w:t>
      </w:r>
      <w:r>
        <w:t>badanie szczególnych zasad ochrony danych dodałoby cokolwiek do ich analizy (zob. § 65). Skarżący nie przedstawił konkretnych argumentów dotyczących ochrony danych przed Sądem Najwyższym, który w związku z</w:t>
      </w:r>
      <w:r w:rsidR="00662C06">
        <w:t> </w:t>
      </w:r>
      <w:r>
        <w:t>tym odnosił się do prawa ochrony danych jedynie ogólnie w kontekście zgodności z prawem. Trybunał uważa jednak, że charakter skargi skarżącego oznaczał, że wrażliwy charakter danych, o których mowa, był głównym elementem sprawy zarówno przed sądami krajowymi, jak i przed tym Trybunałem (</w:t>
      </w:r>
      <w:r w:rsidR="00D87A64">
        <w:t>zob. paragraf</w:t>
      </w:r>
      <w:r>
        <w:t xml:space="preserve"> </w:t>
      </w:r>
      <w:r w:rsidRPr="001823B5">
        <w:t>80</w:t>
      </w:r>
      <w:r>
        <w:t xml:space="preserve"> powyżej).</w:t>
      </w:r>
    </w:p>
    <w:p w:rsidR="00245C15" w:rsidRPr="001823B5" w:rsidRDefault="00245C15" w:rsidP="001823B5">
      <w:pPr>
        <w:pStyle w:val="ECHRPara"/>
      </w:pPr>
      <w:r w:rsidRPr="001823B5">
        <w:t>113</w:t>
      </w:r>
      <w:r>
        <w:t>. Trybunał zauważ</w:t>
      </w:r>
      <w:r w:rsidR="00D84AD2">
        <w:t>a</w:t>
      </w:r>
      <w:r>
        <w:t xml:space="preserve"> również, że niezależnie od swojego ugruntowanego orzecznictwa (</w:t>
      </w:r>
      <w:r w:rsidR="00D87A64">
        <w:t>zob. paragraf</w:t>
      </w:r>
      <w:r>
        <w:t xml:space="preserve"> </w:t>
      </w:r>
      <w:r w:rsidRPr="001823B5">
        <w:t>93</w:t>
      </w:r>
      <w:r>
        <w:t xml:space="preserve"> powyżej), sąd wyższej instancji uznał, że gromadzenie i przechowywanie danych skarżącego nie</w:t>
      </w:r>
      <w:r w:rsidR="00662C06">
        <w:t> </w:t>
      </w:r>
      <w:r>
        <w:t xml:space="preserve">stanowi ingerencji w rozumieniu art. 8. Kwestia ta została rozstrzygnięta przez Sąd Apelacyjny i Sąd Najwyższy, które uznały, że była </w:t>
      </w:r>
      <w:r w:rsidR="00F00373">
        <w:t xml:space="preserve">to </w:t>
      </w:r>
      <w:r>
        <w:t>ingerencja i</w:t>
      </w:r>
      <w:r w:rsidR="00662C06">
        <w:t> </w:t>
      </w:r>
      <w:r>
        <w:t>wydały szczegółowe i obszerne wyroki odnoszące się w dużej mierze do</w:t>
      </w:r>
      <w:r w:rsidR="00662C06">
        <w:t> </w:t>
      </w:r>
      <w:r>
        <w:t>orzecznictwa strasburskiego. Rząd podtrzymał jednak argumenty, że</w:t>
      </w:r>
      <w:r w:rsidR="00662C06">
        <w:t> </w:t>
      </w:r>
      <w:r>
        <w:t>zatrzymywanie danych nie było systematyczne, a charakter ingerencji był ograniczony. Skarżący argumentował, że konieczne jest wydanie decydującego orzeczenia. Trybunał zgadza się, że konieczne jest pewne wyjaśnienie tych elementów.</w:t>
      </w:r>
    </w:p>
    <w:p w:rsidR="00245C15" w:rsidRPr="001823B5" w:rsidRDefault="00245C15" w:rsidP="001823B5">
      <w:pPr>
        <w:pStyle w:val="ECHRPara"/>
      </w:pPr>
      <w:r w:rsidRPr="001823B5">
        <w:t>114</w:t>
      </w:r>
      <w:r>
        <w:t>. Trybunał przypomina również, jak ważne jest zbadanie zgodności z</w:t>
      </w:r>
      <w:r w:rsidR="00662C06">
        <w:t> </w:t>
      </w:r>
      <w:r>
        <w:t>zasadami określonymi w art</w:t>
      </w:r>
      <w:r w:rsidR="00381767">
        <w:t>.</w:t>
      </w:r>
      <w:r>
        <w:t xml:space="preserve"> 8 w przypadkach, w których uprawnienia przyznane państwu są niejasne, co stwarza ryzyko arbitralności, zwłaszcza gdy dostępna technologia staje się coraz bardziej zaawansowana (zob.</w:t>
      </w:r>
      <w:r w:rsidR="00833EEB">
        <w:t xml:space="preserve"> </w:t>
      </w:r>
      <w:r>
        <w:rPr>
          <w:i/>
          <w:iCs/>
        </w:rPr>
        <w:t>Roman Zakharov przeciwko Rosji</w:t>
      </w:r>
      <w:r>
        <w:t xml:space="preserve"> [</w:t>
      </w:r>
      <w:r w:rsidR="0003444D">
        <w:t>WI</w:t>
      </w:r>
      <w:r>
        <w:t xml:space="preserve">], nr 47143/06, § 229, </w:t>
      </w:r>
      <w:r w:rsidR="00833EEB">
        <w:t>ETPC</w:t>
      </w:r>
      <w:r>
        <w:t xml:space="preserve"> 2015, oraz</w:t>
      </w:r>
      <w:r w:rsidR="00833EEB">
        <w:t xml:space="preserve"> </w:t>
      </w:r>
      <w:r>
        <w:rPr>
          <w:i/>
          <w:iCs/>
        </w:rPr>
        <w:t xml:space="preserve">Szabó </w:t>
      </w:r>
      <w:r>
        <w:rPr>
          <w:i/>
          <w:iCs/>
        </w:rPr>
        <w:lastRenderedPageBreak/>
        <w:t>i Vissy</w:t>
      </w:r>
      <w:r>
        <w:t xml:space="preserve"> </w:t>
      </w:r>
      <w:r w:rsidRPr="004B6722">
        <w:rPr>
          <w:i/>
        </w:rPr>
        <w:t>przeciwko Węgrom</w:t>
      </w:r>
      <w:r>
        <w:t>, nr 37138/14, § 68, 12 stycznia 2016 r.). W</w:t>
      </w:r>
      <w:r w:rsidR="00662C06">
        <w:t> </w:t>
      </w:r>
      <w:r>
        <w:t>odróżnieniu od niniejszej sprawy, sprawy te dotyczyły niejawnego nadzoru. Trybunał uważa jednak, że powinien kierować się tym podejściem, zwłaszcza w przypadkach, w których podkreślił już obawy związane z</w:t>
      </w:r>
      <w:r w:rsidR="00662C06">
        <w:t> </w:t>
      </w:r>
      <w:r>
        <w:t>niejednoznacznością uprawnień państwa w tej dziedzinie (</w:t>
      </w:r>
      <w:r w:rsidR="00D87A64">
        <w:t>zob. paragraf</w:t>
      </w:r>
      <w:r>
        <w:t xml:space="preserve"> </w:t>
      </w:r>
      <w:r w:rsidRPr="001823B5">
        <w:t>105</w:t>
      </w:r>
      <w:r>
        <w:t xml:space="preserve"> powyżej).</w:t>
      </w:r>
    </w:p>
    <w:p w:rsidR="00245C15" w:rsidRPr="001823B5" w:rsidRDefault="00245C15" w:rsidP="001823B5">
      <w:pPr>
        <w:pStyle w:val="ECHRPara"/>
      </w:pPr>
      <w:r w:rsidRPr="001823B5">
        <w:t>115</w:t>
      </w:r>
      <w:r>
        <w:t>. Wreszcie, Trybunał bierze pod uwagę sposób i termin ujawnienia oraz fakt, że na temat skarżącego przechowywano więcej danych osobowych</w:t>
      </w:r>
      <w:r w:rsidR="002D144C">
        <w:t>,</w:t>
      </w:r>
      <w:r>
        <w:t xml:space="preserve"> niż ujawniono w czasie postępowania krajowego (</w:t>
      </w:r>
      <w:r w:rsidR="00D87A64">
        <w:t>zob. paragraf</w:t>
      </w:r>
      <w:r w:rsidR="002D144C">
        <w:t>y</w:t>
      </w:r>
      <w:r>
        <w:t xml:space="preserve"> </w:t>
      </w:r>
      <w:r w:rsidRPr="001823B5">
        <w:t>11</w:t>
      </w:r>
      <w:r w:rsidR="00C50EB7">
        <w:t xml:space="preserve"> i</w:t>
      </w:r>
      <w:r>
        <w:t xml:space="preserve"> </w:t>
      </w:r>
      <w:r w:rsidRPr="001823B5">
        <w:t>15</w:t>
      </w:r>
      <w:r>
        <w:t>-</w:t>
      </w:r>
      <w:r w:rsidRPr="001823B5">
        <w:t>17</w:t>
      </w:r>
      <w:r>
        <w:t xml:space="preserve"> powyżej). Ma to wpływ na jego ocenę dostępnych zabezpieczeń (</w:t>
      </w:r>
      <w:r w:rsidR="00D87A64">
        <w:t>zob.</w:t>
      </w:r>
      <w:r w:rsidR="00662C06">
        <w:t> </w:t>
      </w:r>
      <w:r w:rsidR="00D87A64">
        <w:t>paragraf</w:t>
      </w:r>
      <w:r>
        <w:t xml:space="preserve"> </w:t>
      </w:r>
      <w:r w:rsidRPr="001823B5">
        <w:t>122</w:t>
      </w:r>
      <w:r>
        <w:t xml:space="preserve"> poniżej).</w:t>
      </w:r>
    </w:p>
    <w:p w:rsidR="00245C15" w:rsidRPr="001823B5" w:rsidRDefault="00245C15" w:rsidP="001823B5">
      <w:pPr>
        <w:pStyle w:val="ECHRPara"/>
      </w:pPr>
      <w:r w:rsidRPr="001823B5">
        <w:t>116</w:t>
      </w:r>
      <w:r>
        <w:t>. Dlatego też Trybunał zwraca się do innych elementów, które należy zbadać, poczynając od pytania, czy istniała „nagląca potrzeba społeczna" gromadzenia i zatrzymania danych osobowych skarżącego. Przypomina przy tym, że kwestia, którą należy zbadać, nie dotyczy tego, czy istniała „nagląca potrzeba społeczna”, aby policja utworzyła i prowadziła taką bazę danych. W</w:t>
      </w:r>
      <w:r w:rsidR="00662C06">
        <w:t> </w:t>
      </w:r>
      <w:r>
        <w:t>zakresie, w jakim Trybunał bada tę kwestię z bardziej ogólnego punktu widzenia, uczynił to w swoim wniosku, że stworzenie bazy danych miało u</w:t>
      </w:r>
      <w:r w:rsidR="002D144C">
        <w:t>prawniony</w:t>
      </w:r>
      <w:r>
        <w:t xml:space="preserve"> cel (</w:t>
      </w:r>
      <w:r w:rsidR="00D87A64">
        <w:t>zob. paragraf</w:t>
      </w:r>
      <w:r>
        <w:t xml:space="preserve"> </w:t>
      </w:r>
      <w:r w:rsidRPr="001823B5">
        <w:t>108</w:t>
      </w:r>
      <w:r>
        <w:t xml:space="preserve"> powyżej). Na tym etapie Trybunał bada, czy zbieranie i zatrzymanie danych osobowych skarżącego można uznać za</w:t>
      </w:r>
      <w:r w:rsidR="00662C06">
        <w:t> </w:t>
      </w:r>
      <w:r>
        <w:t xml:space="preserve">uzasadnione na mocy Konwencji (zob. mutatis mutandis, </w:t>
      </w:r>
      <w:r>
        <w:rPr>
          <w:i/>
          <w:iCs/>
        </w:rPr>
        <w:t>S. i Marper</w:t>
      </w:r>
      <w:r>
        <w:t xml:space="preserve">, </w:t>
      </w:r>
      <w:r w:rsidR="002D144C">
        <w:t>cyt.</w:t>
      </w:r>
      <w:r w:rsidR="00662C06">
        <w:t> </w:t>
      </w:r>
      <w:r w:rsidR="002D144C">
        <w:t xml:space="preserve">powyżej, </w:t>
      </w:r>
      <w:r>
        <w:t>§ 106).</w:t>
      </w:r>
    </w:p>
    <w:p w:rsidR="00245C15" w:rsidRPr="001823B5" w:rsidRDefault="00245C15" w:rsidP="001823B5">
      <w:pPr>
        <w:pStyle w:val="ECHRPara"/>
      </w:pPr>
      <w:bookmarkStart w:id="17" w:name="para103"/>
      <w:r w:rsidRPr="001823B5">
        <w:t>117</w:t>
      </w:r>
      <w:bookmarkEnd w:id="17"/>
      <w:r>
        <w:t>. Co do tego, czy istniała nagląca potrzeba zbierania danych osobowych dotyczących skarżącego, Trybunał przy</w:t>
      </w:r>
      <w:r w:rsidR="002D144C">
        <w:t>jmuje</w:t>
      </w:r>
      <w:r>
        <w:t xml:space="preserve">, że istniała. Zgadza się z Sądem Najwyższym, że z natury gromadzenia danych przez służby wywiadowcze wynika, że policja </w:t>
      </w:r>
      <w:r w:rsidR="00BA02B2">
        <w:t>musi</w:t>
      </w:r>
      <w:r>
        <w:t xml:space="preserve"> najpierw zebrać te dane, zanim oceni ich wartość (</w:t>
      </w:r>
      <w:r w:rsidR="00D87A64">
        <w:t>zob. paragraf</w:t>
      </w:r>
      <w:r>
        <w:t xml:space="preserve"> </w:t>
      </w:r>
      <w:r w:rsidRPr="001823B5">
        <w:t>27</w:t>
      </w:r>
      <w:r>
        <w:t xml:space="preserve"> powyżej). W tym względzie Trybunał ponownie przypomina, że dane osobowe, o których mowa, zostały uzyskane w sposób jawny.</w:t>
      </w:r>
    </w:p>
    <w:p w:rsidR="00245C15" w:rsidRPr="001823B5" w:rsidRDefault="00245C15" w:rsidP="001823B5">
      <w:pPr>
        <w:pStyle w:val="ECHRPara"/>
      </w:pPr>
      <w:bookmarkStart w:id="18" w:name="para107"/>
      <w:bookmarkStart w:id="19" w:name="obviousroletomonitor"/>
      <w:r w:rsidRPr="001823B5">
        <w:t>118</w:t>
      </w:r>
      <w:bookmarkEnd w:id="18"/>
      <w:bookmarkEnd w:id="19"/>
      <w:r>
        <w:t>. Trybunał zgadza się również z sądami krajowymi, że policja odgrywała oczywistą rolę w monitorowaniu protestów Smash EDO, w</w:t>
      </w:r>
      <w:r w:rsidR="00662C06">
        <w:t> </w:t>
      </w:r>
      <w:r>
        <w:t>przypadku których wiadomo było, że działania tej grupy były agresywne i</w:t>
      </w:r>
      <w:r w:rsidR="00662C06">
        <w:t> </w:t>
      </w:r>
      <w:r>
        <w:t>potencjalnie przestępcze. Dlatego też, nawet jeśli samego skarżącego nie</w:t>
      </w:r>
      <w:r w:rsidR="00662C06">
        <w:t> </w:t>
      </w:r>
      <w:r>
        <w:t>podejrzewano o bezpośredni udział w działalności przestępczej tej grupy, uzasadnione było, aby policja zbierała jego dane osobowe. Zdecydował się on przecież wielokrotnie i publicznie przyłączyć do działalności agresywnej grupy protestacyjnej.</w:t>
      </w:r>
    </w:p>
    <w:p w:rsidR="00245C15" w:rsidRPr="001823B5" w:rsidRDefault="00245C15" w:rsidP="001823B5">
      <w:pPr>
        <w:pStyle w:val="ECHRPara"/>
      </w:pPr>
      <w:bookmarkStart w:id="20" w:name="para108"/>
      <w:r w:rsidRPr="001823B5">
        <w:t>119</w:t>
      </w:r>
      <w:bookmarkEnd w:id="20"/>
      <w:r>
        <w:t>. Jeśli chodzi o to, czy istniała nagląca potrzeba zatrzymania danych skarżącego, Try</w:t>
      </w:r>
      <w:r w:rsidR="00BA02B2">
        <w:t>bunał uznaje</w:t>
      </w:r>
      <w:r>
        <w:t>, że nie było takiej potrzeby. Podziela on obawy sądów krajowych, że należy zachować ostrożność przed uchyleniem o</w:t>
      </w:r>
      <w:r w:rsidR="00BA02B2">
        <w:t>ceny</w:t>
      </w:r>
      <w:r>
        <w:t xml:space="preserve"> policji o tym, jakie informacje mogą </w:t>
      </w:r>
      <w:r w:rsidR="00BA02B2">
        <w:t xml:space="preserve">być pomocne </w:t>
      </w:r>
      <w:r>
        <w:t xml:space="preserve">w wykonywaniu </w:t>
      </w:r>
      <w:r w:rsidR="00BA02B2">
        <w:t>jej</w:t>
      </w:r>
      <w:r>
        <w:t xml:space="preserve"> zadań (</w:t>
      </w:r>
      <w:r w:rsidR="00D87A64">
        <w:t>zob. paragraf</w:t>
      </w:r>
      <w:r>
        <w:t xml:space="preserve"> </w:t>
      </w:r>
      <w:r w:rsidRPr="001823B5">
        <w:t>22</w:t>
      </w:r>
      <w:r>
        <w:t xml:space="preserve"> powyżej). W tym względzie Trybunał podkreśla, że jego wniosek nie podważa faktu, iż mogła istnieć nagląca potrzeba, aby policja zatrzymywała dane osobowe skarżącego przez </w:t>
      </w:r>
      <w:r w:rsidR="00E3016E">
        <w:t>pewien czas</w:t>
      </w:r>
      <w:r>
        <w:t xml:space="preserve"> po ich zebraniu. </w:t>
      </w:r>
      <w:r>
        <w:lastRenderedPageBreak/>
        <w:t xml:space="preserve">Jednakże wobec braku jakichkolwiek przepisów określających ostateczny maksymalny okres zatrzymywania takich danych, skarżący był całkowicie uzależniony od starannego stosowania bardzo elastycznych zabezpieczeń </w:t>
      </w:r>
      <w:r w:rsidR="003F49AE">
        <w:t xml:space="preserve">zawartych </w:t>
      </w:r>
      <w:r>
        <w:t xml:space="preserve">w </w:t>
      </w:r>
      <w:r w:rsidR="003F49AE" w:rsidRPr="003F49AE">
        <w:rPr>
          <w:rStyle w:val="word"/>
        </w:rPr>
        <w:t>Kodeksie</w:t>
      </w:r>
      <w:r w:rsidR="003F49AE" w:rsidRPr="003F49AE">
        <w:t xml:space="preserve"> </w:t>
      </w:r>
      <w:r w:rsidR="003F49AE" w:rsidRPr="003F49AE">
        <w:rPr>
          <w:rStyle w:val="word"/>
        </w:rPr>
        <w:t>postępowania</w:t>
      </w:r>
      <w:r w:rsidR="003F49AE" w:rsidRPr="003F49AE">
        <w:t xml:space="preserve"> </w:t>
      </w:r>
      <w:r w:rsidR="003F49AE" w:rsidRPr="003F49AE">
        <w:rPr>
          <w:rStyle w:val="word"/>
        </w:rPr>
        <w:t>w</w:t>
      </w:r>
      <w:r w:rsidR="003F49AE" w:rsidRPr="003F49AE">
        <w:t xml:space="preserve"> </w:t>
      </w:r>
      <w:r w:rsidR="003F49AE" w:rsidRPr="003F49AE">
        <w:rPr>
          <w:rStyle w:val="word"/>
        </w:rPr>
        <w:t>zakresie</w:t>
      </w:r>
      <w:r w:rsidR="003F49AE" w:rsidRPr="003F49AE">
        <w:t xml:space="preserve"> </w:t>
      </w:r>
      <w:r w:rsidR="003F49AE" w:rsidRPr="003F49AE">
        <w:rPr>
          <w:rStyle w:val="word"/>
        </w:rPr>
        <w:t>zarządzania</w:t>
      </w:r>
      <w:r w:rsidR="003F49AE" w:rsidRPr="003F49AE">
        <w:t xml:space="preserve"> </w:t>
      </w:r>
      <w:r w:rsidR="003F49AE" w:rsidRPr="003F49AE">
        <w:rPr>
          <w:rStyle w:val="word"/>
        </w:rPr>
        <w:t>informacjami</w:t>
      </w:r>
      <w:r w:rsidR="003F49AE" w:rsidRPr="003F49AE">
        <w:t xml:space="preserve"> </w:t>
      </w:r>
      <w:r w:rsidR="003F49AE" w:rsidRPr="003F49AE">
        <w:rPr>
          <w:rStyle w:val="word"/>
        </w:rPr>
        <w:t>policyjnymi</w:t>
      </w:r>
      <w:r w:rsidR="003F49AE" w:rsidRPr="003F49AE">
        <w:t xml:space="preserve"> („</w:t>
      </w:r>
      <w:r w:rsidRPr="003F49AE">
        <w:t>M</w:t>
      </w:r>
      <w:r w:rsidR="003F49AE">
        <w:t>o</w:t>
      </w:r>
      <w:r w:rsidRPr="003F49AE">
        <w:t>PI</w:t>
      </w:r>
      <w:r w:rsidR="003F49AE" w:rsidRPr="003F49AE">
        <w:t>”)</w:t>
      </w:r>
      <w:r w:rsidRPr="003F49AE">
        <w:t xml:space="preserve"> w celu zapewnienia proporcjonalnego zatrzymywania jego danych. W przypadku</w:t>
      </w:r>
      <w:r>
        <w:t xml:space="preserve"> gdy państwo decyduje się na wprowadzenie takiego systemu, decydująca staje się konieczność wprowadzenia skutecznych zabezpieczeń proceduralnych (zob. odpowiednio</w:t>
      </w:r>
      <w:r w:rsidR="00833EEB">
        <w:t xml:space="preserve"> </w:t>
      </w:r>
      <w:r>
        <w:rPr>
          <w:i/>
          <w:iCs/>
        </w:rPr>
        <w:t>S.M.M.</w:t>
      </w:r>
      <w:r w:rsidR="00521DF5">
        <w:rPr>
          <w:i/>
          <w:iCs/>
        </w:rPr>
        <w:t> </w:t>
      </w:r>
      <w:r>
        <w:rPr>
          <w:i/>
          <w:iCs/>
        </w:rPr>
        <w:t>przeciwko Zjednoczonemu Królestwu</w:t>
      </w:r>
      <w:r>
        <w:t>, nr 77450/12, § 84, 22 czerwca 2017 r.). Zabezpieczenia te muszą umożliwiać usunięcie wszelkich takich danych, gdy ich dalsze zatrzymywanie stanie się nieproporcjonalne.</w:t>
      </w:r>
    </w:p>
    <w:p w:rsidR="00245C15" w:rsidRPr="001823B5" w:rsidRDefault="00245C15" w:rsidP="001823B5">
      <w:pPr>
        <w:pStyle w:val="ECHRPara"/>
      </w:pPr>
      <w:r w:rsidRPr="001823B5">
        <w:t>120</w:t>
      </w:r>
      <w:r>
        <w:t xml:space="preserve">. </w:t>
      </w:r>
      <w:r w:rsidR="00E3016E">
        <w:t>W związku z tym Trybunał zauważa</w:t>
      </w:r>
      <w:r>
        <w:t xml:space="preserve">, że ponieważ dane osobowe skarżącego mogły być zatrzymywane </w:t>
      </w:r>
      <w:r w:rsidR="00E3016E">
        <w:t xml:space="preserve">potencjalnie </w:t>
      </w:r>
      <w:r>
        <w:t xml:space="preserve">na czas nieokreślony, jedynym terminem, którego mógł być pewien, był okres przechowywania danych przez co najmniej sześć lat, w którym to momencie zostałyby one poddane zaplanowanemu przeglądowi. W niniejszej sprawie nie jest jasne, czy te sześcioletnie lub jakiekolwiek późniejsze przeglądy zostały przeprowadzone w jakikolwiek </w:t>
      </w:r>
      <w:r w:rsidR="00E3016E">
        <w:t>znaczący</w:t>
      </w:r>
      <w:r>
        <w:t xml:space="preserve"> sposób. Z pewnością nie</w:t>
      </w:r>
      <w:r w:rsidR="00521DF5">
        <w:t> </w:t>
      </w:r>
      <w:r>
        <w:t>doprowadziły one bezpośrednio do usunięcia jakichkolwiek danych osobowych skarżącego.</w:t>
      </w:r>
    </w:p>
    <w:p w:rsidR="00245C15" w:rsidRPr="001823B5" w:rsidRDefault="00245C15" w:rsidP="001823B5">
      <w:pPr>
        <w:pStyle w:val="ECHRPara"/>
      </w:pPr>
      <w:r w:rsidRPr="001823B5">
        <w:t>121</w:t>
      </w:r>
      <w:r>
        <w:t>. Trybunał zauważ</w:t>
      </w:r>
      <w:r w:rsidR="00E3016E">
        <w:t>a</w:t>
      </w:r>
      <w:r>
        <w:t>, że okoliczności sprawy są sprzeczne z podejściem określonym w zasadzie 4 rezolucji Komitetu Ministrów (74) 29 w sprawie ochrony prywatności osób fizycznych wobec elektronicznych banków danych w sektorze publicznym, która stanowi, że należy wydać przepisy określające maksymalne terminy, po upływie których niektóre kategorie informacji nie mogą być wykorzystywane lub przechowywane, poza niektórymi wyjątkowymi sytuacjami (</w:t>
      </w:r>
      <w:r w:rsidR="00D87A64">
        <w:t>zob. paragraf</w:t>
      </w:r>
      <w:r>
        <w:t xml:space="preserve"> </w:t>
      </w:r>
      <w:r w:rsidRPr="001823B5">
        <w:t>62</w:t>
      </w:r>
      <w:r>
        <w:t xml:space="preserve"> powyżej).</w:t>
      </w:r>
    </w:p>
    <w:p w:rsidR="00245C15" w:rsidRPr="001823B5" w:rsidRDefault="00245C15" w:rsidP="001823B5">
      <w:pPr>
        <w:pStyle w:val="ECHRPara"/>
      </w:pPr>
      <w:bookmarkStart w:id="21" w:name="whilsttheapplicant"/>
      <w:r w:rsidRPr="001823B5">
        <w:t>122</w:t>
      </w:r>
      <w:bookmarkEnd w:id="21"/>
      <w:r>
        <w:t>. Ponadto, chociaż skarżący mógł zażądać i zażądał ujawnienia i</w:t>
      </w:r>
      <w:r w:rsidR="00521DF5">
        <w:t> </w:t>
      </w:r>
      <w:r>
        <w:t>zniszczenia swoich danych, zabezpieczenie to wydaje się mieć ograniczony wpływ ze względu na odmowę usunięcia jego danych lub udzielenia jakiegokolwiek wyjaśnienia dotyczącego ich dalszego zatrzymywania – w</w:t>
      </w:r>
      <w:r w:rsidR="00521DF5">
        <w:t> </w:t>
      </w:r>
      <w:r>
        <w:t>tym późniejszego ujawnienia bez wyjaśnienia zatrzymywania dodatkowych danych (</w:t>
      </w:r>
      <w:r w:rsidR="00D87A64">
        <w:t>zob. paragraf</w:t>
      </w:r>
      <w:r w:rsidR="0069046F">
        <w:t>y</w:t>
      </w:r>
      <w:r>
        <w:t xml:space="preserve"> 11 i </w:t>
      </w:r>
      <w:r w:rsidRPr="001823B5">
        <w:t>15</w:t>
      </w:r>
      <w:r>
        <w:t>-</w:t>
      </w:r>
      <w:r w:rsidRPr="001823B5">
        <w:t>17</w:t>
      </w:r>
      <w:r>
        <w:t xml:space="preserve"> powyżej). </w:t>
      </w:r>
      <w:r w:rsidR="00257D5C">
        <w:t xml:space="preserve">O ile </w:t>
      </w:r>
      <w:r>
        <w:t>Trybunał</w:t>
      </w:r>
      <w:r w:rsidR="00257D5C">
        <w:t>owi wiadomo</w:t>
      </w:r>
      <w:r>
        <w:t>, przynajmniej niektóre dane osobowe skarżącego dotyczące jego udziału w proteście bez użycia przemocy zostały zebrane ponad sześć lat temu i pozostają w krajowej bazie danych dotyczących ekstremizmu (</w:t>
      </w:r>
      <w:r w:rsidR="00D87A64">
        <w:t>zob.</w:t>
      </w:r>
      <w:r w:rsidR="00521DF5">
        <w:t> </w:t>
      </w:r>
      <w:r w:rsidR="00D87A64">
        <w:t>paragraf</w:t>
      </w:r>
      <w:r>
        <w:t xml:space="preserve"> </w:t>
      </w:r>
      <w:r w:rsidRPr="001823B5">
        <w:t>16</w:t>
      </w:r>
      <w:r>
        <w:t xml:space="preserve"> powyżej), mimo że policja stwierdziła, a sądy krajowe potwierdziły, że skarżący nie został uznany za osobę stanowiącą zagrożenie dla</w:t>
      </w:r>
      <w:r w:rsidR="00257D5C">
        <w:t xml:space="preserve"> kogokolwiek</w:t>
      </w:r>
      <w:r>
        <w:t xml:space="preserve"> (</w:t>
      </w:r>
      <w:r w:rsidR="00D87A64">
        <w:t>zob. paragraf</w:t>
      </w:r>
      <w:r>
        <w:t xml:space="preserve"> </w:t>
      </w:r>
      <w:r w:rsidRPr="001823B5">
        <w:t>31</w:t>
      </w:r>
      <w:r>
        <w:t>, powyżej).</w:t>
      </w:r>
    </w:p>
    <w:p w:rsidR="00245C15" w:rsidRPr="001823B5" w:rsidRDefault="00245C15" w:rsidP="001823B5">
      <w:pPr>
        <w:pStyle w:val="ECHRPara"/>
      </w:pPr>
      <w:r w:rsidRPr="001823B5">
        <w:t>123</w:t>
      </w:r>
      <w:r w:rsidR="00257D5C">
        <w:t>. Ponadto,</w:t>
      </w:r>
      <w:r>
        <w:t xml:space="preserve"> szczególnie niepokojący w tej sprawie był brak skutecznych zabezpieczeń, ponieważ dane osobowe ujawniające opinie polityczne wymagają podwyższonego poziomu ochrony (</w:t>
      </w:r>
      <w:r w:rsidR="00D87A64">
        <w:t>zob. paragraf</w:t>
      </w:r>
      <w:r>
        <w:t xml:space="preserve"> </w:t>
      </w:r>
      <w:r w:rsidRPr="001823B5">
        <w:t>112</w:t>
      </w:r>
      <w:r>
        <w:t xml:space="preserve"> powyżej). Angażowanie się w pokojowe protesty jest szczególnie chronione na mocy art. 11 Konwencji, który zawiera również specjalną ochronę dla związków </w:t>
      </w:r>
      <w:r>
        <w:lastRenderedPageBreak/>
        <w:t xml:space="preserve">zawodowych, w których </w:t>
      </w:r>
      <w:r w:rsidR="00257D5C">
        <w:t>wydarzeniach</w:t>
      </w:r>
      <w:r>
        <w:t xml:space="preserve"> skarżący brał udział (</w:t>
      </w:r>
      <w:r w:rsidR="00D87A64">
        <w:t>zob. paragraf</w:t>
      </w:r>
      <w:r>
        <w:t xml:space="preserve"> </w:t>
      </w:r>
      <w:r w:rsidRPr="001823B5">
        <w:t>10</w:t>
      </w:r>
      <w:r>
        <w:t xml:space="preserve"> powyżej). W związku z tym </w:t>
      </w:r>
      <w:r w:rsidR="00102C36">
        <w:t xml:space="preserve">Trybunał </w:t>
      </w:r>
      <w:r>
        <w:t>zauważa, że w oświadczeniu krajowego koordynatora definicja „ekstremizmu wewnętrznego” odnosi się do gromadzenia danych na temat grup i jednostek, które działają „poza procesem demokratycznym”. Dlatego wydaje się, że policja nie przestrzegała własnej definicji (choć być może płynnej (</w:t>
      </w:r>
      <w:r w:rsidR="00D87A64">
        <w:t>zob. paragraf</w:t>
      </w:r>
      <w:r>
        <w:t xml:space="preserve"> </w:t>
      </w:r>
      <w:r w:rsidRPr="001823B5">
        <w:t>105</w:t>
      </w:r>
      <w:r>
        <w:t>)) przy zatrzymywaniu danych dotyczących z</w:t>
      </w:r>
      <w:r w:rsidR="00102C36">
        <w:t>wiązku skarżącego z pokojowymi wydarzeniami</w:t>
      </w:r>
      <w:r>
        <w:t xml:space="preserve"> politycznymi: </w:t>
      </w:r>
      <w:r w:rsidR="00102C36">
        <w:t xml:space="preserve">wydarzenia </w:t>
      </w:r>
      <w:r>
        <w:t>takie stanowią istotną część procesu demokratycznego (zob.</w:t>
      </w:r>
      <w:r w:rsidR="00833EEB">
        <w:t xml:space="preserve"> </w:t>
      </w:r>
      <w:r w:rsidRPr="00102C36">
        <w:rPr>
          <w:i/>
        </w:rPr>
        <w:t xml:space="preserve">Gorzelik i </w:t>
      </w:r>
      <w:r w:rsidR="00102C36" w:rsidRPr="00102C36">
        <w:rPr>
          <w:i/>
        </w:rPr>
        <w:t xml:space="preserve">Inni </w:t>
      </w:r>
      <w:r w:rsidRPr="00102C36">
        <w:rPr>
          <w:i/>
        </w:rPr>
        <w:t>przeciwko Polsce</w:t>
      </w:r>
      <w:r>
        <w:t xml:space="preserve"> [</w:t>
      </w:r>
      <w:r w:rsidR="0003444D">
        <w:t>WI</w:t>
      </w:r>
      <w:r>
        <w:t xml:space="preserve">], nr 44158/98, § 92, </w:t>
      </w:r>
      <w:r w:rsidR="00833EEB">
        <w:t>ETPC</w:t>
      </w:r>
      <w:r>
        <w:t xml:space="preserve"> 2004</w:t>
      </w:r>
      <w:r>
        <w:noBreakHyphen/>
        <w:t>I). Trybunał podkreślił już niebezpieczeństwo niejednoznacznego podejścia do zakresu gromadzenia danych w niniejszej sprawie (</w:t>
      </w:r>
      <w:r w:rsidR="00D87A64">
        <w:t>zob. paragraf</w:t>
      </w:r>
      <w:r>
        <w:t xml:space="preserve"> </w:t>
      </w:r>
      <w:r w:rsidRPr="001823B5">
        <w:t>97</w:t>
      </w:r>
      <w:r>
        <w:t xml:space="preserve"> powyżej). W związku z tym uważa on, że decyzje o zatrzymaniu danych osobowych skarżącego nie uwzględniały zwiększonego poziomu ochrony, jaki</w:t>
      </w:r>
      <w:r w:rsidR="00102C36">
        <w:t xml:space="preserve"> przysługiwał im</w:t>
      </w:r>
      <w:r>
        <w:t xml:space="preserve"> </w:t>
      </w:r>
      <w:r w:rsidR="00102C36">
        <w:t>jako danym ujawniającym</w:t>
      </w:r>
      <w:r>
        <w:t xml:space="preserve"> poglądy polityczne, i że w tych okolicznościach zatrzymanie tych danych musiało mieć skutek zniechęcający („efekt </w:t>
      </w:r>
      <w:r w:rsidR="00102C36">
        <w:t>mrożący</w:t>
      </w:r>
      <w:r>
        <w:t>”).</w:t>
      </w:r>
    </w:p>
    <w:p w:rsidR="00245C15" w:rsidRPr="001823B5" w:rsidRDefault="00245C15" w:rsidP="001823B5">
      <w:pPr>
        <w:pStyle w:val="ECHRPara"/>
      </w:pPr>
      <w:r w:rsidRPr="001823B5">
        <w:t>124</w:t>
      </w:r>
      <w:r>
        <w:t>. Ponadto, zasada 2 dotycząca gromadzenia danych zawarta w</w:t>
      </w:r>
      <w:r w:rsidR="00521DF5">
        <w:t> </w:t>
      </w:r>
      <w:r>
        <w:t>zaleceniu R (87) 15 (</w:t>
      </w:r>
      <w:r w:rsidR="00D87A64">
        <w:t>zob. paragraf</w:t>
      </w:r>
      <w:r>
        <w:t xml:space="preserve"> </w:t>
      </w:r>
      <w:r w:rsidRPr="001823B5">
        <w:t>65</w:t>
      </w:r>
      <w:r>
        <w:t xml:space="preserve"> powyżej) stanowi, że gromadzenie danych dotyczących osób fizycznych wyłącznie na podstawie tego, że należą one do określonych ruchów lub organizacji, które nie są zakazane przez prawo, powinno być zakazane, chyba że jest to bezwzględnie konieczne lub służy do celów konkretnego dochodzenia (zob. odpowiednio </w:t>
      </w:r>
      <w:r>
        <w:rPr>
          <w:i/>
          <w:iCs/>
        </w:rPr>
        <w:t xml:space="preserve">Segerstedt-Wiberg i </w:t>
      </w:r>
      <w:r w:rsidR="00AE0CBF">
        <w:rPr>
          <w:i/>
          <w:iCs/>
        </w:rPr>
        <w:t>Inni</w:t>
      </w:r>
      <w:r>
        <w:rPr>
          <w:i/>
          <w:iCs/>
        </w:rPr>
        <w:t>,</w:t>
      </w:r>
      <w:r>
        <w:t xml:space="preserve"> </w:t>
      </w:r>
      <w:r w:rsidR="00AE0CBF">
        <w:t xml:space="preserve">cyt. powyżej </w:t>
      </w:r>
      <w:r>
        <w:t>§ 79). Trybunał uzna</w:t>
      </w:r>
      <w:r w:rsidR="00AE0CBF">
        <w:t>je</w:t>
      </w:r>
      <w:r>
        <w:t xml:space="preserve">, że nie wykazano, </w:t>
      </w:r>
      <w:r w:rsidR="00AE0CBF">
        <w:t>że</w:t>
      </w:r>
      <w:r w:rsidR="00521DF5">
        <w:t> </w:t>
      </w:r>
      <w:r>
        <w:t xml:space="preserve">zatrzymywanie danych skarżącego, w szczególności dotyczących pokojowego protestu, było bezwzględnie konieczne </w:t>
      </w:r>
      <w:r w:rsidR="00AE0CBF">
        <w:t xml:space="preserve">lub </w:t>
      </w:r>
      <w:r>
        <w:t>konieczne dla celów konkretnego dochodzenia.</w:t>
      </w:r>
    </w:p>
    <w:p w:rsidR="00245C15" w:rsidRPr="001823B5" w:rsidRDefault="00245C15" w:rsidP="001823B5">
      <w:pPr>
        <w:pStyle w:val="ECHRPara"/>
      </w:pPr>
      <w:r w:rsidRPr="001823B5">
        <w:t>125</w:t>
      </w:r>
      <w:r>
        <w:t>. Trybunał podkreśla również, że dokonuje tych ustaleń w odniesieniu do skarżącego</w:t>
      </w:r>
      <w:r w:rsidR="00AE0CBF">
        <w:t>,</w:t>
      </w:r>
      <w:r>
        <w:t xml:space="preserve"> mając na uwadze </w:t>
      </w:r>
      <w:r w:rsidR="00AE0CBF">
        <w:t xml:space="preserve">również </w:t>
      </w:r>
      <w:r>
        <w:t>jego wiek, co zasada 7 zalecenia R</w:t>
      </w:r>
      <w:r w:rsidR="00521DF5">
        <w:t> </w:t>
      </w:r>
      <w:r>
        <w:t>(87) 15 określa jako szczególną okoliczność w tym kontekście (</w:t>
      </w:r>
      <w:r w:rsidR="00D87A64">
        <w:t>zob.</w:t>
      </w:r>
      <w:r w:rsidR="00521DF5">
        <w:t> </w:t>
      </w:r>
      <w:r w:rsidR="00D87A64">
        <w:t>paragraf</w:t>
      </w:r>
      <w:r w:rsidR="00AE0CBF">
        <w:t xml:space="preserve"> </w:t>
      </w:r>
      <w:r w:rsidRPr="001823B5">
        <w:t>66</w:t>
      </w:r>
      <w:r>
        <w:t xml:space="preserve"> powyżej).</w:t>
      </w:r>
    </w:p>
    <w:p w:rsidR="00245C15" w:rsidRPr="001823B5" w:rsidRDefault="00245C15" w:rsidP="001823B5">
      <w:pPr>
        <w:pStyle w:val="ECHRPara"/>
      </w:pPr>
      <w:r w:rsidRPr="001823B5">
        <w:t>126</w:t>
      </w:r>
      <w:r>
        <w:t>. Rząd argumentował, że przeglądanie bazy danych i usuwanie wszystkich wpisów dotyczących skarżącego byłoby zbyt uciążliwe, ponieważ baza danych nie jest w pełni zautomatyzowana. Trybunał zauważa jednak, że wytyczne MoPI przewidują przegląd danych po sześciu latach i</w:t>
      </w:r>
      <w:r w:rsidR="00521DF5">
        <w:t> </w:t>
      </w:r>
      <w:r>
        <w:t>ich usunięcie. Chociaż nie wydaje się, aby miało to miejsce w tym przypadku, to</w:t>
      </w:r>
      <w:r w:rsidR="00521DF5">
        <w:t> </w:t>
      </w:r>
      <w:r>
        <w:t>jednak pokazuje to, że przegląd i usuwanie zapisów miało być realną możliwością. W związku z tym Trybunał przypomina również, że w 2012 r. w wyniku sprawozdania HMIC usunięto znaczną liczbę zapisów danych osobowych, co wyraźnie wskazuje, że przegląd i usuwanie zapisów są możliwe (</w:t>
      </w:r>
      <w:r w:rsidR="00D87A64">
        <w:t>zob. paragraf</w:t>
      </w:r>
      <w:r>
        <w:t xml:space="preserve"> </w:t>
      </w:r>
      <w:r w:rsidRPr="001823B5">
        <w:t>13</w:t>
      </w:r>
      <w:r>
        <w:t xml:space="preserve"> powyżej). Trybunał również zauważa, że</w:t>
      </w:r>
      <w:r w:rsidR="00521DF5">
        <w:t> </w:t>
      </w:r>
      <w:r>
        <w:t xml:space="preserve">wytyczne MoPI </w:t>
      </w:r>
      <w:r w:rsidR="009F65AE">
        <w:t xml:space="preserve">wskazują na </w:t>
      </w:r>
      <w:r>
        <w:t>znaczenie zapewnienia łatwego dostępu do</w:t>
      </w:r>
      <w:r w:rsidR="00521DF5">
        <w:t> </w:t>
      </w:r>
      <w:r>
        <w:t>informacji i korzystania z nich (</w:t>
      </w:r>
      <w:r w:rsidR="00D87A64">
        <w:t>zob. paragraf</w:t>
      </w:r>
      <w:r>
        <w:t xml:space="preserve"> </w:t>
      </w:r>
      <w:r w:rsidRPr="001823B5">
        <w:t>42</w:t>
      </w:r>
      <w:r>
        <w:t xml:space="preserve"> powyżej).</w:t>
      </w:r>
    </w:p>
    <w:p w:rsidR="00245C15" w:rsidRPr="001823B5" w:rsidRDefault="00245C15" w:rsidP="001823B5">
      <w:pPr>
        <w:pStyle w:val="ECHRPara"/>
      </w:pPr>
      <w:r w:rsidRPr="001823B5">
        <w:t>127</w:t>
      </w:r>
      <w:r>
        <w:t xml:space="preserve">. W związku z tym Trybunał nie jest przekonany, że usuwanie danych byłoby na tyle uciążliwe, aby uczynić je nieracjonalnym. Ogólnie rzecz </w:t>
      </w:r>
      <w:r>
        <w:lastRenderedPageBreak/>
        <w:t xml:space="preserve">biorąc, Trybunał </w:t>
      </w:r>
      <w:r w:rsidR="006C01E1">
        <w:t>pragnie dodać</w:t>
      </w:r>
      <w:r>
        <w:t>, że całkowicie sprzeczne z potrzebą ochrony życia prywatnego na mocy art. 8</w:t>
      </w:r>
      <w:r w:rsidR="006C01E1">
        <w:t xml:space="preserve"> byłaby sytuacja</w:t>
      </w:r>
      <w:r>
        <w:t>, gdyby Rząd mógł stworzyć bazę danych w taki sposób, by danych w niej zawartych nie można było łatwo przeglądać lub edytować, a następnie wykorzystać to jako uzasadnienie odmowy usunięcia informacji z tej bazy.</w:t>
      </w:r>
    </w:p>
    <w:p w:rsidR="00245C15" w:rsidRPr="001823B5" w:rsidRDefault="00245C15" w:rsidP="001823B5">
      <w:pPr>
        <w:pStyle w:val="ECHRPara"/>
      </w:pPr>
      <w:bookmarkStart w:id="22" w:name="theforegoingconclusions"/>
      <w:r w:rsidRPr="001823B5">
        <w:t>128</w:t>
      </w:r>
      <w:bookmarkEnd w:id="22"/>
      <w:r>
        <w:t>. Wyżej wskazane względy wystarczają, by Trybunał mógł stwierdzić, że nastąpiło naruszenie art. 8 Konwencji.</w:t>
      </w:r>
    </w:p>
    <w:p w:rsidR="00245C15" w:rsidRPr="001823B5" w:rsidRDefault="00245C15" w:rsidP="001823B5">
      <w:pPr>
        <w:pStyle w:val="ECHRHeading1"/>
      </w:pPr>
      <w:r>
        <w:t>II. ZASTOSOWANIE ART. 41 KONWENCJI</w:t>
      </w:r>
    </w:p>
    <w:p w:rsidR="00245C15" w:rsidRPr="001823B5" w:rsidRDefault="00245C15" w:rsidP="001823B5">
      <w:pPr>
        <w:pStyle w:val="ECHRPara"/>
        <w:keepNext/>
        <w:keepLines/>
      </w:pPr>
      <w:r w:rsidRPr="001823B5">
        <w:t>129</w:t>
      </w:r>
      <w:r>
        <w:t>. Art. 41 Konwencji stanowi:</w:t>
      </w:r>
    </w:p>
    <w:p w:rsidR="00245C15" w:rsidRPr="001823B5" w:rsidRDefault="00120C29" w:rsidP="00295262">
      <w:pPr>
        <w:pStyle w:val="ECHRParaQuote"/>
        <w:keepNext/>
        <w:keepLines/>
      </w:pPr>
      <w:r>
        <w:t>„</w:t>
      </w:r>
      <w:r w:rsidR="00295262" w:rsidRPr="00295262">
        <w:t>Jeśli Trybunał stwierdzi, że nastąpiło naruszenie Konwencji lub jej Protokołów, oraz</w:t>
      </w:r>
      <w:r w:rsidR="00521DF5">
        <w:t> </w:t>
      </w:r>
      <w:r w:rsidR="00295262" w:rsidRPr="00295262">
        <w:t>jeśli prawo wewnętrzne zainteresowanej Wysokiej Układającej się Strony pozwala tylko na częściowe usunięcie konsekwencji tego naruszenia, Trybunał orzeka, gdy</w:t>
      </w:r>
      <w:r w:rsidR="00521DF5">
        <w:t> </w:t>
      </w:r>
      <w:r w:rsidR="00295262" w:rsidRPr="00295262">
        <w:t>zachodzi potrzeba, słuszne zadośćuczynienie</w:t>
      </w:r>
      <w:r w:rsidR="00295262">
        <w:t xml:space="preserve"> pokrzywdzonej stronie</w:t>
      </w:r>
      <w:r w:rsidR="00245C15">
        <w:t>"</w:t>
      </w:r>
      <w:r w:rsidR="006C01E1">
        <w:t>.</w:t>
      </w:r>
    </w:p>
    <w:p w:rsidR="00245C15" w:rsidRPr="001823B5" w:rsidRDefault="00245C15" w:rsidP="001823B5">
      <w:pPr>
        <w:pStyle w:val="ECHRHeading2"/>
      </w:pPr>
      <w:r>
        <w:t>A. Szkoda</w:t>
      </w:r>
    </w:p>
    <w:p w:rsidR="00245C15" w:rsidRPr="001823B5" w:rsidRDefault="00245C15" w:rsidP="001823B5">
      <w:pPr>
        <w:pStyle w:val="ECHRPara"/>
      </w:pPr>
      <w:r w:rsidRPr="001823B5">
        <w:t>130</w:t>
      </w:r>
      <w:r>
        <w:t>. Skarżący nie złożył wniosku o słuszne zadośćuczynienie, uznając, że</w:t>
      </w:r>
      <w:r w:rsidR="00521DF5">
        <w:t> </w:t>
      </w:r>
      <w:r>
        <w:t>stwierdzenie naruszenia b</w:t>
      </w:r>
      <w:r w:rsidR="006C01E1">
        <w:t>ędzie</w:t>
      </w:r>
      <w:r>
        <w:t xml:space="preserve"> wystarczające</w:t>
      </w:r>
      <w:r w:rsidR="006C01E1">
        <w:t>. W związku z tym Trybunał uznaje</w:t>
      </w:r>
      <w:r>
        <w:t>, że nie ma potrzeby przyznania mu z tego tytułu żadnej kwoty.</w:t>
      </w:r>
    </w:p>
    <w:p w:rsidR="00245C15" w:rsidRPr="001823B5" w:rsidRDefault="00245C15" w:rsidP="001823B5">
      <w:pPr>
        <w:pStyle w:val="ECHRHeading2"/>
      </w:pPr>
      <w:r>
        <w:t>B. Koszty i wydatki</w:t>
      </w:r>
    </w:p>
    <w:p w:rsidR="00245C15" w:rsidRPr="001823B5" w:rsidRDefault="00245C15" w:rsidP="001823B5">
      <w:pPr>
        <w:pStyle w:val="ECHRPara"/>
      </w:pPr>
      <w:r w:rsidRPr="001823B5">
        <w:t>131</w:t>
      </w:r>
      <w:r>
        <w:t xml:space="preserve">. </w:t>
      </w:r>
      <w:r w:rsidR="006C01E1">
        <w:t>Skarżący</w:t>
      </w:r>
      <w:r>
        <w:t xml:space="preserve"> wni</w:t>
      </w:r>
      <w:r w:rsidR="006C01E1">
        <w:t>ósł</w:t>
      </w:r>
      <w:r>
        <w:t xml:space="preserve"> również o zwrot kosztów i wydatków poniesionych przed </w:t>
      </w:r>
      <w:r w:rsidR="00833EEB">
        <w:t>Trybunał</w:t>
      </w:r>
      <w:r>
        <w:t>em w wysokości 4</w:t>
      </w:r>
      <w:r w:rsidR="006C01E1">
        <w:t>1 770 GBP oraz załączył</w:t>
      </w:r>
      <w:r>
        <w:t xml:space="preserve"> szczegółową dokumentację na poparcie swojego wniosku.</w:t>
      </w:r>
    </w:p>
    <w:p w:rsidR="00245C15" w:rsidRPr="001823B5" w:rsidRDefault="00245C15" w:rsidP="001823B5">
      <w:pPr>
        <w:pStyle w:val="ECHRPara"/>
      </w:pPr>
      <w:r w:rsidRPr="001823B5">
        <w:t>132</w:t>
      </w:r>
      <w:r>
        <w:t>. Rząd twierdził, że kwota ta była nadmierna, w szczególności z uwagi na zbyt wysokie stawki godzinowe adwokatów, a także z uwagi na to, że ich pisma procesowe powtarzały argumenty podnoszone przed sądami krajowymi.</w:t>
      </w:r>
    </w:p>
    <w:p w:rsidR="00245C15" w:rsidRPr="001823B5" w:rsidRDefault="00245C15" w:rsidP="001823B5">
      <w:pPr>
        <w:pStyle w:val="ECHRPara"/>
      </w:pPr>
      <w:r w:rsidRPr="001823B5">
        <w:t>133</w:t>
      </w:r>
      <w:r>
        <w:t>. Z orzecznictwa Trybunału wynika, że skarżący jest uprawniony do</w:t>
      </w:r>
      <w:r w:rsidR="00521DF5">
        <w:t> </w:t>
      </w:r>
      <w:r>
        <w:t xml:space="preserve">zwrotu kosztów i wydatków jedynie w zakresie, w jakim zostało wykazane, że </w:t>
      </w:r>
      <w:r w:rsidR="006C01E1">
        <w:t xml:space="preserve">były </w:t>
      </w:r>
      <w:r>
        <w:t>one faktycznie poniesione</w:t>
      </w:r>
      <w:r w:rsidR="006C01E1">
        <w:t xml:space="preserve">, konieczne </w:t>
      </w:r>
      <w:r>
        <w:t xml:space="preserve">oraz </w:t>
      </w:r>
      <w:r w:rsidR="00D95968">
        <w:t>uzasadnione</w:t>
      </w:r>
      <w:r>
        <w:t xml:space="preserve"> co</w:t>
      </w:r>
      <w:r w:rsidR="00521DF5">
        <w:t> </w:t>
      </w:r>
      <w:r>
        <w:t xml:space="preserve">do wysokości. W niniejszej sprawie, mając na uwadze posiadane dokumenty oraz powyższe kryteria, Trybunał uznaje za </w:t>
      </w:r>
      <w:r w:rsidR="00D95968">
        <w:t xml:space="preserve">uzasadnione </w:t>
      </w:r>
      <w:r>
        <w:t>przyznanie kwoty 27 000 EUR z tytułu postępowania przed Trybunałem.</w:t>
      </w:r>
    </w:p>
    <w:p w:rsidR="00245C15" w:rsidRPr="001823B5" w:rsidRDefault="00245C15" w:rsidP="001823B5">
      <w:pPr>
        <w:pStyle w:val="ECHRHeading2"/>
      </w:pPr>
      <w:r>
        <w:t>C. Odsetki z tytułu zwłoki</w:t>
      </w:r>
    </w:p>
    <w:p w:rsidR="00245C15" w:rsidRPr="001823B5" w:rsidRDefault="00245C15" w:rsidP="001823B5">
      <w:pPr>
        <w:pStyle w:val="ECHRPara"/>
      </w:pPr>
      <w:r w:rsidRPr="001823B5">
        <w:t>134</w:t>
      </w:r>
      <w:r>
        <w:t xml:space="preserve">. Trybunał uznaje za właściwe, </w:t>
      </w:r>
      <w:r w:rsidR="00D95968">
        <w:t xml:space="preserve">by </w:t>
      </w:r>
      <w:r>
        <w:t xml:space="preserve">odsetki z tytułu zwłoki </w:t>
      </w:r>
      <w:r w:rsidR="00D95968">
        <w:t xml:space="preserve">były </w:t>
      </w:r>
      <w:r>
        <w:t xml:space="preserve">oparte na marginalnej stopie </w:t>
      </w:r>
      <w:r w:rsidR="00D95968">
        <w:t xml:space="preserve">oprocentowania kredytu </w:t>
      </w:r>
      <w:r>
        <w:t>Europejskiego Banku Centralnego, do której należy dodać trzy punkty procentowe.</w:t>
      </w:r>
    </w:p>
    <w:p w:rsidR="00245C15" w:rsidRPr="001823B5" w:rsidRDefault="00245C15" w:rsidP="001823B5">
      <w:pPr>
        <w:pStyle w:val="ECHRTitle1"/>
      </w:pPr>
      <w:r>
        <w:lastRenderedPageBreak/>
        <w:t>Z TYCH WZGLĘDÓW TRYBUNAŁ JEDNOGŁOŚNIE</w:t>
      </w:r>
    </w:p>
    <w:p w:rsidR="00245C15" w:rsidRPr="001823B5" w:rsidRDefault="00245C15" w:rsidP="001823B5">
      <w:pPr>
        <w:pStyle w:val="JuList"/>
      </w:pPr>
      <w:r>
        <w:t xml:space="preserve">1. </w:t>
      </w:r>
      <w:r>
        <w:rPr>
          <w:i/>
          <w:iCs/>
        </w:rPr>
        <w:t>Uznaje</w:t>
      </w:r>
      <w:r>
        <w:t xml:space="preserve"> skargę za dopuszczalną;</w:t>
      </w:r>
    </w:p>
    <w:p w:rsidR="00245C15" w:rsidRPr="001823B5" w:rsidRDefault="00245C15" w:rsidP="001823B5">
      <w:pPr>
        <w:pStyle w:val="JuList"/>
        <w:ind w:left="0" w:firstLine="0"/>
      </w:pPr>
    </w:p>
    <w:p w:rsidR="00245C15" w:rsidRPr="001823B5" w:rsidRDefault="00245C15" w:rsidP="001823B5">
      <w:pPr>
        <w:pStyle w:val="JuList"/>
      </w:pPr>
      <w:r>
        <w:t xml:space="preserve">2. </w:t>
      </w:r>
      <w:r>
        <w:rPr>
          <w:i/>
          <w:iCs/>
        </w:rPr>
        <w:t>Stwierdza</w:t>
      </w:r>
      <w:r>
        <w:t>, że nastąpiło naruszenie art. 8 Konwencji;</w:t>
      </w:r>
    </w:p>
    <w:p w:rsidR="00245C15" w:rsidRPr="001823B5" w:rsidRDefault="00245C15" w:rsidP="001823B5">
      <w:pPr>
        <w:pStyle w:val="JuList"/>
      </w:pPr>
    </w:p>
    <w:p w:rsidR="00245C15" w:rsidRPr="001823B5" w:rsidRDefault="00245C15" w:rsidP="001823B5">
      <w:pPr>
        <w:pStyle w:val="JuList"/>
      </w:pPr>
      <w:r>
        <w:t xml:space="preserve">3. </w:t>
      </w:r>
      <w:r>
        <w:rPr>
          <w:i/>
          <w:iCs/>
        </w:rPr>
        <w:t>Stwierdza</w:t>
      </w:r>
    </w:p>
    <w:p w:rsidR="00245C15" w:rsidRPr="001823B5" w:rsidRDefault="00245C15" w:rsidP="001823B5">
      <w:pPr>
        <w:pStyle w:val="JuLista"/>
      </w:pPr>
      <w:r>
        <w:t xml:space="preserve">(a) że pozwane </w:t>
      </w:r>
      <w:r w:rsidR="00381767">
        <w:t xml:space="preserve">państwo </w:t>
      </w:r>
      <w:r>
        <w:t>ma wypłacić skarżącemu, w ciągu trzech miesięcy od dnia, w którym wyrok stanie się ostateczny zgodnie z art. 44 ust. 2 Konwencji, następujące kwoty przeliczone na walutę pozwanego państwa według kursu obowiązującego w dniu rozliczenia</w:t>
      </w:r>
      <w:r w:rsidR="00D95968">
        <w:t>:</w:t>
      </w:r>
    </w:p>
    <w:p w:rsidR="00245C15" w:rsidRPr="001823B5" w:rsidRDefault="00245C15" w:rsidP="001823B5">
      <w:pPr>
        <w:pStyle w:val="JuListi"/>
      </w:pPr>
      <w:r>
        <w:t xml:space="preserve">(i) 27 000 EUR (dwadzieścia siedem tysięcy euro) plus wszelkie podatki, </w:t>
      </w:r>
      <w:r w:rsidR="00D95968">
        <w:t>jakie</w:t>
      </w:r>
      <w:r>
        <w:t xml:space="preserve"> mogą być nałożone na skarżącego, tytułem zwrotu kosztów i wydatków;</w:t>
      </w:r>
    </w:p>
    <w:p w:rsidR="00245C15" w:rsidRPr="001823B5" w:rsidRDefault="00245C15" w:rsidP="001823B5">
      <w:pPr>
        <w:pStyle w:val="JuLista"/>
      </w:pPr>
      <w:r>
        <w:t>(b) że po upływie powyższego trzymiesięcznego terminu do momentu uregulowania należności, od powyższej kwoty będą naliczane zwykłe odsetki według stawki równej marginalnej (krańcowej) stopie oprocentowania kredytu Europejskiego Banku Centralnego za czas zwłoki, powiększonej o trzy punkty procentowe</w:t>
      </w:r>
    </w:p>
    <w:p w:rsidR="00245C15" w:rsidRPr="001823B5" w:rsidRDefault="00245C15" w:rsidP="001823B5">
      <w:pPr>
        <w:pStyle w:val="JuList"/>
      </w:pPr>
    </w:p>
    <w:p w:rsidR="00245C15" w:rsidRPr="001823B5" w:rsidRDefault="00245C15" w:rsidP="001823B5">
      <w:pPr>
        <w:pStyle w:val="JuList"/>
      </w:pPr>
      <w:r>
        <w:t xml:space="preserve">4. </w:t>
      </w:r>
      <w:r>
        <w:rPr>
          <w:i/>
          <w:iCs/>
        </w:rPr>
        <w:t>Oddala</w:t>
      </w:r>
      <w:r>
        <w:t xml:space="preserve"> pozostałą część żądania skarżącego o słuszne zadośćuczynienie.</w:t>
      </w:r>
    </w:p>
    <w:p w:rsidR="00245C15" w:rsidRPr="001823B5" w:rsidRDefault="00245C15" w:rsidP="001823B5">
      <w:pPr>
        <w:pStyle w:val="JuParaLast"/>
      </w:pPr>
      <w:r>
        <w:t>Sporządzono w języku angielskim i obwieszczono pisemnie w dniu 24</w:t>
      </w:r>
      <w:r w:rsidR="00521DF5">
        <w:t> </w:t>
      </w:r>
      <w:r>
        <w:t xml:space="preserve">stycznia 2019 r., zgodnie z </w:t>
      </w:r>
      <w:r w:rsidR="00EF68B7">
        <w:t>Regułą</w:t>
      </w:r>
      <w:r>
        <w:t xml:space="preserve"> 77 </w:t>
      </w:r>
      <w:r w:rsidR="00EF68B7">
        <w:t>§§</w:t>
      </w:r>
      <w:r>
        <w:t xml:space="preserve"> 2 i 3 Regulaminu Trybunału.</w:t>
      </w:r>
    </w:p>
    <w:p w:rsidR="00245C15" w:rsidRPr="00D87A64" w:rsidRDefault="00245C15" w:rsidP="001823B5">
      <w:pPr>
        <w:pStyle w:val="JuSigned"/>
        <w:tabs>
          <w:tab w:val="clear" w:pos="6407"/>
          <w:tab w:val="center" w:pos="6096"/>
        </w:tabs>
        <w:rPr>
          <w:lang w:val="fr-FR"/>
        </w:rPr>
      </w:pPr>
      <w:r>
        <w:tab/>
      </w:r>
      <w:r w:rsidRPr="00D87A64">
        <w:rPr>
          <w:lang w:val="fr-FR"/>
        </w:rPr>
        <w:t>Abel Campos</w:t>
      </w:r>
      <w:r w:rsidRPr="00D87A64">
        <w:rPr>
          <w:lang w:val="fr-FR"/>
        </w:rPr>
        <w:tab/>
        <w:t xml:space="preserve">Linos-Alexandre Sicilianos </w:t>
      </w:r>
      <w:r w:rsidRPr="00D87A64">
        <w:rPr>
          <w:lang w:val="fr-FR"/>
        </w:rPr>
        <w:tab/>
        <w:t>Kanclerz</w:t>
      </w:r>
      <w:r w:rsidRPr="00D87A64">
        <w:rPr>
          <w:lang w:val="fr-FR"/>
        </w:rPr>
        <w:tab/>
        <w:t>Przewodniczący</w:t>
      </w:r>
    </w:p>
    <w:p w:rsidR="00245C15" w:rsidRPr="001823B5" w:rsidRDefault="00245C15" w:rsidP="001823B5">
      <w:pPr>
        <w:pStyle w:val="JuParaLast"/>
      </w:pPr>
      <w:r>
        <w:t xml:space="preserve">Zgodnie z art. 45 ust. 2 Konwencji oraz </w:t>
      </w:r>
      <w:r w:rsidR="00EF68B7">
        <w:t>Regułą</w:t>
      </w:r>
      <w:r>
        <w:t xml:space="preserve"> 74 </w:t>
      </w:r>
      <w:r w:rsidR="00EF68B7">
        <w:t>§</w:t>
      </w:r>
      <w:r>
        <w:t xml:space="preserve"> 2 Regulaminu Trybunału do niniejszego wyroku załączona została opinia odrębna Sędziego Koskelo, do które</w:t>
      </w:r>
      <w:r w:rsidR="00295262">
        <w:t>j</w:t>
      </w:r>
      <w:r>
        <w:t xml:space="preserve"> dołączył Sędzia Felici</w:t>
      </w:r>
    </w:p>
    <w:p w:rsidR="00245C15" w:rsidRPr="001823B5" w:rsidRDefault="00245C15" w:rsidP="001823B5">
      <w:pPr>
        <w:pStyle w:val="JuInitialled"/>
      </w:pPr>
      <w:r>
        <w:t>L.-A.S. A.C.</w:t>
      </w:r>
    </w:p>
    <w:p w:rsidR="00245C15" w:rsidRPr="001823B5" w:rsidRDefault="00245C15" w:rsidP="001823B5">
      <w:pPr>
        <w:pStyle w:val="JuInitialled"/>
        <w:sectPr w:rsidR="00245C15" w:rsidRPr="001823B5" w:rsidSect="00251B1A">
          <w:headerReference w:type="even" r:id="rId13"/>
          <w:headerReference w:type="default" r:id="rId14"/>
          <w:footnotePr>
            <w:numRestart w:val="eachSect"/>
          </w:footnotePr>
          <w:pgSz w:w="11906" w:h="16838" w:code="9"/>
          <w:pgMar w:top="2274" w:right="2274" w:bottom="2274" w:left="2274" w:header="1701" w:footer="708" w:gutter="0"/>
          <w:pgNumType w:start="1"/>
          <w:cols w:space="708"/>
          <w:docGrid w:linePitch="326"/>
        </w:sectPr>
      </w:pPr>
    </w:p>
    <w:p w:rsidR="00245C15" w:rsidRPr="001823B5" w:rsidRDefault="00245C15" w:rsidP="001823B5">
      <w:pPr>
        <w:pStyle w:val="ECHRTitleCentre1"/>
      </w:pPr>
      <w:r>
        <w:lastRenderedPageBreak/>
        <w:t>ZGODNA OPINIA SĘDZIEGO KOSKELO, DO KTÓRE</w:t>
      </w:r>
      <w:r w:rsidR="00295262">
        <w:t>J</w:t>
      </w:r>
      <w:r>
        <w:t xml:space="preserve"> DOŁĄCZYŁ SĘDZIA FELICI</w:t>
      </w:r>
    </w:p>
    <w:p w:rsidR="00245C15" w:rsidRDefault="00245C15" w:rsidP="003143EA">
      <w:pPr>
        <w:pStyle w:val="ECHRPara"/>
        <w:jc w:val="center"/>
        <w:rPr>
          <w:i/>
          <w:iCs/>
        </w:rPr>
      </w:pPr>
      <w:r>
        <w:rPr>
          <w:i/>
          <w:iCs/>
        </w:rPr>
        <w:t>[pominięto]</w:t>
      </w:r>
    </w:p>
    <w:p w:rsidR="00245C15" w:rsidRDefault="00245C15" w:rsidP="001823B5">
      <w:pPr>
        <w:pStyle w:val="OpiHA0"/>
      </w:pPr>
    </w:p>
    <w:p w:rsidR="00245C15" w:rsidRPr="001823B5" w:rsidRDefault="00245C15" w:rsidP="001823B5">
      <w:pPr>
        <w:pStyle w:val="OpiPara"/>
        <w:ind w:firstLine="357"/>
      </w:pPr>
    </w:p>
    <w:sectPr w:rsidR="00245C15" w:rsidRPr="001823B5" w:rsidSect="006B78D9">
      <w:headerReference w:type="even" r:id="rId15"/>
      <w:headerReference w:type="default" r:id="rId16"/>
      <w:footnotePr>
        <w:numRestart w:val="eachPage"/>
      </w:footnotePr>
      <w:pgSz w:w="11906" w:h="16838"/>
      <w:pgMar w:top="2274" w:right="2274" w:bottom="2274" w:left="2274" w:header="170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F7" w:rsidRPr="003332E8" w:rsidRDefault="004604F7" w:rsidP="00014566">
      <w:r w:rsidRPr="003332E8">
        <w:separator/>
      </w:r>
    </w:p>
  </w:endnote>
  <w:endnote w:type="continuationSeparator" w:id="0">
    <w:p w:rsidR="004604F7" w:rsidRPr="003332E8" w:rsidRDefault="004604F7" w:rsidP="00014566">
      <w:r w:rsidRPr="003332E8">
        <w:continuationSeparator/>
      </w:r>
    </w:p>
  </w:endnote>
  <w:endnote w:type="continuationNotice" w:id="1">
    <w:p w:rsidR="004604F7" w:rsidRDefault="00460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F2" w:rsidRDefault="000C3B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3" w:rsidRDefault="00BF1C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3" w:rsidRPr="00150BFA" w:rsidRDefault="00BF1C33" w:rsidP="009721A7">
    <w:pPr>
      <w:jc w:val="center"/>
    </w:pPr>
    <w:r>
      <w:rPr>
        <w:noProof/>
        <w:lang w:eastAsia="pl-PL"/>
      </w:rPr>
      <w:drawing>
        <wp:inline distT="0" distB="0" distL="0" distR="0" wp14:editId="5B3BF1F7">
          <wp:extent cx="762000" cy="617220"/>
          <wp:effectExtent l="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7220"/>
                  </a:xfrm>
                  <a:prstGeom prst="rect">
                    <a:avLst/>
                  </a:prstGeom>
                  <a:noFill/>
                  <a:ln>
                    <a:noFill/>
                  </a:ln>
                </pic:spPr>
              </pic:pic>
            </a:graphicData>
          </a:graphic>
        </wp:inline>
      </w:drawing>
    </w:r>
  </w:p>
  <w:p w:rsidR="00BF1C33" w:rsidRDefault="00BF1C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F7" w:rsidRPr="003332E8" w:rsidRDefault="004604F7" w:rsidP="00014566">
      <w:r w:rsidRPr="003332E8">
        <w:separator/>
      </w:r>
    </w:p>
  </w:footnote>
  <w:footnote w:type="continuationSeparator" w:id="0">
    <w:p w:rsidR="004604F7" w:rsidRPr="003332E8" w:rsidRDefault="004604F7" w:rsidP="00014566">
      <w:r w:rsidRPr="003332E8">
        <w:continuationSeparator/>
      </w:r>
    </w:p>
  </w:footnote>
  <w:footnote w:type="continuationNotice" w:id="1">
    <w:p w:rsidR="004604F7" w:rsidRDefault="004604F7"/>
  </w:footnote>
  <w:footnote w:id="2">
    <w:p w:rsidR="00BF1C33" w:rsidRPr="00D87A64" w:rsidRDefault="00BF1C33" w:rsidP="003143EA">
      <w:pPr>
        <w:pStyle w:val="s50c0b1c7"/>
        <w:jc w:val="both"/>
        <w:rPr>
          <w:lang w:val="en-GB"/>
        </w:rPr>
      </w:pPr>
      <w:r>
        <w:rPr>
          <w:rStyle w:val="Odwoanieprzypisudolnego"/>
          <w:rFonts w:eastAsia="MS Gothic"/>
          <w:sz w:val="20"/>
          <w:szCs w:val="20"/>
        </w:rPr>
        <w:footnoteRef/>
      </w:r>
      <w:r>
        <w:rPr>
          <w:sz w:val="20"/>
          <w:szCs w:val="20"/>
        </w:rPr>
        <w:t xml:space="preserve"> Źródło: Nota informacyjna na temat orzecznictwa Trybunału nr 225, styczeń 2019 r. (</w:t>
      </w:r>
      <w:r>
        <w:rPr>
          <w:rStyle w:val="s3aeeab2"/>
          <w:i/>
          <w:iCs/>
          <w:sz w:val="20"/>
          <w:szCs w:val="20"/>
        </w:rPr>
        <w:t xml:space="preserve">Information Note. </w:t>
      </w:r>
      <w:r w:rsidRPr="00752CE3">
        <w:rPr>
          <w:rStyle w:val="s3aeeab2"/>
          <w:i/>
          <w:iCs/>
          <w:sz w:val="20"/>
          <w:szCs w:val="20"/>
          <w:lang w:val="en-US"/>
        </w:rPr>
        <w:t xml:space="preserve">Case-law of the European Court of Human Rights No. 225, January 2019 / </w:t>
      </w:r>
      <w:r w:rsidRPr="00752CE3">
        <w:rPr>
          <w:rStyle w:val="sfbbfee58"/>
          <w:i/>
          <w:iCs/>
          <w:sz w:val="20"/>
          <w:szCs w:val="20"/>
          <w:lang w:val="en-US"/>
        </w:rPr>
        <w:t>Note d’information sur la jurisprudence de la Cour 225 / Janvier 2019</w:t>
      </w:r>
      <w:r w:rsidRPr="00752CE3">
        <w:rPr>
          <w:rStyle w:val="s3aeeab2"/>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F2" w:rsidRDefault="000C3B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3" w:rsidRPr="00251B1A" w:rsidRDefault="00BF1C33" w:rsidP="00251B1A">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3" w:rsidRPr="00A45145" w:rsidRDefault="00BF1C33" w:rsidP="009721A7">
    <w:pPr>
      <w:jc w:val="center"/>
    </w:pPr>
    <w:r>
      <w:rPr>
        <w:noProof/>
        <w:lang w:eastAsia="pl-PL"/>
      </w:rPr>
      <w:drawing>
        <wp:inline distT="0" distB="0" distL="0" distR="0" wp14:editId="4D6B8CE9">
          <wp:extent cx="2964180" cy="12192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1219200"/>
                  </a:xfrm>
                  <a:prstGeom prst="rect">
                    <a:avLst/>
                  </a:prstGeom>
                  <a:noFill/>
                  <a:ln>
                    <a:noFill/>
                  </a:ln>
                </pic:spPr>
              </pic:pic>
            </a:graphicData>
          </a:graphic>
        </wp:inline>
      </w:drawing>
    </w:r>
  </w:p>
  <w:p w:rsidR="00BF1C33" w:rsidRDefault="00BF1C3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3" w:rsidRPr="003332E8" w:rsidRDefault="00BF1C33" w:rsidP="00EE1DA9">
    <w:pPr>
      <w:pStyle w:val="ECHRHeader"/>
    </w:pPr>
    <w:r w:rsidRPr="003332E8">
      <w:rPr>
        <w:rStyle w:val="Numerstrony"/>
      </w:rPr>
      <w:fldChar w:fldCharType="begin"/>
    </w:r>
    <w:r w:rsidRPr="003332E8">
      <w:rPr>
        <w:rStyle w:val="Numerstrony"/>
      </w:rPr>
      <w:instrText xml:space="preserve"> PAGE </w:instrText>
    </w:r>
    <w:r w:rsidRPr="003332E8">
      <w:rPr>
        <w:rStyle w:val="Numerstrony"/>
      </w:rPr>
      <w:fldChar w:fldCharType="separate"/>
    </w:r>
    <w:r w:rsidR="00542C91">
      <w:rPr>
        <w:rStyle w:val="Numerstrony"/>
        <w:noProof/>
      </w:rPr>
      <w:t>6</w:t>
    </w:r>
    <w:r w:rsidRPr="003332E8">
      <w:rPr>
        <w:rStyle w:val="Numerstrony"/>
      </w:rPr>
      <w:fldChar w:fldCharType="end"/>
    </w:r>
    <w:r>
      <w:tab/>
      <w:t xml:space="preserve">WYROK W SPRAWIE CATT PRZECIWKO ZJEDNOCZONEMU KRÓLESTWU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3" w:rsidRPr="003332E8" w:rsidRDefault="00BF1C33" w:rsidP="00D60D87">
    <w:pPr>
      <w:pStyle w:val="ECHRHeader"/>
    </w:pPr>
    <w:r>
      <w:tab/>
      <w:t>WYROK W SPRAWIE CATT PRZECIWKO ZJEDNOCZONEMU KRÓLESTWU</w:t>
    </w:r>
    <w:r>
      <w:tab/>
    </w:r>
    <w:r w:rsidRPr="003332E8">
      <w:rPr>
        <w:rStyle w:val="Numerstrony"/>
      </w:rPr>
      <w:fldChar w:fldCharType="begin"/>
    </w:r>
    <w:r w:rsidRPr="003332E8">
      <w:rPr>
        <w:rStyle w:val="Numerstrony"/>
      </w:rPr>
      <w:instrText xml:space="preserve"> PAGE </w:instrText>
    </w:r>
    <w:r w:rsidRPr="003332E8">
      <w:rPr>
        <w:rStyle w:val="Numerstrony"/>
      </w:rPr>
      <w:fldChar w:fldCharType="separate"/>
    </w:r>
    <w:r w:rsidR="00542C91">
      <w:rPr>
        <w:rStyle w:val="Numerstrony"/>
        <w:noProof/>
      </w:rPr>
      <w:t>15</w:t>
    </w:r>
    <w:r w:rsidRPr="003332E8">
      <w:rPr>
        <w:rStyle w:val="Numerstrony"/>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3" w:rsidRDefault="00BF1C33" w:rsidP="00D449E4">
    <w:pPr>
      <w:pStyle w:val="ECHRHeader"/>
      <w:jc w:val="center"/>
    </w:pPr>
    <w:r>
      <w:rPr>
        <w:rStyle w:val="Numerstrony"/>
      </w:rPr>
      <w:fldChar w:fldCharType="begin"/>
    </w:r>
    <w:r>
      <w:rPr>
        <w:rStyle w:val="Numerstrony"/>
      </w:rPr>
      <w:instrText xml:space="preserve"> PAGE </w:instrText>
    </w:r>
    <w:r>
      <w:rPr>
        <w:rStyle w:val="Numerstrony"/>
      </w:rPr>
      <w:fldChar w:fldCharType="separate"/>
    </w:r>
    <w:r w:rsidR="00A25FB8">
      <w:rPr>
        <w:rStyle w:val="Numerstrony"/>
        <w:noProof/>
      </w:rPr>
      <w:t>16</w:t>
    </w:r>
    <w:r>
      <w:rPr>
        <w:rStyle w:val="Numerstrony"/>
      </w:rPr>
      <w:fldChar w:fldCharType="end"/>
    </w:r>
    <w:r>
      <w:tab/>
      <w:t>WYROK W SPRAWIE CATT PRZECIWKO ZJEDNOCZONEMU KRÓLESTWU</w:t>
    </w:r>
  </w:p>
  <w:p w:rsidR="00BF1C33" w:rsidRPr="002D599D" w:rsidRDefault="00BF1C33" w:rsidP="00D449E4">
    <w:pPr>
      <w:pStyle w:val="ECHRHeader"/>
      <w:jc w:val="center"/>
    </w:pPr>
    <w:r>
      <w:t>– OPINIA ODRĘBNA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3" w:rsidRDefault="00BF1C33" w:rsidP="00713C72">
    <w:pPr>
      <w:pStyle w:val="ECHRHeader"/>
      <w:jc w:val="center"/>
    </w:pPr>
    <w:r>
      <w:tab/>
      <w:t xml:space="preserve">WYROK W SPRAWIE CATT PRZECIWKO ZJEDNOCZONEMU KRÓLESTWU   </w:t>
    </w:r>
    <w:r>
      <w:tab/>
    </w:r>
    <w:r w:rsidRPr="00752CE3">
      <w:rPr>
        <w:rStyle w:val="Numerstrony"/>
        <w:lang w:val="en-US"/>
      </w:rPr>
      <w:fldChar w:fldCharType="begin"/>
    </w:r>
    <w:r w:rsidRPr="00713C72">
      <w:rPr>
        <w:rStyle w:val="Numerstrony"/>
      </w:rPr>
      <w:instrText xml:space="preserve"> PAGE </w:instrText>
    </w:r>
    <w:r w:rsidRPr="00752CE3">
      <w:rPr>
        <w:rStyle w:val="Numerstrony"/>
        <w:lang w:val="en-US"/>
      </w:rPr>
      <w:fldChar w:fldCharType="separate"/>
    </w:r>
    <w:r w:rsidR="0037249C">
      <w:rPr>
        <w:rStyle w:val="Numerstrony"/>
        <w:noProof/>
      </w:rPr>
      <w:t>17</w:t>
    </w:r>
    <w:r w:rsidRPr="00752CE3">
      <w:rPr>
        <w:rStyle w:val="Numerstrony"/>
        <w:lang w:val="en-US"/>
      </w:rPr>
      <w:fldChar w:fldCharType="end"/>
    </w:r>
  </w:p>
  <w:p w:rsidR="00BF1C33" w:rsidRPr="00713C72" w:rsidRDefault="00BF1C33" w:rsidP="00713C72">
    <w:pPr>
      <w:pStyle w:val="ECHRHeader"/>
      <w:jc w:val="center"/>
    </w:pPr>
    <w:r w:rsidRPr="00713C72">
      <w:t>– OPINIA</w:t>
    </w:r>
    <w:r>
      <w:t xml:space="preserve"> O</w:t>
    </w:r>
    <w:r w:rsidRPr="00713C72">
      <w:t>DRĘBNA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ACA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1246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EA7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F8927A"/>
    <w:lvl w:ilvl="0">
      <w:start w:val="1"/>
      <w:numFmt w:val="decimal"/>
      <w:pStyle w:val="JuAppQuestion"/>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anumerowana"/>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E789F40"/>
    <w:lvl w:ilvl="0">
      <w:start w:val="1"/>
      <w:numFmt w:val="bullet"/>
      <w:pStyle w:val="Listapunktowana5"/>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82EC3A"/>
    <w:lvl w:ilvl="0">
      <w:start w:val="1"/>
      <w:numFmt w:val="bullet"/>
      <w:pStyle w:val="Listapunktowana4"/>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8006D24A"/>
    <w:lvl w:ilvl="0">
      <w:start w:val="1"/>
      <w:numFmt w:val="bullet"/>
      <w:pStyle w:val="Listapunktowana3"/>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2760110"/>
    <w:lvl w:ilvl="0">
      <w:start w:val="1"/>
      <w:numFmt w:val="decimal"/>
      <w:pStyle w:val="Listanumerowana2"/>
      <w:lvlText w:val="%1."/>
      <w:lvlJc w:val="left"/>
      <w:pPr>
        <w:tabs>
          <w:tab w:val="num" w:pos="360"/>
        </w:tabs>
        <w:ind w:left="360" w:hanging="360"/>
      </w:pPr>
    </w:lvl>
  </w:abstractNum>
  <w:abstractNum w:abstractNumId="9" w15:restartNumberingAfterBreak="0">
    <w:nsid w:val="FFFFFF89"/>
    <w:multiLevelType w:val="singleLevel"/>
    <w:tmpl w:val="B0B6D62A"/>
    <w:lvl w:ilvl="0">
      <w:start w:val="1"/>
      <w:numFmt w:val="bullet"/>
      <w:pStyle w:val="Listapunktowana2"/>
      <w:lvlText w:val=""/>
      <w:lvlJc w:val="left"/>
      <w:pPr>
        <w:tabs>
          <w:tab w:val="num" w:pos="360"/>
        </w:tabs>
        <w:ind w:left="360" w:hanging="360"/>
      </w:pPr>
      <w:rPr>
        <w:rFonts w:ascii="Symbol" w:hAnsi="Symbol" w:cs="Symbol" w:hint="default"/>
      </w:rPr>
    </w:lvl>
  </w:abstractNum>
  <w:abstractNum w:abstractNumId="10" w15:restartNumberingAfterBreak="0">
    <w:nsid w:val="0066004F"/>
    <w:multiLevelType w:val="multilevel"/>
    <w:tmpl w:val="040C001D"/>
    <w:styleLink w:val="1ai"/>
    <w:lvl w:ilvl="0">
      <w:start w:val="1"/>
      <w:numFmt w:val="decimal"/>
      <w:pStyle w:val="Listanumerowana5"/>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3F153D"/>
    <w:multiLevelType w:val="multilevel"/>
    <w:tmpl w:val="040C001F"/>
    <w:styleLink w:val="111111"/>
    <w:lvl w:ilvl="0">
      <w:start w:val="1"/>
      <w:numFmt w:val="decimal"/>
      <w:pStyle w:val="Listanumerowana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323A9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349301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2100B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6" w15:restartNumberingAfterBreak="0">
    <w:nsid w:val="7737461D"/>
    <w:multiLevelType w:val="multilevel"/>
    <w:tmpl w:val="040C0023"/>
    <w:styleLink w:val="Artykusekcja"/>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9"/>
  </w:num>
  <w:num w:numId="18">
    <w:abstractNumId w:val="15"/>
  </w:num>
  <w:num w:numId="19">
    <w:abstractNumId w:val="11"/>
  </w:num>
  <w:num w:numId="20">
    <w:abstractNumId w:val="10"/>
  </w:num>
  <w:num w:numId="21">
    <w:abstractNumId w:val="16"/>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1"/>
  </w:docVars>
  <w:rsids>
    <w:rsidRoot w:val="009D1D56"/>
    <w:rsid w:val="00000067"/>
    <w:rsid w:val="000010ED"/>
    <w:rsid w:val="00002863"/>
    <w:rsid w:val="000041F8"/>
    <w:rsid w:val="000042A8"/>
    <w:rsid w:val="00004308"/>
    <w:rsid w:val="00005BF0"/>
    <w:rsid w:val="0000672A"/>
    <w:rsid w:val="00007154"/>
    <w:rsid w:val="00007CC4"/>
    <w:rsid w:val="000103AE"/>
    <w:rsid w:val="00010B42"/>
    <w:rsid w:val="000115A5"/>
    <w:rsid w:val="000119E2"/>
    <w:rsid w:val="00011D69"/>
    <w:rsid w:val="00012AD3"/>
    <w:rsid w:val="00014003"/>
    <w:rsid w:val="0001421F"/>
    <w:rsid w:val="00014566"/>
    <w:rsid w:val="000159AE"/>
    <w:rsid w:val="00015C2D"/>
    <w:rsid w:val="00015F00"/>
    <w:rsid w:val="00016171"/>
    <w:rsid w:val="00016C32"/>
    <w:rsid w:val="000170C9"/>
    <w:rsid w:val="000200A3"/>
    <w:rsid w:val="00020109"/>
    <w:rsid w:val="000208CB"/>
    <w:rsid w:val="0002151C"/>
    <w:rsid w:val="00021855"/>
    <w:rsid w:val="00022C1D"/>
    <w:rsid w:val="000238B2"/>
    <w:rsid w:val="00023E5B"/>
    <w:rsid w:val="00024A65"/>
    <w:rsid w:val="000253E7"/>
    <w:rsid w:val="000262B3"/>
    <w:rsid w:val="00026764"/>
    <w:rsid w:val="000277BA"/>
    <w:rsid w:val="00032B15"/>
    <w:rsid w:val="00032EB6"/>
    <w:rsid w:val="0003444D"/>
    <w:rsid w:val="00034987"/>
    <w:rsid w:val="00034D07"/>
    <w:rsid w:val="00034DE4"/>
    <w:rsid w:val="000350E3"/>
    <w:rsid w:val="000406A0"/>
    <w:rsid w:val="00040AA3"/>
    <w:rsid w:val="00041A0A"/>
    <w:rsid w:val="0004414A"/>
    <w:rsid w:val="00050F72"/>
    <w:rsid w:val="00050FF8"/>
    <w:rsid w:val="00051D6C"/>
    <w:rsid w:val="00051FCC"/>
    <w:rsid w:val="00053E76"/>
    <w:rsid w:val="00054FEE"/>
    <w:rsid w:val="000559B2"/>
    <w:rsid w:val="000562AE"/>
    <w:rsid w:val="000578EC"/>
    <w:rsid w:val="00057A2C"/>
    <w:rsid w:val="000602DF"/>
    <w:rsid w:val="00060DA1"/>
    <w:rsid w:val="00060F26"/>
    <w:rsid w:val="00061B05"/>
    <w:rsid w:val="000620BF"/>
    <w:rsid w:val="00062363"/>
    <w:rsid w:val="00062973"/>
    <w:rsid w:val="00062D5D"/>
    <w:rsid w:val="000632D5"/>
    <w:rsid w:val="0006370E"/>
    <w:rsid w:val="000644EE"/>
    <w:rsid w:val="0006515E"/>
    <w:rsid w:val="000662FF"/>
    <w:rsid w:val="00066F84"/>
    <w:rsid w:val="000672E1"/>
    <w:rsid w:val="00070873"/>
    <w:rsid w:val="00070BA7"/>
    <w:rsid w:val="00071ABC"/>
    <w:rsid w:val="000746A2"/>
    <w:rsid w:val="00076836"/>
    <w:rsid w:val="00076FEC"/>
    <w:rsid w:val="0007716A"/>
    <w:rsid w:val="000839F2"/>
    <w:rsid w:val="00084964"/>
    <w:rsid w:val="00084AB3"/>
    <w:rsid w:val="0008530A"/>
    <w:rsid w:val="000856D7"/>
    <w:rsid w:val="00085D9B"/>
    <w:rsid w:val="00087652"/>
    <w:rsid w:val="000902AD"/>
    <w:rsid w:val="00090579"/>
    <w:rsid w:val="0009204E"/>
    <w:rsid w:val="000925AD"/>
    <w:rsid w:val="00092C6D"/>
    <w:rsid w:val="0009616C"/>
    <w:rsid w:val="0009652C"/>
    <w:rsid w:val="000A1676"/>
    <w:rsid w:val="000A1F0D"/>
    <w:rsid w:val="000A24EB"/>
    <w:rsid w:val="000A2667"/>
    <w:rsid w:val="000A29EF"/>
    <w:rsid w:val="000A477E"/>
    <w:rsid w:val="000A5059"/>
    <w:rsid w:val="000B2ABD"/>
    <w:rsid w:val="000B428B"/>
    <w:rsid w:val="000B47DB"/>
    <w:rsid w:val="000B6193"/>
    <w:rsid w:val="000B639F"/>
    <w:rsid w:val="000B6923"/>
    <w:rsid w:val="000B7D00"/>
    <w:rsid w:val="000C033C"/>
    <w:rsid w:val="000C1E6B"/>
    <w:rsid w:val="000C3BF2"/>
    <w:rsid w:val="000C3F14"/>
    <w:rsid w:val="000C4272"/>
    <w:rsid w:val="000C47DB"/>
    <w:rsid w:val="000C4824"/>
    <w:rsid w:val="000C548E"/>
    <w:rsid w:val="000C5F3C"/>
    <w:rsid w:val="000C60E7"/>
    <w:rsid w:val="000C6718"/>
    <w:rsid w:val="000C6DCC"/>
    <w:rsid w:val="000C78B5"/>
    <w:rsid w:val="000D16E9"/>
    <w:rsid w:val="000D35F2"/>
    <w:rsid w:val="000D3EF5"/>
    <w:rsid w:val="000D47AA"/>
    <w:rsid w:val="000D6067"/>
    <w:rsid w:val="000D61CB"/>
    <w:rsid w:val="000D64C8"/>
    <w:rsid w:val="000D721F"/>
    <w:rsid w:val="000D763E"/>
    <w:rsid w:val="000E069B"/>
    <w:rsid w:val="000E0E82"/>
    <w:rsid w:val="000E0EF7"/>
    <w:rsid w:val="000E18D7"/>
    <w:rsid w:val="000E1DC5"/>
    <w:rsid w:val="000E1FC5"/>
    <w:rsid w:val="000E223F"/>
    <w:rsid w:val="000E35AC"/>
    <w:rsid w:val="000E4126"/>
    <w:rsid w:val="000E605C"/>
    <w:rsid w:val="000E605F"/>
    <w:rsid w:val="000E62CE"/>
    <w:rsid w:val="000E66CA"/>
    <w:rsid w:val="000E6933"/>
    <w:rsid w:val="000E6D90"/>
    <w:rsid w:val="000E7D45"/>
    <w:rsid w:val="000F15C2"/>
    <w:rsid w:val="000F5233"/>
    <w:rsid w:val="000F5F42"/>
    <w:rsid w:val="000F6044"/>
    <w:rsid w:val="000F7251"/>
    <w:rsid w:val="000F7851"/>
    <w:rsid w:val="00101AD5"/>
    <w:rsid w:val="00102C36"/>
    <w:rsid w:val="00102DDA"/>
    <w:rsid w:val="0010367D"/>
    <w:rsid w:val="00103697"/>
    <w:rsid w:val="00103FFD"/>
    <w:rsid w:val="001044E1"/>
    <w:rsid w:val="00104E23"/>
    <w:rsid w:val="0010610A"/>
    <w:rsid w:val="00106E3D"/>
    <w:rsid w:val="001070BE"/>
    <w:rsid w:val="00107798"/>
    <w:rsid w:val="00111320"/>
    <w:rsid w:val="00111B0C"/>
    <w:rsid w:val="001120F5"/>
    <w:rsid w:val="0011254A"/>
    <w:rsid w:val="00115A3C"/>
    <w:rsid w:val="00117DD4"/>
    <w:rsid w:val="00120C29"/>
    <w:rsid w:val="00120D6C"/>
    <w:rsid w:val="00123811"/>
    <w:rsid w:val="00123B64"/>
    <w:rsid w:val="001257EC"/>
    <w:rsid w:val="00127DF4"/>
    <w:rsid w:val="00132C6A"/>
    <w:rsid w:val="001330F2"/>
    <w:rsid w:val="00133BA7"/>
    <w:rsid w:val="00133D33"/>
    <w:rsid w:val="00134D64"/>
    <w:rsid w:val="001356FC"/>
    <w:rsid w:val="00135A30"/>
    <w:rsid w:val="0013612C"/>
    <w:rsid w:val="00137FF6"/>
    <w:rsid w:val="0014054A"/>
    <w:rsid w:val="00140CC7"/>
    <w:rsid w:val="00141650"/>
    <w:rsid w:val="00141864"/>
    <w:rsid w:val="00141F6E"/>
    <w:rsid w:val="001457D8"/>
    <w:rsid w:val="00147246"/>
    <w:rsid w:val="00150BFA"/>
    <w:rsid w:val="00151296"/>
    <w:rsid w:val="001535BA"/>
    <w:rsid w:val="00153F48"/>
    <w:rsid w:val="001542E5"/>
    <w:rsid w:val="0015491F"/>
    <w:rsid w:val="00155727"/>
    <w:rsid w:val="00157143"/>
    <w:rsid w:val="00160391"/>
    <w:rsid w:val="0016120E"/>
    <w:rsid w:val="001626E2"/>
    <w:rsid w:val="00162A12"/>
    <w:rsid w:val="00164CC1"/>
    <w:rsid w:val="00166181"/>
    <w:rsid w:val="00166530"/>
    <w:rsid w:val="00171165"/>
    <w:rsid w:val="00173742"/>
    <w:rsid w:val="00174511"/>
    <w:rsid w:val="00176A48"/>
    <w:rsid w:val="001773A3"/>
    <w:rsid w:val="001823B5"/>
    <w:rsid w:val="001832BD"/>
    <w:rsid w:val="00184AD7"/>
    <w:rsid w:val="00193288"/>
    <w:rsid w:val="00193F9F"/>
    <w:rsid w:val="001943B5"/>
    <w:rsid w:val="00195134"/>
    <w:rsid w:val="001A145B"/>
    <w:rsid w:val="001A3148"/>
    <w:rsid w:val="001A674C"/>
    <w:rsid w:val="001A7AE2"/>
    <w:rsid w:val="001B0C51"/>
    <w:rsid w:val="001B2BFB"/>
    <w:rsid w:val="001B3075"/>
    <w:rsid w:val="001B3218"/>
    <w:rsid w:val="001B3301"/>
    <w:rsid w:val="001B3B24"/>
    <w:rsid w:val="001B432B"/>
    <w:rsid w:val="001C0F98"/>
    <w:rsid w:val="001C1291"/>
    <w:rsid w:val="001C187B"/>
    <w:rsid w:val="001C1FB9"/>
    <w:rsid w:val="001C2A42"/>
    <w:rsid w:val="001C4789"/>
    <w:rsid w:val="001C5D91"/>
    <w:rsid w:val="001C6CA4"/>
    <w:rsid w:val="001C7057"/>
    <w:rsid w:val="001C7C09"/>
    <w:rsid w:val="001D04A7"/>
    <w:rsid w:val="001D0648"/>
    <w:rsid w:val="001D2820"/>
    <w:rsid w:val="001D2BD5"/>
    <w:rsid w:val="001D5D9F"/>
    <w:rsid w:val="001D63ED"/>
    <w:rsid w:val="001D7348"/>
    <w:rsid w:val="001D77A0"/>
    <w:rsid w:val="001E035B"/>
    <w:rsid w:val="001E0961"/>
    <w:rsid w:val="001E3EAE"/>
    <w:rsid w:val="001E3F6F"/>
    <w:rsid w:val="001E4125"/>
    <w:rsid w:val="001E4723"/>
    <w:rsid w:val="001E47FA"/>
    <w:rsid w:val="001E4990"/>
    <w:rsid w:val="001E5192"/>
    <w:rsid w:val="001E5348"/>
    <w:rsid w:val="001E6F32"/>
    <w:rsid w:val="001F168B"/>
    <w:rsid w:val="001F2145"/>
    <w:rsid w:val="001F32D1"/>
    <w:rsid w:val="001F42CE"/>
    <w:rsid w:val="001F52B7"/>
    <w:rsid w:val="001F5AE1"/>
    <w:rsid w:val="001F5B84"/>
    <w:rsid w:val="001F6262"/>
    <w:rsid w:val="001F6525"/>
    <w:rsid w:val="001F67B0"/>
    <w:rsid w:val="001F73F9"/>
    <w:rsid w:val="001F7B3D"/>
    <w:rsid w:val="002039BD"/>
    <w:rsid w:val="00204EEC"/>
    <w:rsid w:val="00204FF2"/>
    <w:rsid w:val="00205119"/>
    <w:rsid w:val="00205F9F"/>
    <w:rsid w:val="00206954"/>
    <w:rsid w:val="00210338"/>
    <w:rsid w:val="002108BF"/>
    <w:rsid w:val="002115FC"/>
    <w:rsid w:val="002133F8"/>
    <w:rsid w:val="002137C7"/>
    <w:rsid w:val="00213DF3"/>
    <w:rsid w:val="0021423C"/>
    <w:rsid w:val="002159B6"/>
    <w:rsid w:val="0021616A"/>
    <w:rsid w:val="00223AD4"/>
    <w:rsid w:val="00223FE1"/>
    <w:rsid w:val="00225EFF"/>
    <w:rsid w:val="002266FB"/>
    <w:rsid w:val="00230C38"/>
    <w:rsid w:val="00230D00"/>
    <w:rsid w:val="00231DF7"/>
    <w:rsid w:val="00231FD1"/>
    <w:rsid w:val="002339E0"/>
    <w:rsid w:val="00233CF8"/>
    <w:rsid w:val="0023575D"/>
    <w:rsid w:val="00237148"/>
    <w:rsid w:val="0024222D"/>
    <w:rsid w:val="00244B0E"/>
    <w:rsid w:val="00244F6C"/>
    <w:rsid w:val="00245C15"/>
    <w:rsid w:val="002468B6"/>
    <w:rsid w:val="00247622"/>
    <w:rsid w:val="00251B1A"/>
    <w:rsid w:val="002532C5"/>
    <w:rsid w:val="002545C8"/>
    <w:rsid w:val="00257D5C"/>
    <w:rsid w:val="002603B2"/>
    <w:rsid w:val="00260C03"/>
    <w:rsid w:val="00261583"/>
    <w:rsid w:val="002647B9"/>
    <w:rsid w:val="0026540E"/>
    <w:rsid w:val="00270158"/>
    <w:rsid w:val="0027225C"/>
    <w:rsid w:val="00272265"/>
    <w:rsid w:val="00274201"/>
    <w:rsid w:val="0027500A"/>
    <w:rsid w:val="00275123"/>
    <w:rsid w:val="00277907"/>
    <w:rsid w:val="00280C7A"/>
    <w:rsid w:val="00282240"/>
    <w:rsid w:val="00282585"/>
    <w:rsid w:val="00283172"/>
    <w:rsid w:val="00283405"/>
    <w:rsid w:val="002839BE"/>
    <w:rsid w:val="0028572A"/>
    <w:rsid w:val="00285EA6"/>
    <w:rsid w:val="00286520"/>
    <w:rsid w:val="00290004"/>
    <w:rsid w:val="00292740"/>
    <w:rsid w:val="0029274C"/>
    <w:rsid w:val="00292766"/>
    <w:rsid w:val="0029380A"/>
    <w:rsid w:val="00294317"/>
    <w:rsid w:val="002948AD"/>
    <w:rsid w:val="00294C05"/>
    <w:rsid w:val="00294C92"/>
    <w:rsid w:val="00295262"/>
    <w:rsid w:val="00295C49"/>
    <w:rsid w:val="00295D65"/>
    <w:rsid w:val="00296A7C"/>
    <w:rsid w:val="002A01CC"/>
    <w:rsid w:val="002A03FB"/>
    <w:rsid w:val="002A123D"/>
    <w:rsid w:val="002A3588"/>
    <w:rsid w:val="002A46B4"/>
    <w:rsid w:val="002A61B1"/>
    <w:rsid w:val="002A663C"/>
    <w:rsid w:val="002A6647"/>
    <w:rsid w:val="002A7C5E"/>
    <w:rsid w:val="002A7DF1"/>
    <w:rsid w:val="002B04D2"/>
    <w:rsid w:val="002B17E5"/>
    <w:rsid w:val="002B1E6C"/>
    <w:rsid w:val="002B444B"/>
    <w:rsid w:val="002B5887"/>
    <w:rsid w:val="002B6314"/>
    <w:rsid w:val="002C0021"/>
    <w:rsid w:val="002C0692"/>
    <w:rsid w:val="002C0E27"/>
    <w:rsid w:val="002C3040"/>
    <w:rsid w:val="002C319A"/>
    <w:rsid w:val="002C3860"/>
    <w:rsid w:val="002C69A6"/>
    <w:rsid w:val="002C76DD"/>
    <w:rsid w:val="002D022D"/>
    <w:rsid w:val="002D144C"/>
    <w:rsid w:val="002D158E"/>
    <w:rsid w:val="002D18C7"/>
    <w:rsid w:val="002D1FCF"/>
    <w:rsid w:val="002D20FE"/>
    <w:rsid w:val="002D24BB"/>
    <w:rsid w:val="002D24F4"/>
    <w:rsid w:val="002D3FE3"/>
    <w:rsid w:val="002D5937"/>
    <w:rsid w:val="002D599D"/>
    <w:rsid w:val="002D71C9"/>
    <w:rsid w:val="002E12CD"/>
    <w:rsid w:val="002E3231"/>
    <w:rsid w:val="002E3D72"/>
    <w:rsid w:val="002F171B"/>
    <w:rsid w:val="002F2332"/>
    <w:rsid w:val="002F2AF7"/>
    <w:rsid w:val="002F4BC1"/>
    <w:rsid w:val="002F511D"/>
    <w:rsid w:val="002F72FB"/>
    <w:rsid w:val="002F74C6"/>
    <w:rsid w:val="002F7653"/>
    <w:rsid w:val="002F7E1C"/>
    <w:rsid w:val="003019BD"/>
    <w:rsid w:val="00301A75"/>
    <w:rsid w:val="00301BF9"/>
    <w:rsid w:val="00302F70"/>
    <w:rsid w:val="0030336F"/>
    <w:rsid w:val="0030375E"/>
    <w:rsid w:val="00306552"/>
    <w:rsid w:val="003066FD"/>
    <w:rsid w:val="0031102C"/>
    <w:rsid w:val="00312A30"/>
    <w:rsid w:val="003143EA"/>
    <w:rsid w:val="00315A5B"/>
    <w:rsid w:val="00316759"/>
    <w:rsid w:val="00320F72"/>
    <w:rsid w:val="003224F0"/>
    <w:rsid w:val="00322E39"/>
    <w:rsid w:val="0032463E"/>
    <w:rsid w:val="00325755"/>
    <w:rsid w:val="00326224"/>
    <w:rsid w:val="0032676F"/>
    <w:rsid w:val="00327CB0"/>
    <w:rsid w:val="0033002D"/>
    <w:rsid w:val="00331EAC"/>
    <w:rsid w:val="003320F2"/>
    <w:rsid w:val="003332E8"/>
    <w:rsid w:val="00333370"/>
    <w:rsid w:val="0033397A"/>
    <w:rsid w:val="00335C0F"/>
    <w:rsid w:val="00337EE4"/>
    <w:rsid w:val="00340FFD"/>
    <w:rsid w:val="00341202"/>
    <w:rsid w:val="0034140F"/>
    <w:rsid w:val="00341D4D"/>
    <w:rsid w:val="0034343E"/>
    <w:rsid w:val="00343923"/>
    <w:rsid w:val="00345A88"/>
    <w:rsid w:val="003506B1"/>
    <w:rsid w:val="00351BDA"/>
    <w:rsid w:val="00351D19"/>
    <w:rsid w:val="00352CF6"/>
    <w:rsid w:val="00352F71"/>
    <w:rsid w:val="003533D4"/>
    <w:rsid w:val="003542C3"/>
    <w:rsid w:val="00355692"/>
    <w:rsid w:val="003559F9"/>
    <w:rsid w:val="00356AC7"/>
    <w:rsid w:val="00356B84"/>
    <w:rsid w:val="00356C42"/>
    <w:rsid w:val="00356ED8"/>
    <w:rsid w:val="003609FA"/>
    <w:rsid w:val="003617B3"/>
    <w:rsid w:val="00363356"/>
    <w:rsid w:val="003650E5"/>
    <w:rsid w:val="00366028"/>
    <w:rsid w:val="00367AA1"/>
    <w:rsid w:val="003710C8"/>
    <w:rsid w:val="0037173D"/>
    <w:rsid w:val="0037249C"/>
    <w:rsid w:val="00373535"/>
    <w:rsid w:val="003750BE"/>
    <w:rsid w:val="00381767"/>
    <w:rsid w:val="003818C7"/>
    <w:rsid w:val="00382BED"/>
    <w:rsid w:val="0038619D"/>
    <w:rsid w:val="00387B9D"/>
    <w:rsid w:val="003932C3"/>
    <w:rsid w:val="0039364F"/>
    <w:rsid w:val="003943C1"/>
    <w:rsid w:val="003955CA"/>
    <w:rsid w:val="0039574E"/>
    <w:rsid w:val="003965F8"/>
    <w:rsid w:val="00396686"/>
    <w:rsid w:val="003968AC"/>
    <w:rsid w:val="0039778E"/>
    <w:rsid w:val="003A15E8"/>
    <w:rsid w:val="003A3483"/>
    <w:rsid w:val="003A3B37"/>
    <w:rsid w:val="003A441D"/>
    <w:rsid w:val="003A5AD1"/>
    <w:rsid w:val="003A7EBC"/>
    <w:rsid w:val="003B2246"/>
    <w:rsid w:val="003B3103"/>
    <w:rsid w:val="003B45EF"/>
    <w:rsid w:val="003B4941"/>
    <w:rsid w:val="003B6F69"/>
    <w:rsid w:val="003C0702"/>
    <w:rsid w:val="003C0721"/>
    <w:rsid w:val="003C0BE1"/>
    <w:rsid w:val="003C0F6A"/>
    <w:rsid w:val="003C2407"/>
    <w:rsid w:val="003C3099"/>
    <w:rsid w:val="003C54EB"/>
    <w:rsid w:val="003C5714"/>
    <w:rsid w:val="003C587C"/>
    <w:rsid w:val="003C657F"/>
    <w:rsid w:val="003C6B9F"/>
    <w:rsid w:val="003C6E2A"/>
    <w:rsid w:val="003C7543"/>
    <w:rsid w:val="003C7FF9"/>
    <w:rsid w:val="003D0299"/>
    <w:rsid w:val="003D0AE9"/>
    <w:rsid w:val="003D2569"/>
    <w:rsid w:val="003D296C"/>
    <w:rsid w:val="003D3BB3"/>
    <w:rsid w:val="003D3C03"/>
    <w:rsid w:val="003D470C"/>
    <w:rsid w:val="003D6647"/>
    <w:rsid w:val="003E182A"/>
    <w:rsid w:val="003E20B4"/>
    <w:rsid w:val="003E2B2B"/>
    <w:rsid w:val="003E439F"/>
    <w:rsid w:val="003E4E90"/>
    <w:rsid w:val="003E6D23"/>
    <w:rsid w:val="003E6D80"/>
    <w:rsid w:val="003E77CE"/>
    <w:rsid w:val="003F04DB"/>
    <w:rsid w:val="003F05FA"/>
    <w:rsid w:val="003F1A8F"/>
    <w:rsid w:val="003F2232"/>
    <w:rsid w:val="003F244A"/>
    <w:rsid w:val="003F250E"/>
    <w:rsid w:val="003F28B2"/>
    <w:rsid w:val="003F2E0A"/>
    <w:rsid w:val="003F30B8"/>
    <w:rsid w:val="003F3432"/>
    <w:rsid w:val="003F49AE"/>
    <w:rsid w:val="003F4C45"/>
    <w:rsid w:val="003F5949"/>
    <w:rsid w:val="003F5F7B"/>
    <w:rsid w:val="003F61D1"/>
    <w:rsid w:val="003F7D64"/>
    <w:rsid w:val="004000A8"/>
    <w:rsid w:val="00401713"/>
    <w:rsid w:val="0040213B"/>
    <w:rsid w:val="00404D18"/>
    <w:rsid w:val="0040610C"/>
    <w:rsid w:val="0040762F"/>
    <w:rsid w:val="004127DB"/>
    <w:rsid w:val="00412BA4"/>
    <w:rsid w:val="004135FE"/>
    <w:rsid w:val="00414300"/>
    <w:rsid w:val="0041458B"/>
    <w:rsid w:val="00415DBD"/>
    <w:rsid w:val="004212F4"/>
    <w:rsid w:val="00421C84"/>
    <w:rsid w:val="00422CEB"/>
    <w:rsid w:val="004235BD"/>
    <w:rsid w:val="00424306"/>
    <w:rsid w:val="00425C67"/>
    <w:rsid w:val="004264B3"/>
    <w:rsid w:val="00426973"/>
    <w:rsid w:val="00427E7A"/>
    <w:rsid w:val="00427F4E"/>
    <w:rsid w:val="00432C93"/>
    <w:rsid w:val="00433959"/>
    <w:rsid w:val="00436307"/>
    <w:rsid w:val="00436C49"/>
    <w:rsid w:val="00437456"/>
    <w:rsid w:val="004376C9"/>
    <w:rsid w:val="00440748"/>
    <w:rsid w:val="004412C0"/>
    <w:rsid w:val="00442EC3"/>
    <w:rsid w:val="00443F88"/>
    <w:rsid w:val="00444A2B"/>
    <w:rsid w:val="00445165"/>
    <w:rsid w:val="00445366"/>
    <w:rsid w:val="00445EBE"/>
    <w:rsid w:val="00447A85"/>
    <w:rsid w:val="00447F5B"/>
    <w:rsid w:val="00447F97"/>
    <w:rsid w:val="004509AB"/>
    <w:rsid w:val="004534F3"/>
    <w:rsid w:val="00453BFF"/>
    <w:rsid w:val="004556FD"/>
    <w:rsid w:val="0045574E"/>
    <w:rsid w:val="00456816"/>
    <w:rsid w:val="004579B7"/>
    <w:rsid w:val="004604F7"/>
    <w:rsid w:val="004606FD"/>
    <w:rsid w:val="00461DB0"/>
    <w:rsid w:val="00462DED"/>
    <w:rsid w:val="00463926"/>
    <w:rsid w:val="00463E4C"/>
    <w:rsid w:val="00464097"/>
    <w:rsid w:val="0046432B"/>
    <w:rsid w:val="00464632"/>
    <w:rsid w:val="004646E0"/>
    <w:rsid w:val="00464C9A"/>
    <w:rsid w:val="004655AC"/>
    <w:rsid w:val="00467068"/>
    <w:rsid w:val="00471F85"/>
    <w:rsid w:val="00472511"/>
    <w:rsid w:val="00474F3D"/>
    <w:rsid w:val="0047644F"/>
    <w:rsid w:val="00477AFC"/>
    <w:rsid w:val="00477E3A"/>
    <w:rsid w:val="00481088"/>
    <w:rsid w:val="00481E3E"/>
    <w:rsid w:val="004825F7"/>
    <w:rsid w:val="00483E5F"/>
    <w:rsid w:val="004854CA"/>
    <w:rsid w:val="00485C68"/>
    <w:rsid w:val="00485D3E"/>
    <w:rsid w:val="00485FF9"/>
    <w:rsid w:val="004873F4"/>
    <w:rsid w:val="00487F77"/>
    <w:rsid w:val="004907F0"/>
    <w:rsid w:val="0049118A"/>
    <w:rsid w:val="0049140B"/>
    <w:rsid w:val="00491EB2"/>
    <w:rsid w:val="00492304"/>
    <w:rsid w:val="004923A5"/>
    <w:rsid w:val="00492CDC"/>
    <w:rsid w:val="00496BFB"/>
    <w:rsid w:val="00496C5D"/>
    <w:rsid w:val="004971AB"/>
    <w:rsid w:val="0049731C"/>
    <w:rsid w:val="00497DBA"/>
    <w:rsid w:val="004A0EE1"/>
    <w:rsid w:val="004A15C7"/>
    <w:rsid w:val="004A236A"/>
    <w:rsid w:val="004A2BF3"/>
    <w:rsid w:val="004A5247"/>
    <w:rsid w:val="004A5337"/>
    <w:rsid w:val="004A5DCB"/>
    <w:rsid w:val="004B013B"/>
    <w:rsid w:val="004B0AC9"/>
    <w:rsid w:val="004B112B"/>
    <w:rsid w:val="004B2020"/>
    <w:rsid w:val="004B46B6"/>
    <w:rsid w:val="004B4BAE"/>
    <w:rsid w:val="004B5B1C"/>
    <w:rsid w:val="004B6722"/>
    <w:rsid w:val="004B6BD8"/>
    <w:rsid w:val="004B7DD7"/>
    <w:rsid w:val="004C01E4"/>
    <w:rsid w:val="004C086C"/>
    <w:rsid w:val="004C10D3"/>
    <w:rsid w:val="004C1F56"/>
    <w:rsid w:val="004C27BC"/>
    <w:rsid w:val="004C2BB6"/>
    <w:rsid w:val="004C5E5B"/>
    <w:rsid w:val="004C6D15"/>
    <w:rsid w:val="004D15F3"/>
    <w:rsid w:val="004D2CB8"/>
    <w:rsid w:val="004D347F"/>
    <w:rsid w:val="004D369F"/>
    <w:rsid w:val="004D3B91"/>
    <w:rsid w:val="004D4E58"/>
    <w:rsid w:val="004D5311"/>
    <w:rsid w:val="004D5DCC"/>
    <w:rsid w:val="004D6B12"/>
    <w:rsid w:val="004D7B03"/>
    <w:rsid w:val="004E0BD9"/>
    <w:rsid w:val="004E1A2B"/>
    <w:rsid w:val="004E401E"/>
    <w:rsid w:val="004E4380"/>
    <w:rsid w:val="004E53D5"/>
    <w:rsid w:val="004E5472"/>
    <w:rsid w:val="004E5884"/>
    <w:rsid w:val="004E6B76"/>
    <w:rsid w:val="004F0D39"/>
    <w:rsid w:val="004F10AF"/>
    <w:rsid w:val="004F11A4"/>
    <w:rsid w:val="004F13E2"/>
    <w:rsid w:val="004F2389"/>
    <w:rsid w:val="004F2DE0"/>
    <w:rsid w:val="004F304D"/>
    <w:rsid w:val="004F3602"/>
    <w:rsid w:val="004F61BE"/>
    <w:rsid w:val="004F62E5"/>
    <w:rsid w:val="004F66B1"/>
    <w:rsid w:val="00500116"/>
    <w:rsid w:val="00502A0D"/>
    <w:rsid w:val="00503886"/>
    <w:rsid w:val="00506FED"/>
    <w:rsid w:val="005074F6"/>
    <w:rsid w:val="005079CA"/>
    <w:rsid w:val="00510BCC"/>
    <w:rsid w:val="00510BEC"/>
    <w:rsid w:val="00511C07"/>
    <w:rsid w:val="00512D5D"/>
    <w:rsid w:val="00512FEC"/>
    <w:rsid w:val="005165EE"/>
    <w:rsid w:val="005167F7"/>
    <w:rsid w:val="005173A6"/>
    <w:rsid w:val="00517ABE"/>
    <w:rsid w:val="005207AC"/>
    <w:rsid w:val="00520BAA"/>
    <w:rsid w:val="005216D8"/>
    <w:rsid w:val="00521DF5"/>
    <w:rsid w:val="00523CF6"/>
    <w:rsid w:val="0052507D"/>
    <w:rsid w:val="00525208"/>
    <w:rsid w:val="005257A5"/>
    <w:rsid w:val="005264C0"/>
    <w:rsid w:val="00526A8A"/>
    <w:rsid w:val="00530586"/>
    <w:rsid w:val="00530E68"/>
    <w:rsid w:val="00531317"/>
    <w:rsid w:val="00531DF2"/>
    <w:rsid w:val="00532156"/>
    <w:rsid w:val="00532200"/>
    <w:rsid w:val="00533CF7"/>
    <w:rsid w:val="00534BD1"/>
    <w:rsid w:val="00535BB8"/>
    <w:rsid w:val="00536700"/>
    <w:rsid w:val="005377AC"/>
    <w:rsid w:val="005402BE"/>
    <w:rsid w:val="00542C91"/>
    <w:rsid w:val="00543402"/>
    <w:rsid w:val="005442EE"/>
    <w:rsid w:val="00545591"/>
    <w:rsid w:val="00546E57"/>
    <w:rsid w:val="00547353"/>
    <w:rsid w:val="005474E7"/>
    <w:rsid w:val="0055028A"/>
    <w:rsid w:val="0055091E"/>
    <w:rsid w:val="005512A3"/>
    <w:rsid w:val="005522BE"/>
    <w:rsid w:val="00552BE2"/>
    <w:rsid w:val="00554FC6"/>
    <w:rsid w:val="005550B0"/>
    <w:rsid w:val="00555477"/>
    <w:rsid w:val="00555CFE"/>
    <w:rsid w:val="0055664E"/>
    <w:rsid w:val="00556C2C"/>
    <w:rsid w:val="005578CE"/>
    <w:rsid w:val="00557EC8"/>
    <w:rsid w:val="00560074"/>
    <w:rsid w:val="005600AE"/>
    <w:rsid w:val="00562781"/>
    <w:rsid w:val="00563251"/>
    <w:rsid w:val="00563E83"/>
    <w:rsid w:val="00564AFA"/>
    <w:rsid w:val="00567093"/>
    <w:rsid w:val="00570C01"/>
    <w:rsid w:val="00571565"/>
    <w:rsid w:val="00572473"/>
    <w:rsid w:val="0057271C"/>
    <w:rsid w:val="00572845"/>
    <w:rsid w:val="0057477E"/>
    <w:rsid w:val="00575A41"/>
    <w:rsid w:val="0058029D"/>
    <w:rsid w:val="00580474"/>
    <w:rsid w:val="00580FD8"/>
    <w:rsid w:val="0058231F"/>
    <w:rsid w:val="00582ACE"/>
    <w:rsid w:val="00582C48"/>
    <w:rsid w:val="00583CB9"/>
    <w:rsid w:val="005908BF"/>
    <w:rsid w:val="00590C2F"/>
    <w:rsid w:val="00591129"/>
    <w:rsid w:val="005924B3"/>
    <w:rsid w:val="00592772"/>
    <w:rsid w:val="00593AD1"/>
    <w:rsid w:val="0059574A"/>
    <w:rsid w:val="005A1B9B"/>
    <w:rsid w:val="005A35A8"/>
    <w:rsid w:val="005A3ABF"/>
    <w:rsid w:val="005A4D57"/>
    <w:rsid w:val="005A5289"/>
    <w:rsid w:val="005A6751"/>
    <w:rsid w:val="005A6E36"/>
    <w:rsid w:val="005A7C08"/>
    <w:rsid w:val="005B092E"/>
    <w:rsid w:val="005B152C"/>
    <w:rsid w:val="005B181E"/>
    <w:rsid w:val="005B1EE0"/>
    <w:rsid w:val="005B2B24"/>
    <w:rsid w:val="005B33F8"/>
    <w:rsid w:val="005B4425"/>
    <w:rsid w:val="005B4B94"/>
    <w:rsid w:val="005B50B3"/>
    <w:rsid w:val="005B52D8"/>
    <w:rsid w:val="005B59B7"/>
    <w:rsid w:val="005B62CB"/>
    <w:rsid w:val="005B71EE"/>
    <w:rsid w:val="005C0198"/>
    <w:rsid w:val="005C1357"/>
    <w:rsid w:val="005C3EE8"/>
    <w:rsid w:val="005C5081"/>
    <w:rsid w:val="005D1DF5"/>
    <w:rsid w:val="005D34F9"/>
    <w:rsid w:val="005D34FD"/>
    <w:rsid w:val="005D4190"/>
    <w:rsid w:val="005D4B05"/>
    <w:rsid w:val="005D67A3"/>
    <w:rsid w:val="005D7D09"/>
    <w:rsid w:val="005E2988"/>
    <w:rsid w:val="005E2A43"/>
    <w:rsid w:val="005E3085"/>
    <w:rsid w:val="005E37D6"/>
    <w:rsid w:val="005E438A"/>
    <w:rsid w:val="005E477D"/>
    <w:rsid w:val="005E4B37"/>
    <w:rsid w:val="005E4C4B"/>
    <w:rsid w:val="005E59DB"/>
    <w:rsid w:val="005F26D7"/>
    <w:rsid w:val="005F3B32"/>
    <w:rsid w:val="005F48F7"/>
    <w:rsid w:val="005F51E1"/>
    <w:rsid w:val="005F5A4D"/>
    <w:rsid w:val="005F756F"/>
    <w:rsid w:val="005F7A84"/>
    <w:rsid w:val="006006C4"/>
    <w:rsid w:val="00600CEE"/>
    <w:rsid w:val="00601EA0"/>
    <w:rsid w:val="006032D0"/>
    <w:rsid w:val="006066E9"/>
    <w:rsid w:val="00611C80"/>
    <w:rsid w:val="00615961"/>
    <w:rsid w:val="006171B2"/>
    <w:rsid w:val="00620542"/>
    <w:rsid w:val="00620692"/>
    <w:rsid w:val="006206F2"/>
    <w:rsid w:val="006242CA"/>
    <w:rsid w:val="00624D4D"/>
    <w:rsid w:val="00627507"/>
    <w:rsid w:val="006305BA"/>
    <w:rsid w:val="00631B96"/>
    <w:rsid w:val="00631C90"/>
    <w:rsid w:val="00632A86"/>
    <w:rsid w:val="00633717"/>
    <w:rsid w:val="00633E63"/>
    <w:rsid w:val="006342B5"/>
    <w:rsid w:val="006344E1"/>
    <w:rsid w:val="0063568B"/>
    <w:rsid w:val="00635C3F"/>
    <w:rsid w:val="00635D23"/>
    <w:rsid w:val="0063677D"/>
    <w:rsid w:val="00640EF4"/>
    <w:rsid w:val="00641FCE"/>
    <w:rsid w:val="00645050"/>
    <w:rsid w:val="00645786"/>
    <w:rsid w:val="006503AC"/>
    <w:rsid w:val="006542F8"/>
    <w:rsid w:val="006545C4"/>
    <w:rsid w:val="006618E4"/>
    <w:rsid w:val="00661971"/>
    <w:rsid w:val="00661CE8"/>
    <w:rsid w:val="006623D9"/>
    <w:rsid w:val="00662C06"/>
    <w:rsid w:val="00663BA4"/>
    <w:rsid w:val="00663D24"/>
    <w:rsid w:val="0066550C"/>
    <w:rsid w:val="0066559F"/>
    <w:rsid w:val="00665CEA"/>
    <w:rsid w:val="006707B7"/>
    <w:rsid w:val="006716F2"/>
    <w:rsid w:val="00672F90"/>
    <w:rsid w:val="0067318C"/>
    <w:rsid w:val="00673332"/>
    <w:rsid w:val="00673B19"/>
    <w:rsid w:val="0067626C"/>
    <w:rsid w:val="00676A66"/>
    <w:rsid w:val="00676B25"/>
    <w:rsid w:val="00676E4B"/>
    <w:rsid w:val="00680222"/>
    <w:rsid w:val="0068058F"/>
    <w:rsid w:val="0068208F"/>
    <w:rsid w:val="00682BF2"/>
    <w:rsid w:val="006859CE"/>
    <w:rsid w:val="0069046F"/>
    <w:rsid w:val="00691112"/>
    <w:rsid w:val="00691270"/>
    <w:rsid w:val="00691278"/>
    <w:rsid w:val="00691C8C"/>
    <w:rsid w:val="00692A05"/>
    <w:rsid w:val="00692C95"/>
    <w:rsid w:val="00694BA8"/>
    <w:rsid w:val="00696437"/>
    <w:rsid w:val="006A037C"/>
    <w:rsid w:val="006A36F4"/>
    <w:rsid w:val="006A406F"/>
    <w:rsid w:val="006A4673"/>
    <w:rsid w:val="006A4A51"/>
    <w:rsid w:val="006A509C"/>
    <w:rsid w:val="006A5D3A"/>
    <w:rsid w:val="006A62CE"/>
    <w:rsid w:val="006A6F8A"/>
    <w:rsid w:val="006A6FC8"/>
    <w:rsid w:val="006A6FD7"/>
    <w:rsid w:val="006A7F1F"/>
    <w:rsid w:val="006B04A0"/>
    <w:rsid w:val="006B06C3"/>
    <w:rsid w:val="006B1BFD"/>
    <w:rsid w:val="006B23F0"/>
    <w:rsid w:val="006B29D5"/>
    <w:rsid w:val="006B330C"/>
    <w:rsid w:val="006B5832"/>
    <w:rsid w:val="006B78D9"/>
    <w:rsid w:val="006C01E1"/>
    <w:rsid w:val="006C03CA"/>
    <w:rsid w:val="006C0647"/>
    <w:rsid w:val="006C23D4"/>
    <w:rsid w:val="006C30E6"/>
    <w:rsid w:val="006C587E"/>
    <w:rsid w:val="006C6543"/>
    <w:rsid w:val="006C77AB"/>
    <w:rsid w:val="006C78E3"/>
    <w:rsid w:val="006C7BB0"/>
    <w:rsid w:val="006C7C1E"/>
    <w:rsid w:val="006D060B"/>
    <w:rsid w:val="006D0EFD"/>
    <w:rsid w:val="006D3237"/>
    <w:rsid w:val="006D5C50"/>
    <w:rsid w:val="006D6626"/>
    <w:rsid w:val="006D72E1"/>
    <w:rsid w:val="006E09F4"/>
    <w:rsid w:val="006E276E"/>
    <w:rsid w:val="006E2E37"/>
    <w:rsid w:val="006E2FB6"/>
    <w:rsid w:val="006E3BF6"/>
    <w:rsid w:val="006E3CF1"/>
    <w:rsid w:val="006E4936"/>
    <w:rsid w:val="006E499C"/>
    <w:rsid w:val="006E566B"/>
    <w:rsid w:val="006E5F52"/>
    <w:rsid w:val="006E68EC"/>
    <w:rsid w:val="006E7E80"/>
    <w:rsid w:val="006F1D3B"/>
    <w:rsid w:val="006F1DF9"/>
    <w:rsid w:val="006F219B"/>
    <w:rsid w:val="006F24DB"/>
    <w:rsid w:val="006F2D99"/>
    <w:rsid w:val="006F2DF0"/>
    <w:rsid w:val="006F320C"/>
    <w:rsid w:val="006F35A6"/>
    <w:rsid w:val="006F48CA"/>
    <w:rsid w:val="006F58F4"/>
    <w:rsid w:val="006F64DD"/>
    <w:rsid w:val="006F747A"/>
    <w:rsid w:val="007000A7"/>
    <w:rsid w:val="00701773"/>
    <w:rsid w:val="00703BF3"/>
    <w:rsid w:val="0070400B"/>
    <w:rsid w:val="00713C72"/>
    <w:rsid w:val="007150E7"/>
    <w:rsid w:val="00715127"/>
    <w:rsid w:val="00715E8E"/>
    <w:rsid w:val="0071650A"/>
    <w:rsid w:val="00717556"/>
    <w:rsid w:val="007202AA"/>
    <w:rsid w:val="00721680"/>
    <w:rsid w:val="00723580"/>
    <w:rsid w:val="00723755"/>
    <w:rsid w:val="007242F6"/>
    <w:rsid w:val="00724C9D"/>
    <w:rsid w:val="00725473"/>
    <w:rsid w:val="007264B5"/>
    <w:rsid w:val="00730F07"/>
    <w:rsid w:val="00731118"/>
    <w:rsid w:val="0073136C"/>
    <w:rsid w:val="00731D18"/>
    <w:rsid w:val="00731F0F"/>
    <w:rsid w:val="007326CD"/>
    <w:rsid w:val="00733250"/>
    <w:rsid w:val="00733A7C"/>
    <w:rsid w:val="007341F9"/>
    <w:rsid w:val="00741404"/>
    <w:rsid w:val="007449E5"/>
    <w:rsid w:val="00745AD2"/>
    <w:rsid w:val="00746BF1"/>
    <w:rsid w:val="00746C5A"/>
    <w:rsid w:val="00747FF0"/>
    <w:rsid w:val="007509D5"/>
    <w:rsid w:val="0075101B"/>
    <w:rsid w:val="007516BB"/>
    <w:rsid w:val="00751890"/>
    <w:rsid w:val="00752CE3"/>
    <w:rsid w:val="0075327B"/>
    <w:rsid w:val="00753C0E"/>
    <w:rsid w:val="00754DCD"/>
    <w:rsid w:val="00761146"/>
    <w:rsid w:val="00762B43"/>
    <w:rsid w:val="00763272"/>
    <w:rsid w:val="00764D4E"/>
    <w:rsid w:val="0076570D"/>
    <w:rsid w:val="00765A1F"/>
    <w:rsid w:val="00766206"/>
    <w:rsid w:val="00767670"/>
    <w:rsid w:val="007711C9"/>
    <w:rsid w:val="00774A6E"/>
    <w:rsid w:val="00775B6D"/>
    <w:rsid w:val="00776D68"/>
    <w:rsid w:val="00776FB9"/>
    <w:rsid w:val="007807F3"/>
    <w:rsid w:val="00781A56"/>
    <w:rsid w:val="00781E89"/>
    <w:rsid w:val="007821D6"/>
    <w:rsid w:val="007825BB"/>
    <w:rsid w:val="00784A07"/>
    <w:rsid w:val="00784D55"/>
    <w:rsid w:val="007850EE"/>
    <w:rsid w:val="00785B53"/>
    <w:rsid w:val="00785B95"/>
    <w:rsid w:val="00790E96"/>
    <w:rsid w:val="00791897"/>
    <w:rsid w:val="00792EEE"/>
    <w:rsid w:val="00793366"/>
    <w:rsid w:val="0079781C"/>
    <w:rsid w:val="007A0AF5"/>
    <w:rsid w:val="007A2CAE"/>
    <w:rsid w:val="007A2F8E"/>
    <w:rsid w:val="007A351E"/>
    <w:rsid w:val="007A3CB5"/>
    <w:rsid w:val="007A40B5"/>
    <w:rsid w:val="007A4392"/>
    <w:rsid w:val="007A45E2"/>
    <w:rsid w:val="007A579C"/>
    <w:rsid w:val="007A68F2"/>
    <w:rsid w:val="007A6EA4"/>
    <w:rsid w:val="007A716F"/>
    <w:rsid w:val="007A7FEF"/>
    <w:rsid w:val="007B0F3B"/>
    <w:rsid w:val="007B270A"/>
    <w:rsid w:val="007B3544"/>
    <w:rsid w:val="007B52FD"/>
    <w:rsid w:val="007B54E0"/>
    <w:rsid w:val="007B5DA7"/>
    <w:rsid w:val="007B5E3F"/>
    <w:rsid w:val="007C00BF"/>
    <w:rsid w:val="007C0695"/>
    <w:rsid w:val="007C09BE"/>
    <w:rsid w:val="007C0BB8"/>
    <w:rsid w:val="007C1B7C"/>
    <w:rsid w:val="007C266D"/>
    <w:rsid w:val="007C419A"/>
    <w:rsid w:val="007C42DF"/>
    <w:rsid w:val="007C4940"/>
    <w:rsid w:val="007C4CC8"/>
    <w:rsid w:val="007C5426"/>
    <w:rsid w:val="007C5798"/>
    <w:rsid w:val="007D143A"/>
    <w:rsid w:val="007D3727"/>
    <w:rsid w:val="007D3BDA"/>
    <w:rsid w:val="007D4832"/>
    <w:rsid w:val="007D5EF7"/>
    <w:rsid w:val="007D70F3"/>
    <w:rsid w:val="007D717D"/>
    <w:rsid w:val="007E21B2"/>
    <w:rsid w:val="007E2962"/>
    <w:rsid w:val="007E2C4E"/>
    <w:rsid w:val="007E2D79"/>
    <w:rsid w:val="007E3760"/>
    <w:rsid w:val="007F0303"/>
    <w:rsid w:val="007F1905"/>
    <w:rsid w:val="007F1DBE"/>
    <w:rsid w:val="007F4DF1"/>
    <w:rsid w:val="007F61A5"/>
    <w:rsid w:val="007F6E05"/>
    <w:rsid w:val="007F758B"/>
    <w:rsid w:val="0080048F"/>
    <w:rsid w:val="00801300"/>
    <w:rsid w:val="008015C6"/>
    <w:rsid w:val="00801841"/>
    <w:rsid w:val="00802C64"/>
    <w:rsid w:val="00803FC5"/>
    <w:rsid w:val="0080477B"/>
    <w:rsid w:val="00804A6E"/>
    <w:rsid w:val="00805E52"/>
    <w:rsid w:val="008061D0"/>
    <w:rsid w:val="00810B38"/>
    <w:rsid w:val="00811DCB"/>
    <w:rsid w:val="008168BB"/>
    <w:rsid w:val="00817888"/>
    <w:rsid w:val="008204C7"/>
    <w:rsid w:val="00820992"/>
    <w:rsid w:val="00823602"/>
    <w:rsid w:val="00823BB1"/>
    <w:rsid w:val="00823DCF"/>
    <w:rsid w:val="008255F5"/>
    <w:rsid w:val="00826605"/>
    <w:rsid w:val="0082688D"/>
    <w:rsid w:val="008269FD"/>
    <w:rsid w:val="00827205"/>
    <w:rsid w:val="0083014E"/>
    <w:rsid w:val="00830A59"/>
    <w:rsid w:val="0083214A"/>
    <w:rsid w:val="00833EEB"/>
    <w:rsid w:val="00834220"/>
    <w:rsid w:val="0083555F"/>
    <w:rsid w:val="00844617"/>
    <w:rsid w:val="00845082"/>
    <w:rsid w:val="00845723"/>
    <w:rsid w:val="00851B07"/>
    <w:rsid w:val="00851EF9"/>
    <w:rsid w:val="0085230F"/>
    <w:rsid w:val="00853307"/>
    <w:rsid w:val="00853437"/>
    <w:rsid w:val="008577FD"/>
    <w:rsid w:val="00860B03"/>
    <w:rsid w:val="00862622"/>
    <w:rsid w:val="00863FB7"/>
    <w:rsid w:val="0086497A"/>
    <w:rsid w:val="0087094E"/>
    <w:rsid w:val="00870E0C"/>
    <w:rsid w:val="008713A1"/>
    <w:rsid w:val="00871BDB"/>
    <w:rsid w:val="008720AF"/>
    <w:rsid w:val="008754AB"/>
    <w:rsid w:val="00875772"/>
    <w:rsid w:val="008765AC"/>
    <w:rsid w:val="00876A9E"/>
    <w:rsid w:val="0088005F"/>
    <w:rsid w:val="008800A3"/>
    <w:rsid w:val="008804C0"/>
    <w:rsid w:val="0088060C"/>
    <w:rsid w:val="0088087E"/>
    <w:rsid w:val="00880B07"/>
    <w:rsid w:val="00880C79"/>
    <w:rsid w:val="00881DFB"/>
    <w:rsid w:val="00881E06"/>
    <w:rsid w:val="0088204C"/>
    <w:rsid w:val="00887882"/>
    <w:rsid w:val="00887B02"/>
    <w:rsid w:val="00893576"/>
    <w:rsid w:val="00893E73"/>
    <w:rsid w:val="00893E85"/>
    <w:rsid w:val="008950DC"/>
    <w:rsid w:val="00895FD1"/>
    <w:rsid w:val="008A0863"/>
    <w:rsid w:val="008A117A"/>
    <w:rsid w:val="008A1A56"/>
    <w:rsid w:val="008A1A63"/>
    <w:rsid w:val="008A385B"/>
    <w:rsid w:val="008A43C4"/>
    <w:rsid w:val="008A517A"/>
    <w:rsid w:val="008B02DC"/>
    <w:rsid w:val="008B2529"/>
    <w:rsid w:val="008B3DDF"/>
    <w:rsid w:val="008B411D"/>
    <w:rsid w:val="008B4C2D"/>
    <w:rsid w:val="008B4F49"/>
    <w:rsid w:val="008B57CE"/>
    <w:rsid w:val="008B659F"/>
    <w:rsid w:val="008B66E9"/>
    <w:rsid w:val="008B7E1B"/>
    <w:rsid w:val="008C0E70"/>
    <w:rsid w:val="008C26DE"/>
    <w:rsid w:val="008C2AEB"/>
    <w:rsid w:val="008C2C0E"/>
    <w:rsid w:val="008C7A16"/>
    <w:rsid w:val="008D2225"/>
    <w:rsid w:val="008D4752"/>
    <w:rsid w:val="008D4B1C"/>
    <w:rsid w:val="008D4C28"/>
    <w:rsid w:val="008D552A"/>
    <w:rsid w:val="008D592A"/>
    <w:rsid w:val="008D6489"/>
    <w:rsid w:val="008E08B3"/>
    <w:rsid w:val="008E0CB3"/>
    <w:rsid w:val="008E271C"/>
    <w:rsid w:val="008E3B2A"/>
    <w:rsid w:val="008E4162"/>
    <w:rsid w:val="008E418E"/>
    <w:rsid w:val="008E5BC6"/>
    <w:rsid w:val="008E66B8"/>
    <w:rsid w:val="008E6A25"/>
    <w:rsid w:val="008E6C24"/>
    <w:rsid w:val="008E6D23"/>
    <w:rsid w:val="008E78F5"/>
    <w:rsid w:val="008F2281"/>
    <w:rsid w:val="008F255D"/>
    <w:rsid w:val="008F3041"/>
    <w:rsid w:val="008F3746"/>
    <w:rsid w:val="008F3D42"/>
    <w:rsid w:val="008F40F2"/>
    <w:rsid w:val="008F423E"/>
    <w:rsid w:val="008F44D0"/>
    <w:rsid w:val="008F5193"/>
    <w:rsid w:val="008F57D8"/>
    <w:rsid w:val="009013A7"/>
    <w:rsid w:val="009017FB"/>
    <w:rsid w:val="009017FC"/>
    <w:rsid w:val="00902E03"/>
    <w:rsid w:val="00903B43"/>
    <w:rsid w:val="00904B2F"/>
    <w:rsid w:val="0090506B"/>
    <w:rsid w:val="009050C9"/>
    <w:rsid w:val="00906016"/>
    <w:rsid w:val="009066FC"/>
    <w:rsid w:val="00907823"/>
    <w:rsid w:val="009118E2"/>
    <w:rsid w:val="00912321"/>
    <w:rsid w:val="00912D38"/>
    <w:rsid w:val="00912EA9"/>
    <w:rsid w:val="00913160"/>
    <w:rsid w:val="009140A3"/>
    <w:rsid w:val="009144A2"/>
    <w:rsid w:val="00914D62"/>
    <w:rsid w:val="0091510C"/>
    <w:rsid w:val="009175B0"/>
    <w:rsid w:val="00923CE9"/>
    <w:rsid w:val="009259AC"/>
    <w:rsid w:val="00926F38"/>
    <w:rsid w:val="00930002"/>
    <w:rsid w:val="009328A5"/>
    <w:rsid w:val="00932C12"/>
    <w:rsid w:val="0093380D"/>
    <w:rsid w:val="00933A5C"/>
    <w:rsid w:val="00934301"/>
    <w:rsid w:val="00934810"/>
    <w:rsid w:val="00936CD1"/>
    <w:rsid w:val="009378C0"/>
    <w:rsid w:val="0094065A"/>
    <w:rsid w:val="00941747"/>
    <w:rsid w:val="00941EFB"/>
    <w:rsid w:val="00943AEB"/>
    <w:rsid w:val="00944997"/>
    <w:rsid w:val="009467A4"/>
    <w:rsid w:val="00947A51"/>
    <w:rsid w:val="00947AFB"/>
    <w:rsid w:val="00951D7D"/>
    <w:rsid w:val="00952C12"/>
    <w:rsid w:val="00954A86"/>
    <w:rsid w:val="00955AB6"/>
    <w:rsid w:val="00960598"/>
    <w:rsid w:val="009614DA"/>
    <w:rsid w:val="00961DB5"/>
    <w:rsid w:val="009630C7"/>
    <w:rsid w:val="009635A2"/>
    <w:rsid w:val="00964649"/>
    <w:rsid w:val="00970D53"/>
    <w:rsid w:val="009721A7"/>
    <w:rsid w:val="00972B55"/>
    <w:rsid w:val="0097350F"/>
    <w:rsid w:val="009743B7"/>
    <w:rsid w:val="009757B1"/>
    <w:rsid w:val="00976398"/>
    <w:rsid w:val="00977AB4"/>
    <w:rsid w:val="0098228B"/>
    <w:rsid w:val="009828DA"/>
    <w:rsid w:val="009845B9"/>
    <w:rsid w:val="00984DB9"/>
    <w:rsid w:val="00985BAB"/>
    <w:rsid w:val="0099119D"/>
    <w:rsid w:val="00992B1D"/>
    <w:rsid w:val="009936BC"/>
    <w:rsid w:val="0099383B"/>
    <w:rsid w:val="00995165"/>
    <w:rsid w:val="00996AE0"/>
    <w:rsid w:val="00997F03"/>
    <w:rsid w:val="009A46DF"/>
    <w:rsid w:val="009A470B"/>
    <w:rsid w:val="009A5A62"/>
    <w:rsid w:val="009A6663"/>
    <w:rsid w:val="009B1B5F"/>
    <w:rsid w:val="009B2008"/>
    <w:rsid w:val="009B2EC2"/>
    <w:rsid w:val="009B37D2"/>
    <w:rsid w:val="009B3856"/>
    <w:rsid w:val="009B5B22"/>
    <w:rsid w:val="009B6673"/>
    <w:rsid w:val="009B7142"/>
    <w:rsid w:val="009C0AA3"/>
    <w:rsid w:val="009C191B"/>
    <w:rsid w:val="009C1BF4"/>
    <w:rsid w:val="009C1C36"/>
    <w:rsid w:val="009C1D00"/>
    <w:rsid w:val="009C2A75"/>
    <w:rsid w:val="009C2BD6"/>
    <w:rsid w:val="009C35B7"/>
    <w:rsid w:val="009C417C"/>
    <w:rsid w:val="009C5F2C"/>
    <w:rsid w:val="009C655E"/>
    <w:rsid w:val="009C6688"/>
    <w:rsid w:val="009C6910"/>
    <w:rsid w:val="009D1D56"/>
    <w:rsid w:val="009D3B29"/>
    <w:rsid w:val="009D3B43"/>
    <w:rsid w:val="009D537C"/>
    <w:rsid w:val="009D5FEE"/>
    <w:rsid w:val="009D6695"/>
    <w:rsid w:val="009D7BB7"/>
    <w:rsid w:val="009E1F32"/>
    <w:rsid w:val="009E34AB"/>
    <w:rsid w:val="009E47BD"/>
    <w:rsid w:val="009E4CAC"/>
    <w:rsid w:val="009E5764"/>
    <w:rsid w:val="009E5829"/>
    <w:rsid w:val="009E607E"/>
    <w:rsid w:val="009E776C"/>
    <w:rsid w:val="009E7966"/>
    <w:rsid w:val="009F147A"/>
    <w:rsid w:val="009F25F3"/>
    <w:rsid w:val="009F2CE8"/>
    <w:rsid w:val="009F2D1E"/>
    <w:rsid w:val="009F65AE"/>
    <w:rsid w:val="00A025AD"/>
    <w:rsid w:val="00A02FCD"/>
    <w:rsid w:val="00A06646"/>
    <w:rsid w:val="00A06D30"/>
    <w:rsid w:val="00A11855"/>
    <w:rsid w:val="00A130B4"/>
    <w:rsid w:val="00A1327C"/>
    <w:rsid w:val="00A1726E"/>
    <w:rsid w:val="00A204CF"/>
    <w:rsid w:val="00A208D0"/>
    <w:rsid w:val="00A215D9"/>
    <w:rsid w:val="00A222BA"/>
    <w:rsid w:val="00A236FA"/>
    <w:rsid w:val="00A23CCD"/>
    <w:rsid w:val="00A23D49"/>
    <w:rsid w:val="00A25FB8"/>
    <w:rsid w:val="00A27004"/>
    <w:rsid w:val="00A3083F"/>
    <w:rsid w:val="00A30C29"/>
    <w:rsid w:val="00A33B03"/>
    <w:rsid w:val="00A34289"/>
    <w:rsid w:val="00A34DD6"/>
    <w:rsid w:val="00A35B47"/>
    <w:rsid w:val="00A36522"/>
    <w:rsid w:val="00A36819"/>
    <w:rsid w:val="00A36989"/>
    <w:rsid w:val="00A37107"/>
    <w:rsid w:val="00A41B5E"/>
    <w:rsid w:val="00A427C0"/>
    <w:rsid w:val="00A42907"/>
    <w:rsid w:val="00A43628"/>
    <w:rsid w:val="00A45145"/>
    <w:rsid w:val="00A45173"/>
    <w:rsid w:val="00A4786B"/>
    <w:rsid w:val="00A47F44"/>
    <w:rsid w:val="00A5245C"/>
    <w:rsid w:val="00A54192"/>
    <w:rsid w:val="00A56088"/>
    <w:rsid w:val="00A56214"/>
    <w:rsid w:val="00A563DE"/>
    <w:rsid w:val="00A60171"/>
    <w:rsid w:val="00A6035E"/>
    <w:rsid w:val="00A6144C"/>
    <w:rsid w:val="00A62E56"/>
    <w:rsid w:val="00A63A8D"/>
    <w:rsid w:val="00A63AB2"/>
    <w:rsid w:val="00A6421E"/>
    <w:rsid w:val="00A648C8"/>
    <w:rsid w:val="00A654A3"/>
    <w:rsid w:val="00A66617"/>
    <w:rsid w:val="00A671F8"/>
    <w:rsid w:val="00A673A4"/>
    <w:rsid w:val="00A6760F"/>
    <w:rsid w:val="00A70B7A"/>
    <w:rsid w:val="00A7153B"/>
    <w:rsid w:val="00A724AE"/>
    <w:rsid w:val="00A73329"/>
    <w:rsid w:val="00A75691"/>
    <w:rsid w:val="00A760CC"/>
    <w:rsid w:val="00A76579"/>
    <w:rsid w:val="00A82359"/>
    <w:rsid w:val="00A830E2"/>
    <w:rsid w:val="00A833C5"/>
    <w:rsid w:val="00A83B13"/>
    <w:rsid w:val="00A865D2"/>
    <w:rsid w:val="00A873D6"/>
    <w:rsid w:val="00A87A23"/>
    <w:rsid w:val="00A925DE"/>
    <w:rsid w:val="00A9454F"/>
    <w:rsid w:val="00A94C20"/>
    <w:rsid w:val="00A96CD9"/>
    <w:rsid w:val="00A96ED6"/>
    <w:rsid w:val="00AA0E0A"/>
    <w:rsid w:val="00AA227F"/>
    <w:rsid w:val="00AA3BC7"/>
    <w:rsid w:val="00AA4990"/>
    <w:rsid w:val="00AA734E"/>
    <w:rsid w:val="00AA754A"/>
    <w:rsid w:val="00AA76F2"/>
    <w:rsid w:val="00AB099E"/>
    <w:rsid w:val="00AB31FA"/>
    <w:rsid w:val="00AB4328"/>
    <w:rsid w:val="00AB57ED"/>
    <w:rsid w:val="00AB5FA0"/>
    <w:rsid w:val="00AB6C54"/>
    <w:rsid w:val="00AB6C88"/>
    <w:rsid w:val="00AC1366"/>
    <w:rsid w:val="00AC29D4"/>
    <w:rsid w:val="00AC3428"/>
    <w:rsid w:val="00AC4695"/>
    <w:rsid w:val="00AC4CDB"/>
    <w:rsid w:val="00AC61ED"/>
    <w:rsid w:val="00AC7802"/>
    <w:rsid w:val="00AD2D66"/>
    <w:rsid w:val="00AD335B"/>
    <w:rsid w:val="00AD34BD"/>
    <w:rsid w:val="00AD45E3"/>
    <w:rsid w:val="00AD525D"/>
    <w:rsid w:val="00AD5D49"/>
    <w:rsid w:val="00AD6F1C"/>
    <w:rsid w:val="00AE02B8"/>
    <w:rsid w:val="00AE0A2E"/>
    <w:rsid w:val="00AE0CBF"/>
    <w:rsid w:val="00AE15EE"/>
    <w:rsid w:val="00AE18DD"/>
    <w:rsid w:val="00AE354C"/>
    <w:rsid w:val="00AE6D8E"/>
    <w:rsid w:val="00AE71DB"/>
    <w:rsid w:val="00AE7EE3"/>
    <w:rsid w:val="00AF1276"/>
    <w:rsid w:val="00AF2C3F"/>
    <w:rsid w:val="00AF3A30"/>
    <w:rsid w:val="00AF4A87"/>
    <w:rsid w:val="00AF4B07"/>
    <w:rsid w:val="00AF531B"/>
    <w:rsid w:val="00AF6186"/>
    <w:rsid w:val="00AF6DEA"/>
    <w:rsid w:val="00AF7936"/>
    <w:rsid w:val="00AF7A3A"/>
    <w:rsid w:val="00B002F7"/>
    <w:rsid w:val="00B0456C"/>
    <w:rsid w:val="00B05827"/>
    <w:rsid w:val="00B07020"/>
    <w:rsid w:val="00B07947"/>
    <w:rsid w:val="00B15994"/>
    <w:rsid w:val="00B160DB"/>
    <w:rsid w:val="00B16658"/>
    <w:rsid w:val="00B16785"/>
    <w:rsid w:val="00B1697D"/>
    <w:rsid w:val="00B20034"/>
    <w:rsid w:val="00B20836"/>
    <w:rsid w:val="00B20B03"/>
    <w:rsid w:val="00B212EB"/>
    <w:rsid w:val="00B21D5C"/>
    <w:rsid w:val="00B21F6D"/>
    <w:rsid w:val="00B235BB"/>
    <w:rsid w:val="00B251D8"/>
    <w:rsid w:val="00B265D9"/>
    <w:rsid w:val="00B27A44"/>
    <w:rsid w:val="00B27C3B"/>
    <w:rsid w:val="00B30BBF"/>
    <w:rsid w:val="00B33C03"/>
    <w:rsid w:val="00B34129"/>
    <w:rsid w:val="00B35B13"/>
    <w:rsid w:val="00B36D30"/>
    <w:rsid w:val="00B36FAB"/>
    <w:rsid w:val="00B37493"/>
    <w:rsid w:val="00B40C30"/>
    <w:rsid w:val="00B4266D"/>
    <w:rsid w:val="00B4311D"/>
    <w:rsid w:val="00B43471"/>
    <w:rsid w:val="00B44E56"/>
    <w:rsid w:val="00B4521A"/>
    <w:rsid w:val="00B45B2F"/>
    <w:rsid w:val="00B46543"/>
    <w:rsid w:val="00B46EDF"/>
    <w:rsid w:val="00B47D33"/>
    <w:rsid w:val="00B5063F"/>
    <w:rsid w:val="00B52AD5"/>
    <w:rsid w:val="00B52BE0"/>
    <w:rsid w:val="00B53C73"/>
    <w:rsid w:val="00B54133"/>
    <w:rsid w:val="00B5422A"/>
    <w:rsid w:val="00B559BB"/>
    <w:rsid w:val="00B57567"/>
    <w:rsid w:val="00B600D5"/>
    <w:rsid w:val="00B61694"/>
    <w:rsid w:val="00B637B9"/>
    <w:rsid w:val="00B641A3"/>
    <w:rsid w:val="00B64F69"/>
    <w:rsid w:val="00B701ED"/>
    <w:rsid w:val="00B708FD"/>
    <w:rsid w:val="00B8030A"/>
    <w:rsid w:val="00B8086C"/>
    <w:rsid w:val="00B80972"/>
    <w:rsid w:val="00B8133A"/>
    <w:rsid w:val="00B81594"/>
    <w:rsid w:val="00B820D1"/>
    <w:rsid w:val="00B84622"/>
    <w:rsid w:val="00B861B4"/>
    <w:rsid w:val="00B86A5D"/>
    <w:rsid w:val="00B86BDE"/>
    <w:rsid w:val="00B86DFE"/>
    <w:rsid w:val="00B8760D"/>
    <w:rsid w:val="00B90990"/>
    <w:rsid w:val="00B922FF"/>
    <w:rsid w:val="00B92491"/>
    <w:rsid w:val="00B924BF"/>
    <w:rsid w:val="00B9281E"/>
    <w:rsid w:val="00B92B7A"/>
    <w:rsid w:val="00B93925"/>
    <w:rsid w:val="00B94046"/>
    <w:rsid w:val="00B95187"/>
    <w:rsid w:val="00B95269"/>
    <w:rsid w:val="00B976E6"/>
    <w:rsid w:val="00BA02B2"/>
    <w:rsid w:val="00BA0B74"/>
    <w:rsid w:val="00BA2D55"/>
    <w:rsid w:val="00BA2D95"/>
    <w:rsid w:val="00BA43A2"/>
    <w:rsid w:val="00BA4DA7"/>
    <w:rsid w:val="00BA5384"/>
    <w:rsid w:val="00BA66B8"/>
    <w:rsid w:val="00BA71B1"/>
    <w:rsid w:val="00BB0637"/>
    <w:rsid w:val="00BB1BAC"/>
    <w:rsid w:val="00BB345F"/>
    <w:rsid w:val="00BB3BC6"/>
    <w:rsid w:val="00BB5883"/>
    <w:rsid w:val="00BB68EA"/>
    <w:rsid w:val="00BC0FB5"/>
    <w:rsid w:val="00BC146C"/>
    <w:rsid w:val="00BC1C27"/>
    <w:rsid w:val="00BC310D"/>
    <w:rsid w:val="00BC373D"/>
    <w:rsid w:val="00BC5711"/>
    <w:rsid w:val="00BC6AC2"/>
    <w:rsid w:val="00BC6BBF"/>
    <w:rsid w:val="00BD1572"/>
    <w:rsid w:val="00BD2378"/>
    <w:rsid w:val="00BD4884"/>
    <w:rsid w:val="00BD5071"/>
    <w:rsid w:val="00BD6D05"/>
    <w:rsid w:val="00BE0A8E"/>
    <w:rsid w:val="00BE0E96"/>
    <w:rsid w:val="00BE14E3"/>
    <w:rsid w:val="00BE1844"/>
    <w:rsid w:val="00BE2E3A"/>
    <w:rsid w:val="00BE327F"/>
    <w:rsid w:val="00BE36B0"/>
    <w:rsid w:val="00BE3774"/>
    <w:rsid w:val="00BE3A8E"/>
    <w:rsid w:val="00BE41E5"/>
    <w:rsid w:val="00BE6D50"/>
    <w:rsid w:val="00BF0BBB"/>
    <w:rsid w:val="00BF1C33"/>
    <w:rsid w:val="00BF2443"/>
    <w:rsid w:val="00BF3152"/>
    <w:rsid w:val="00BF3C56"/>
    <w:rsid w:val="00BF4109"/>
    <w:rsid w:val="00BF4CC3"/>
    <w:rsid w:val="00BF7068"/>
    <w:rsid w:val="00C00511"/>
    <w:rsid w:val="00C01129"/>
    <w:rsid w:val="00C0253B"/>
    <w:rsid w:val="00C02C9F"/>
    <w:rsid w:val="00C03C15"/>
    <w:rsid w:val="00C04948"/>
    <w:rsid w:val="00C054C7"/>
    <w:rsid w:val="00C057B5"/>
    <w:rsid w:val="00C05FFD"/>
    <w:rsid w:val="00C1101D"/>
    <w:rsid w:val="00C12452"/>
    <w:rsid w:val="00C1370F"/>
    <w:rsid w:val="00C157D6"/>
    <w:rsid w:val="00C165CC"/>
    <w:rsid w:val="00C20EC5"/>
    <w:rsid w:val="00C21325"/>
    <w:rsid w:val="00C21BDC"/>
    <w:rsid w:val="00C22687"/>
    <w:rsid w:val="00C23DAC"/>
    <w:rsid w:val="00C25416"/>
    <w:rsid w:val="00C264E9"/>
    <w:rsid w:val="00C30C41"/>
    <w:rsid w:val="00C323A7"/>
    <w:rsid w:val="00C3293F"/>
    <w:rsid w:val="00C32E4D"/>
    <w:rsid w:val="00C333A0"/>
    <w:rsid w:val="00C369CD"/>
    <w:rsid w:val="00C36A81"/>
    <w:rsid w:val="00C40DFE"/>
    <w:rsid w:val="00C41974"/>
    <w:rsid w:val="00C42645"/>
    <w:rsid w:val="00C4268C"/>
    <w:rsid w:val="00C4334A"/>
    <w:rsid w:val="00C44357"/>
    <w:rsid w:val="00C447AD"/>
    <w:rsid w:val="00C45D4A"/>
    <w:rsid w:val="00C4650C"/>
    <w:rsid w:val="00C502F8"/>
    <w:rsid w:val="00C5031E"/>
    <w:rsid w:val="00C50EB7"/>
    <w:rsid w:val="00C53D43"/>
    <w:rsid w:val="00C53F4A"/>
    <w:rsid w:val="00C54125"/>
    <w:rsid w:val="00C54A1D"/>
    <w:rsid w:val="00C54EED"/>
    <w:rsid w:val="00C55B54"/>
    <w:rsid w:val="00C55BD2"/>
    <w:rsid w:val="00C571C8"/>
    <w:rsid w:val="00C5741A"/>
    <w:rsid w:val="00C579A4"/>
    <w:rsid w:val="00C6098E"/>
    <w:rsid w:val="00C6152C"/>
    <w:rsid w:val="00C61EC1"/>
    <w:rsid w:val="00C621C2"/>
    <w:rsid w:val="00C62439"/>
    <w:rsid w:val="00C646B8"/>
    <w:rsid w:val="00C64712"/>
    <w:rsid w:val="00C64ECB"/>
    <w:rsid w:val="00C65E42"/>
    <w:rsid w:val="00C724BF"/>
    <w:rsid w:val="00C743C2"/>
    <w:rsid w:val="00C74810"/>
    <w:rsid w:val="00C74D5E"/>
    <w:rsid w:val="00C76F5B"/>
    <w:rsid w:val="00C77A80"/>
    <w:rsid w:val="00C80AD7"/>
    <w:rsid w:val="00C83B3C"/>
    <w:rsid w:val="00C84AF3"/>
    <w:rsid w:val="00C85214"/>
    <w:rsid w:val="00C86338"/>
    <w:rsid w:val="00C8703A"/>
    <w:rsid w:val="00C90D68"/>
    <w:rsid w:val="00C915FB"/>
    <w:rsid w:val="00C931A0"/>
    <w:rsid w:val="00C939FE"/>
    <w:rsid w:val="00C93C13"/>
    <w:rsid w:val="00C955F0"/>
    <w:rsid w:val="00C95EF2"/>
    <w:rsid w:val="00C95F1B"/>
    <w:rsid w:val="00C9645D"/>
    <w:rsid w:val="00C96D63"/>
    <w:rsid w:val="00CA2BD0"/>
    <w:rsid w:val="00CA4BDA"/>
    <w:rsid w:val="00CA566D"/>
    <w:rsid w:val="00CA68E6"/>
    <w:rsid w:val="00CA73E6"/>
    <w:rsid w:val="00CA7EEA"/>
    <w:rsid w:val="00CB01DC"/>
    <w:rsid w:val="00CB12A7"/>
    <w:rsid w:val="00CB1832"/>
    <w:rsid w:val="00CB1F66"/>
    <w:rsid w:val="00CB2022"/>
    <w:rsid w:val="00CB24BD"/>
    <w:rsid w:val="00CB2951"/>
    <w:rsid w:val="00CB54FD"/>
    <w:rsid w:val="00CB7C4E"/>
    <w:rsid w:val="00CC5809"/>
    <w:rsid w:val="00CD282B"/>
    <w:rsid w:val="00CD315C"/>
    <w:rsid w:val="00CD4C35"/>
    <w:rsid w:val="00CD50C2"/>
    <w:rsid w:val="00CD5475"/>
    <w:rsid w:val="00CD6770"/>
    <w:rsid w:val="00CD7154"/>
    <w:rsid w:val="00CD7369"/>
    <w:rsid w:val="00CE0B0E"/>
    <w:rsid w:val="00CE2F1E"/>
    <w:rsid w:val="00CE3831"/>
    <w:rsid w:val="00CE51CA"/>
    <w:rsid w:val="00CE6D0B"/>
    <w:rsid w:val="00CF124C"/>
    <w:rsid w:val="00CF132D"/>
    <w:rsid w:val="00CF1803"/>
    <w:rsid w:val="00CF182A"/>
    <w:rsid w:val="00CF28E9"/>
    <w:rsid w:val="00CF4B2B"/>
    <w:rsid w:val="00CF5BD1"/>
    <w:rsid w:val="00CF5E17"/>
    <w:rsid w:val="00D00593"/>
    <w:rsid w:val="00D00ABB"/>
    <w:rsid w:val="00D01C05"/>
    <w:rsid w:val="00D02EEC"/>
    <w:rsid w:val="00D03551"/>
    <w:rsid w:val="00D03927"/>
    <w:rsid w:val="00D04E6F"/>
    <w:rsid w:val="00D06311"/>
    <w:rsid w:val="00D06A63"/>
    <w:rsid w:val="00D07180"/>
    <w:rsid w:val="00D07D4C"/>
    <w:rsid w:val="00D07E0E"/>
    <w:rsid w:val="00D10C89"/>
    <w:rsid w:val="00D11478"/>
    <w:rsid w:val="00D12039"/>
    <w:rsid w:val="00D121E8"/>
    <w:rsid w:val="00D15ED0"/>
    <w:rsid w:val="00D16CF9"/>
    <w:rsid w:val="00D16DF8"/>
    <w:rsid w:val="00D20498"/>
    <w:rsid w:val="00D21B3E"/>
    <w:rsid w:val="00D21FED"/>
    <w:rsid w:val="00D226CC"/>
    <w:rsid w:val="00D24251"/>
    <w:rsid w:val="00D25B7B"/>
    <w:rsid w:val="00D25C32"/>
    <w:rsid w:val="00D262BB"/>
    <w:rsid w:val="00D26428"/>
    <w:rsid w:val="00D26A75"/>
    <w:rsid w:val="00D27666"/>
    <w:rsid w:val="00D27D97"/>
    <w:rsid w:val="00D30C9B"/>
    <w:rsid w:val="00D3294F"/>
    <w:rsid w:val="00D33D1A"/>
    <w:rsid w:val="00D343E2"/>
    <w:rsid w:val="00D35A0F"/>
    <w:rsid w:val="00D361A2"/>
    <w:rsid w:val="00D37E70"/>
    <w:rsid w:val="00D43E65"/>
    <w:rsid w:val="00D449E4"/>
    <w:rsid w:val="00D44C2E"/>
    <w:rsid w:val="00D45414"/>
    <w:rsid w:val="00D47571"/>
    <w:rsid w:val="00D509CB"/>
    <w:rsid w:val="00D51627"/>
    <w:rsid w:val="00D517E7"/>
    <w:rsid w:val="00D51C1E"/>
    <w:rsid w:val="00D53C0F"/>
    <w:rsid w:val="00D555B5"/>
    <w:rsid w:val="00D566BD"/>
    <w:rsid w:val="00D57A4D"/>
    <w:rsid w:val="00D60AA7"/>
    <w:rsid w:val="00D60D87"/>
    <w:rsid w:val="00D60DC9"/>
    <w:rsid w:val="00D63C8F"/>
    <w:rsid w:val="00D6435F"/>
    <w:rsid w:val="00D67B1E"/>
    <w:rsid w:val="00D72770"/>
    <w:rsid w:val="00D72E4F"/>
    <w:rsid w:val="00D74F26"/>
    <w:rsid w:val="00D75920"/>
    <w:rsid w:val="00D75E28"/>
    <w:rsid w:val="00D772C2"/>
    <w:rsid w:val="00D8008E"/>
    <w:rsid w:val="00D808FE"/>
    <w:rsid w:val="00D811B8"/>
    <w:rsid w:val="00D8204E"/>
    <w:rsid w:val="00D82268"/>
    <w:rsid w:val="00D82C45"/>
    <w:rsid w:val="00D835EA"/>
    <w:rsid w:val="00D84AD2"/>
    <w:rsid w:val="00D852B5"/>
    <w:rsid w:val="00D855A0"/>
    <w:rsid w:val="00D86C63"/>
    <w:rsid w:val="00D87A64"/>
    <w:rsid w:val="00D87A72"/>
    <w:rsid w:val="00D908A8"/>
    <w:rsid w:val="00D922C0"/>
    <w:rsid w:val="00D930E4"/>
    <w:rsid w:val="00D9397B"/>
    <w:rsid w:val="00D9527D"/>
    <w:rsid w:val="00D95968"/>
    <w:rsid w:val="00D96203"/>
    <w:rsid w:val="00D977B6"/>
    <w:rsid w:val="00DA0EC7"/>
    <w:rsid w:val="00DA2659"/>
    <w:rsid w:val="00DA2DF3"/>
    <w:rsid w:val="00DA35E4"/>
    <w:rsid w:val="00DA4A31"/>
    <w:rsid w:val="00DA5560"/>
    <w:rsid w:val="00DA61F2"/>
    <w:rsid w:val="00DA6BDA"/>
    <w:rsid w:val="00DA6F10"/>
    <w:rsid w:val="00DA7B04"/>
    <w:rsid w:val="00DA7FDE"/>
    <w:rsid w:val="00DB1AC3"/>
    <w:rsid w:val="00DB2D7A"/>
    <w:rsid w:val="00DB3679"/>
    <w:rsid w:val="00DB36C2"/>
    <w:rsid w:val="00DB5579"/>
    <w:rsid w:val="00DB5AE6"/>
    <w:rsid w:val="00DB6920"/>
    <w:rsid w:val="00DB7196"/>
    <w:rsid w:val="00DB7727"/>
    <w:rsid w:val="00DB7A70"/>
    <w:rsid w:val="00DC0778"/>
    <w:rsid w:val="00DC0FB4"/>
    <w:rsid w:val="00DC169B"/>
    <w:rsid w:val="00DC1F85"/>
    <w:rsid w:val="00DC218D"/>
    <w:rsid w:val="00DC2AB9"/>
    <w:rsid w:val="00DC3A4A"/>
    <w:rsid w:val="00DC4119"/>
    <w:rsid w:val="00DC4716"/>
    <w:rsid w:val="00DC47C1"/>
    <w:rsid w:val="00DC63F0"/>
    <w:rsid w:val="00DD05AC"/>
    <w:rsid w:val="00DD0CC5"/>
    <w:rsid w:val="00DD1977"/>
    <w:rsid w:val="00DD3D26"/>
    <w:rsid w:val="00DD4D1A"/>
    <w:rsid w:val="00DD6EE5"/>
    <w:rsid w:val="00DE0B68"/>
    <w:rsid w:val="00DE1B8E"/>
    <w:rsid w:val="00DE32FA"/>
    <w:rsid w:val="00DE386C"/>
    <w:rsid w:val="00DE3DD2"/>
    <w:rsid w:val="00DE3E57"/>
    <w:rsid w:val="00DE4D35"/>
    <w:rsid w:val="00DE4D43"/>
    <w:rsid w:val="00DE6472"/>
    <w:rsid w:val="00DE6AAF"/>
    <w:rsid w:val="00DF053D"/>
    <w:rsid w:val="00DF0549"/>
    <w:rsid w:val="00DF0615"/>
    <w:rsid w:val="00DF0871"/>
    <w:rsid w:val="00DF098B"/>
    <w:rsid w:val="00DF0A95"/>
    <w:rsid w:val="00DF11C4"/>
    <w:rsid w:val="00DF210C"/>
    <w:rsid w:val="00DF26E2"/>
    <w:rsid w:val="00DF4B6A"/>
    <w:rsid w:val="00DF69F9"/>
    <w:rsid w:val="00DF7AD3"/>
    <w:rsid w:val="00DF7D6E"/>
    <w:rsid w:val="00E00B10"/>
    <w:rsid w:val="00E02C09"/>
    <w:rsid w:val="00E039F8"/>
    <w:rsid w:val="00E04D59"/>
    <w:rsid w:val="00E04DC8"/>
    <w:rsid w:val="00E0533B"/>
    <w:rsid w:val="00E058CF"/>
    <w:rsid w:val="00E058EC"/>
    <w:rsid w:val="00E06871"/>
    <w:rsid w:val="00E075CC"/>
    <w:rsid w:val="00E07DA1"/>
    <w:rsid w:val="00E07F5B"/>
    <w:rsid w:val="00E107FF"/>
    <w:rsid w:val="00E123CB"/>
    <w:rsid w:val="00E1557C"/>
    <w:rsid w:val="00E15C54"/>
    <w:rsid w:val="00E170AD"/>
    <w:rsid w:val="00E173F0"/>
    <w:rsid w:val="00E20858"/>
    <w:rsid w:val="00E20E13"/>
    <w:rsid w:val="00E2119C"/>
    <w:rsid w:val="00E21DBC"/>
    <w:rsid w:val="00E2495D"/>
    <w:rsid w:val="00E25297"/>
    <w:rsid w:val="00E2724A"/>
    <w:rsid w:val="00E2748E"/>
    <w:rsid w:val="00E274C4"/>
    <w:rsid w:val="00E275D7"/>
    <w:rsid w:val="00E27DBE"/>
    <w:rsid w:val="00E3016E"/>
    <w:rsid w:val="00E318BB"/>
    <w:rsid w:val="00E31CB0"/>
    <w:rsid w:val="00E322EB"/>
    <w:rsid w:val="00E32AB1"/>
    <w:rsid w:val="00E32E63"/>
    <w:rsid w:val="00E34334"/>
    <w:rsid w:val="00E36C71"/>
    <w:rsid w:val="00E3733F"/>
    <w:rsid w:val="00E3740A"/>
    <w:rsid w:val="00E37C43"/>
    <w:rsid w:val="00E40404"/>
    <w:rsid w:val="00E4133A"/>
    <w:rsid w:val="00E430A1"/>
    <w:rsid w:val="00E43584"/>
    <w:rsid w:val="00E459C6"/>
    <w:rsid w:val="00E45D42"/>
    <w:rsid w:val="00E46FCB"/>
    <w:rsid w:val="00E47589"/>
    <w:rsid w:val="00E51D4D"/>
    <w:rsid w:val="00E52A5A"/>
    <w:rsid w:val="00E534A5"/>
    <w:rsid w:val="00E60061"/>
    <w:rsid w:val="00E6189F"/>
    <w:rsid w:val="00E64915"/>
    <w:rsid w:val="00E661D4"/>
    <w:rsid w:val="00E66ECE"/>
    <w:rsid w:val="00E67910"/>
    <w:rsid w:val="00E70091"/>
    <w:rsid w:val="00E720F5"/>
    <w:rsid w:val="00E7369A"/>
    <w:rsid w:val="00E73866"/>
    <w:rsid w:val="00E73AFD"/>
    <w:rsid w:val="00E73F6B"/>
    <w:rsid w:val="00E75716"/>
    <w:rsid w:val="00E76615"/>
    <w:rsid w:val="00E76D47"/>
    <w:rsid w:val="00E76FAC"/>
    <w:rsid w:val="00E82F08"/>
    <w:rsid w:val="00E849F7"/>
    <w:rsid w:val="00E8592D"/>
    <w:rsid w:val="00E85DAE"/>
    <w:rsid w:val="00E864C1"/>
    <w:rsid w:val="00E871E2"/>
    <w:rsid w:val="00E900F4"/>
    <w:rsid w:val="00E90302"/>
    <w:rsid w:val="00E917BB"/>
    <w:rsid w:val="00E94A0B"/>
    <w:rsid w:val="00E9524F"/>
    <w:rsid w:val="00E9597F"/>
    <w:rsid w:val="00E97396"/>
    <w:rsid w:val="00E978FF"/>
    <w:rsid w:val="00E97DBB"/>
    <w:rsid w:val="00EA0697"/>
    <w:rsid w:val="00EA06AD"/>
    <w:rsid w:val="00EA0AD6"/>
    <w:rsid w:val="00EA185E"/>
    <w:rsid w:val="00EA2573"/>
    <w:rsid w:val="00EA34A1"/>
    <w:rsid w:val="00EA40EB"/>
    <w:rsid w:val="00EA592A"/>
    <w:rsid w:val="00EA6021"/>
    <w:rsid w:val="00EA737F"/>
    <w:rsid w:val="00EB129D"/>
    <w:rsid w:val="00EB14E4"/>
    <w:rsid w:val="00EB280A"/>
    <w:rsid w:val="00EB2FFD"/>
    <w:rsid w:val="00EB32A5"/>
    <w:rsid w:val="00EB34ED"/>
    <w:rsid w:val="00EB3A89"/>
    <w:rsid w:val="00EB4635"/>
    <w:rsid w:val="00EB472B"/>
    <w:rsid w:val="00EB4A66"/>
    <w:rsid w:val="00EB53EC"/>
    <w:rsid w:val="00EB5D6C"/>
    <w:rsid w:val="00EB5FD2"/>
    <w:rsid w:val="00EB65FB"/>
    <w:rsid w:val="00EB7A89"/>
    <w:rsid w:val="00EB7B15"/>
    <w:rsid w:val="00EB7BE0"/>
    <w:rsid w:val="00EC005B"/>
    <w:rsid w:val="00EC315E"/>
    <w:rsid w:val="00EC4FE0"/>
    <w:rsid w:val="00EC5801"/>
    <w:rsid w:val="00EC646C"/>
    <w:rsid w:val="00EC65D5"/>
    <w:rsid w:val="00EC687D"/>
    <w:rsid w:val="00EC70A0"/>
    <w:rsid w:val="00ED077C"/>
    <w:rsid w:val="00ED0F51"/>
    <w:rsid w:val="00ED1190"/>
    <w:rsid w:val="00ED2A77"/>
    <w:rsid w:val="00ED3F06"/>
    <w:rsid w:val="00ED4BB2"/>
    <w:rsid w:val="00ED6544"/>
    <w:rsid w:val="00ED6BC3"/>
    <w:rsid w:val="00ED6E72"/>
    <w:rsid w:val="00EE0277"/>
    <w:rsid w:val="00EE0D4E"/>
    <w:rsid w:val="00EE1331"/>
    <w:rsid w:val="00EE1DA9"/>
    <w:rsid w:val="00EE2897"/>
    <w:rsid w:val="00EE33D4"/>
    <w:rsid w:val="00EE3E00"/>
    <w:rsid w:val="00EE5DD2"/>
    <w:rsid w:val="00EE6768"/>
    <w:rsid w:val="00EF0073"/>
    <w:rsid w:val="00EF0492"/>
    <w:rsid w:val="00EF09A7"/>
    <w:rsid w:val="00EF1FB2"/>
    <w:rsid w:val="00EF41F1"/>
    <w:rsid w:val="00EF4D47"/>
    <w:rsid w:val="00EF4F08"/>
    <w:rsid w:val="00EF573B"/>
    <w:rsid w:val="00EF68B7"/>
    <w:rsid w:val="00EF6E86"/>
    <w:rsid w:val="00F00373"/>
    <w:rsid w:val="00F00A79"/>
    <w:rsid w:val="00F00E86"/>
    <w:rsid w:val="00F00F8B"/>
    <w:rsid w:val="00F02A5A"/>
    <w:rsid w:val="00F02AD1"/>
    <w:rsid w:val="00F03238"/>
    <w:rsid w:val="00F032F5"/>
    <w:rsid w:val="00F03986"/>
    <w:rsid w:val="00F05750"/>
    <w:rsid w:val="00F06062"/>
    <w:rsid w:val="00F07C1E"/>
    <w:rsid w:val="00F105DB"/>
    <w:rsid w:val="00F108F5"/>
    <w:rsid w:val="00F11378"/>
    <w:rsid w:val="00F11570"/>
    <w:rsid w:val="00F132BC"/>
    <w:rsid w:val="00F13D80"/>
    <w:rsid w:val="00F165F4"/>
    <w:rsid w:val="00F168BD"/>
    <w:rsid w:val="00F16AAA"/>
    <w:rsid w:val="00F1749B"/>
    <w:rsid w:val="00F20B01"/>
    <w:rsid w:val="00F21161"/>
    <w:rsid w:val="00F218EF"/>
    <w:rsid w:val="00F21BC7"/>
    <w:rsid w:val="00F23326"/>
    <w:rsid w:val="00F2403D"/>
    <w:rsid w:val="00F2461E"/>
    <w:rsid w:val="00F25364"/>
    <w:rsid w:val="00F258BB"/>
    <w:rsid w:val="00F26285"/>
    <w:rsid w:val="00F2653D"/>
    <w:rsid w:val="00F26617"/>
    <w:rsid w:val="00F266A2"/>
    <w:rsid w:val="00F2692B"/>
    <w:rsid w:val="00F3115B"/>
    <w:rsid w:val="00F32269"/>
    <w:rsid w:val="00F32791"/>
    <w:rsid w:val="00F338AB"/>
    <w:rsid w:val="00F3465D"/>
    <w:rsid w:val="00F3640A"/>
    <w:rsid w:val="00F41A8B"/>
    <w:rsid w:val="00F43907"/>
    <w:rsid w:val="00F43F1F"/>
    <w:rsid w:val="00F4457E"/>
    <w:rsid w:val="00F523D3"/>
    <w:rsid w:val="00F55B25"/>
    <w:rsid w:val="00F56019"/>
    <w:rsid w:val="00F563AB"/>
    <w:rsid w:val="00F56A6F"/>
    <w:rsid w:val="00F5709C"/>
    <w:rsid w:val="00F57B6F"/>
    <w:rsid w:val="00F61C1F"/>
    <w:rsid w:val="00F62AD9"/>
    <w:rsid w:val="00F62BBC"/>
    <w:rsid w:val="00F63B36"/>
    <w:rsid w:val="00F64EF1"/>
    <w:rsid w:val="00F65D1B"/>
    <w:rsid w:val="00F67252"/>
    <w:rsid w:val="00F67B3A"/>
    <w:rsid w:val="00F724B2"/>
    <w:rsid w:val="00F72EF5"/>
    <w:rsid w:val="00F731D6"/>
    <w:rsid w:val="00F73BE6"/>
    <w:rsid w:val="00F761B6"/>
    <w:rsid w:val="00F7662A"/>
    <w:rsid w:val="00F76968"/>
    <w:rsid w:val="00F7734F"/>
    <w:rsid w:val="00F77AF4"/>
    <w:rsid w:val="00F81D8C"/>
    <w:rsid w:val="00F81F3C"/>
    <w:rsid w:val="00F835DB"/>
    <w:rsid w:val="00F84105"/>
    <w:rsid w:val="00F8765F"/>
    <w:rsid w:val="00F90767"/>
    <w:rsid w:val="00F91E4F"/>
    <w:rsid w:val="00F9286E"/>
    <w:rsid w:val="00F92F4E"/>
    <w:rsid w:val="00F93DD0"/>
    <w:rsid w:val="00F95C3B"/>
    <w:rsid w:val="00F95C43"/>
    <w:rsid w:val="00F95DC7"/>
    <w:rsid w:val="00F95F4F"/>
    <w:rsid w:val="00F976E4"/>
    <w:rsid w:val="00F97707"/>
    <w:rsid w:val="00FA18AE"/>
    <w:rsid w:val="00FA650F"/>
    <w:rsid w:val="00FA685B"/>
    <w:rsid w:val="00FA7252"/>
    <w:rsid w:val="00FB0C01"/>
    <w:rsid w:val="00FB1474"/>
    <w:rsid w:val="00FB2148"/>
    <w:rsid w:val="00FB60E3"/>
    <w:rsid w:val="00FB75D7"/>
    <w:rsid w:val="00FC18F2"/>
    <w:rsid w:val="00FC2260"/>
    <w:rsid w:val="00FC39E5"/>
    <w:rsid w:val="00FC3A78"/>
    <w:rsid w:val="00FC3B13"/>
    <w:rsid w:val="00FC46B9"/>
    <w:rsid w:val="00FC4E11"/>
    <w:rsid w:val="00FC5FFE"/>
    <w:rsid w:val="00FC6D4D"/>
    <w:rsid w:val="00FD1005"/>
    <w:rsid w:val="00FD1DE9"/>
    <w:rsid w:val="00FD216B"/>
    <w:rsid w:val="00FD3180"/>
    <w:rsid w:val="00FD4E92"/>
    <w:rsid w:val="00FD6C75"/>
    <w:rsid w:val="00FD723F"/>
    <w:rsid w:val="00FD7B41"/>
    <w:rsid w:val="00FE14DD"/>
    <w:rsid w:val="00FE14E7"/>
    <w:rsid w:val="00FE1A95"/>
    <w:rsid w:val="00FE30DD"/>
    <w:rsid w:val="00FE335B"/>
    <w:rsid w:val="00FE3BFD"/>
    <w:rsid w:val="00FE53CF"/>
    <w:rsid w:val="00FE71B3"/>
    <w:rsid w:val="00FF1509"/>
    <w:rsid w:val="00FF2AC9"/>
    <w:rsid w:val="00FF31B0"/>
    <w:rsid w:val="00FF3AEA"/>
    <w:rsid w:val="00FF42C5"/>
    <w:rsid w:val="00FF62F6"/>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5C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5BA"/>
    <w:pPr>
      <w:jc w:val="both"/>
    </w:pPr>
    <w:rPr>
      <w:rFonts w:eastAsia="MS Mincho"/>
      <w:sz w:val="24"/>
      <w:szCs w:val="24"/>
      <w:lang w:eastAsia="en-US"/>
    </w:rPr>
  </w:style>
  <w:style w:type="paragraph" w:styleId="Nagwek1">
    <w:name w:val="heading 1"/>
    <w:basedOn w:val="Normalny"/>
    <w:next w:val="Normalny"/>
    <w:link w:val="Nagwek1Znak"/>
    <w:uiPriority w:val="99"/>
    <w:qFormat/>
    <w:rsid w:val="001535BA"/>
    <w:pPr>
      <w:spacing w:before="480"/>
      <w:outlineLvl w:val="0"/>
    </w:pPr>
    <w:rPr>
      <w:rFonts w:eastAsia="MS Gothic"/>
      <w:b/>
      <w:bCs/>
      <w:color w:val="333333"/>
      <w:sz w:val="28"/>
      <w:szCs w:val="28"/>
    </w:rPr>
  </w:style>
  <w:style w:type="paragraph" w:styleId="Nagwek2">
    <w:name w:val="heading 2"/>
    <w:basedOn w:val="Normalny"/>
    <w:next w:val="Normalny"/>
    <w:link w:val="Nagwek2Znak"/>
    <w:uiPriority w:val="99"/>
    <w:qFormat/>
    <w:rsid w:val="001535BA"/>
    <w:pPr>
      <w:spacing w:before="200"/>
      <w:outlineLvl w:val="1"/>
    </w:pPr>
    <w:rPr>
      <w:rFonts w:eastAsia="MS Gothic"/>
      <w:b/>
      <w:bCs/>
      <w:color w:val="4D4D4D"/>
      <w:sz w:val="26"/>
      <w:szCs w:val="26"/>
    </w:rPr>
  </w:style>
  <w:style w:type="paragraph" w:styleId="Nagwek3">
    <w:name w:val="heading 3"/>
    <w:basedOn w:val="Normalny"/>
    <w:next w:val="Normalny"/>
    <w:link w:val="Nagwek3Znak"/>
    <w:uiPriority w:val="99"/>
    <w:qFormat/>
    <w:rsid w:val="001535BA"/>
    <w:pPr>
      <w:spacing w:before="200" w:line="271" w:lineRule="auto"/>
      <w:outlineLvl w:val="2"/>
    </w:pPr>
    <w:rPr>
      <w:rFonts w:eastAsia="MS Gothic"/>
      <w:b/>
      <w:bCs/>
      <w:color w:val="5F5F5F"/>
    </w:rPr>
  </w:style>
  <w:style w:type="paragraph" w:styleId="Nagwek4">
    <w:name w:val="heading 4"/>
    <w:basedOn w:val="Normalny"/>
    <w:next w:val="Normalny"/>
    <w:link w:val="Nagwek4Znak"/>
    <w:uiPriority w:val="99"/>
    <w:qFormat/>
    <w:rsid w:val="001535BA"/>
    <w:pPr>
      <w:spacing w:before="200"/>
      <w:outlineLvl w:val="3"/>
    </w:pPr>
    <w:rPr>
      <w:rFonts w:eastAsia="MS Gothic"/>
      <w:b/>
      <w:bCs/>
      <w:i/>
      <w:iCs/>
      <w:color w:val="777777"/>
    </w:rPr>
  </w:style>
  <w:style w:type="paragraph" w:styleId="Nagwek5">
    <w:name w:val="heading 5"/>
    <w:basedOn w:val="Normalny"/>
    <w:next w:val="Normalny"/>
    <w:link w:val="Nagwek5Znak"/>
    <w:uiPriority w:val="99"/>
    <w:qFormat/>
    <w:rsid w:val="001535BA"/>
    <w:pPr>
      <w:spacing w:before="200"/>
      <w:outlineLvl w:val="4"/>
    </w:pPr>
    <w:rPr>
      <w:rFonts w:eastAsia="MS Gothic"/>
      <w:b/>
      <w:bCs/>
      <w:color w:val="808080"/>
      <w:sz w:val="22"/>
      <w:szCs w:val="22"/>
    </w:rPr>
  </w:style>
  <w:style w:type="paragraph" w:styleId="Nagwek6">
    <w:name w:val="heading 6"/>
    <w:basedOn w:val="Normalny"/>
    <w:next w:val="Normalny"/>
    <w:link w:val="Nagwek6Znak"/>
    <w:uiPriority w:val="99"/>
    <w:qFormat/>
    <w:rsid w:val="001535BA"/>
    <w:pPr>
      <w:spacing w:line="271" w:lineRule="auto"/>
      <w:outlineLvl w:val="5"/>
    </w:pPr>
    <w:rPr>
      <w:rFonts w:eastAsia="MS Gothic"/>
      <w:b/>
      <w:bCs/>
      <w:i/>
      <w:iCs/>
      <w:color w:val="7F7F7F"/>
    </w:rPr>
  </w:style>
  <w:style w:type="paragraph" w:styleId="Nagwek7">
    <w:name w:val="heading 7"/>
    <w:basedOn w:val="Normalny"/>
    <w:next w:val="Normalny"/>
    <w:link w:val="Nagwek7Znak"/>
    <w:uiPriority w:val="99"/>
    <w:qFormat/>
    <w:rsid w:val="001535BA"/>
    <w:pPr>
      <w:outlineLvl w:val="6"/>
    </w:pPr>
    <w:rPr>
      <w:rFonts w:eastAsia="MS Gothic"/>
      <w:i/>
      <w:iCs/>
      <w:sz w:val="22"/>
      <w:szCs w:val="22"/>
    </w:rPr>
  </w:style>
  <w:style w:type="paragraph" w:styleId="Nagwek8">
    <w:name w:val="heading 8"/>
    <w:basedOn w:val="Normalny"/>
    <w:next w:val="Normalny"/>
    <w:link w:val="Nagwek8Znak"/>
    <w:uiPriority w:val="99"/>
    <w:qFormat/>
    <w:rsid w:val="001535BA"/>
    <w:pPr>
      <w:outlineLvl w:val="7"/>
    </w:pPr>
    <w:rPr>
      <w:rFonts w:eastAsia="MS Gothic"/>
      <w:sz w:val="20"/>
      <w:szCs w:val="20"/>
    </w:rPr>
  </w:style>
  <w:style w:type="paragraph" w:styleId="Nagwek9">
    <w:name w:val="heading 9"/>
    <w:basedOn w:val="Normalny"/>
    <w:next w:val="Normalny"/>
    <w:link w:val="Nagwek9Znak"/>
    <w:uiPriority w:val="99"/>
    <w:qFormat/>
    <w:rsid w:val="001535BA"/>
    <w:pPr>
      <w:outlineLvl w:val="8"/>
    </w:pPr>
    <w:rPr>
      <w:rFonts w:eastAsia="MS Gothic"/>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semiHidden/>
    <w:locked/>
    <w:rsid w:val="001535BA"/>
    <w:rPr>
      <w:rFonts w:ascii="Times New Roman" w:eastAsia="MS Gothic" w:hAnsi="Times New Roman" w:cs="Times New Roman"/>
      <w:b/>
      <w:bCs/>
      <w:color w:val="333333"/>
      <w:sz w:val="28"/>
      <w:szCs w:val="28"/>
      <w:lang w:val="pl-PL"/>
    </w:rPr>
  </w:style>
  <w:style w:type="character" w:customStyle="1" w:styleId="Nagwek2Znak">
    <w:name w:val="Nagłówek 2 Znak"/>
    <w:link w:val="Nagwek2"/>
    <w:uiPriority w:val="99"/>
    <w:semiHidden/>
    <w:locked/>
    <w:rsid w:val="001535BA"/>
    <w:rPr>
      <w:rFonts w:ascii="Times New Roman" w:eastAsia="MS Gothic" w:hAnsi="Times New Roman" w:cs="Times New Roman"/>
      <w:b/>
      <w:bCs/>
      <w:color w:val="4D4D4D"/>
      <w:sz w:val="26"/>
      <w:szCs w:val="26"/>
      <w:lang w:val="pl-PL"/>
    </w:rPr>
  </w:style>
  <w:style w:type="character" w:customStyle="1" w:styleId="Nagwek3Znak">
    <w:name w:val="Nagłówek 3 Znak"/>
    <w:link w:val="Nagwek3"/>
    <w:uiPriority w:val="99"/>
    <w:semiHidden/>
    <w:locked/>
    <w:rsid w:val="001535BA"/>
    <w:rPr>
      <w:rFonts w:ascii="Times New Roman" w:eastAsia="MS Gothic" w:hAnsi="Times New Roman" w:cs="Times New Roman"/>
      <w:b/>
      <w:bCs/>
      <w:color w:val="5F5F5F"/>
      <w:sz w:val="24"/>
      <w:szCs w:val="24"/>
      <w:lang w:val="pl-PL"/>
    </w:rPr>
  </w:style>
  <w:style w:type="character" w:customStyle="1" w:styleId="Nagwek4Znak">
    <w:name w:val="Nagłówek 4 Znak"/>
    <w:link w:val="Nagwek4"/>
    <w:uiPriority w:val="99"/>
    <w:semiHidden/>
    <w:locked/>
    <w:rsid w:val="001535BA"/>
    <w:rPr>
      <w:rFonts w:ascii="Times New Roman" w:eastAsia="MS Gothic" w:hAnsi="Times New Roman" w:cs="Times New Roman"/>
      <w:b/>
      <w:bCs/>
      <w:i/>
      <w:iCs/>
      <w:color w:val="777777"/>
      <w:sz w:val="24"/>
      <w:szCs w:val="24"/>
      <w:lang w:val="pl-PL"/>
    </w:rPr>
  </w:style>
  <w:style w:type="character" w:customStyle="1" w:styleId="Nagwek5Znak">
    <w:name w:val="Nagłówek 5 Znak"/>
    <w:link w:val="Nagwek5"/>
    <w:uiPriority w:val="99"/>
    <w:semiHidden/>
    <w:locked/>
    <w:rsid w:val="001535BA"/>
    <w:rPr>
      <w:rFonts w:ascii="Times New Roman" w:eastAsia="MS Gothic" w:hAnsi="Times New Roman" w:cs="Times New Roman"/>
      <w:b/>
      <w:bCs/>
      <w:color w:val="808080"/>
    </w:rPr>
  </w:style>
  <w:style w:type="character" w:customStyle="1" w:styleId="Nagwek6Znak">
    <w:name w:val="Nagłówek 6 Znak"/>
    <w:link w:val="Nagwek6"/>
    <w:uiPriority w:val="99"/>
    <w:semiHidden/>
    <w:locked/>
    <w:rsid w:val="001535BA"/>
    <w:rPr>
      <w:rFonts w:ascii="Times New Roman" w:eastAsia="MS Gothic" w:hAnsi="Times New Roman" w:cs="Times New Roman"/>
      <w:b/>
      <w:bCs/>
      <w:i/>
      <w:iCs/>
      <w:color w:val="7F7F7F"/>
      <w:sz w:val="24"/>
      <w:szCs w:val="24"/>
      <w:lang w:val="pl-PL"/>
    </w:rPr>
  </w:style>
  <w:style w:type="character" w:customStyle="1" w:styleId="Nagwek7Znak">
    <w:name w:val="Nagłówek 7 Znak"/>
    <w:link w:val="Nagwek7"/>
    <w:uiPriority w:val="99"/>
    <w:semiHidden/>
    <w:locked/>
    <w:rsid w:val="001535BA"/>
    <w:rPr>
      <w:rFonts w:ascii="Times New Roman" w:eastAsia="MS Gothic" w:hAnsi="Times New Roman" w:cs="Times New Roman"/>
      <w:i/>
      <w:iCs/>
    </w:rPr>
  </w:style>
  <w:style w:type="character" w:customStyle="1" w:styleId="Nagwek8Znak">
    <w:name w:val="Nagłówek 8 Znak"/>
    <w:link w:val="Nagwek8"/>
    <w:uiPriority w:val="99"/>
    <w:semiHidden/>
    <w:locked/>
    <w:rsid w:val="001535BA"/>
    <w:rPr>
      <w:rFonts w:ascii="Times New Roman" w:eastAsia="MS Gothic" w:hAnsi="Times New Roman" w:cs="Times New Roman"/>
      <w:sz w:val="20"/>
      <w:szCs w:val="20"/>
    </w:rPr>
  </w:style>
  <w:style w:type="character" w:customStyle="1" w:styleId="Nagwek9Znak">
    <w:name w:val="Nagłówek 9 Znak"/>
    <w:link w:val="Nagwek9"/>
    <w:uiPriority w:val="99"/>
    <w:semiHidden/>
    <w:locked/>
    <w:rsid w:val="001535BA"/>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1535BA"/>
    <w:rPr>
      <w:rFonts w:ascii="Tahoma" w:hAnsi="Tahoma" w:cs="Tahoma"/>
      <w:sz w:val="16"/>
      <w:szCs w:val="16"/>
    </w:rPr>
  </w:style>
  <w:style w:type="character" w:customStyle="1" w:styleId="TekstdymkaZnak">
    <w:name w:val="Tekst dymka Znak"/>
    <w:link w:val="Tekstdymka"/>
    <w:uiPriority w:val="99"/>
    <w:semiHidden/>
    <w:locked/>
    <w:rsid w:val="001535BA"/>
    <w:rPr>
      <w:rFonts w:ascii="Tahoma" w:eastAsia="MS Mincho" w:hAnsi="Tahoma" w:cs="Tahoma"/>
      <w:sz w:val="16"/>
      <w:szCs w:val="16"/>
      <w:lang w:val="pl-PL"/>
    </w:rPr>
  </w:style>
  <w:style w:type="character" w:styleId="Tytuksiki">
    <w:name w:val="Book Title"/>
    <w:uiPriority w:val="99"/>
    <w:qFormat/>
    <w:rsid w:val="001535BA"/>
    <w:rPr>
      <w:i/>
      <w:iCs/>
      <w:smallCaps/>
      <w:spacing w:val="5"/>
    </w:rPr>
  </w:style>
  <w:style w:type="paragraph" w:customStyle="1" w:styleId="ECHRHeader">
    <w:name w:val="ECHR_Header"/>
    <w:aliases w:val="Ju_Header"/>
    <w:basedOn w:val="Nagwek"/>
    <w:uiPriority w:val="99"/>
    <w:rsid w:val="001535BA"/>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Stopka"/>
    <w:uiPriority w:val="99"/>
    <w:semiHidden/>
    <w:rsid w:val="001535BA"/>
    <w:pPr>
      <w:jc w:val="left"/>
    </w:pPr>
    <w:rPr>
      <w:sz w:val="8"/>
      <w:szCs w:val="8"/>
    </w:rPr>
  </w:style>
  <w:style w:type="character" w:styleId="Pogrubienie">
    <w:name w:val="Strong"/>
    <w:uiPriority w:val="99"/>
    <w:qFormat/>
    <w:rsid w:val="001535BA"/>
    <w:rPr>
      <w:b/>
      <w:bCs/>
    </w:rPr>
  </w:style>
  <w:style w:type="paragraph" w:styleId="Bezodstpw">
    <w:name w:val="No Spacing"/>
    <w:basedOn w:val="Normalny"/>
    <w:link w:val="BezodstpwZnak"/>
    <w:uiPriority w:val="99"/>
    <w:qFormat/>
    <w:rsid w:val="001535BA"/>
    <w:rPr>
      <w:sz w:val="22"/>
      <w:szCs w:val="22"/>
    </w:rPr>
  </w:style>
  <w:style w:type="character" w:customStyle="1" w:styleId="BezodstpwZnak">
    <w:name w:val="Bez odstępów Znak"/>
    <w:link w:val="Bezodstpw"/>
    <w:uiPriority w:val="99"/>
    <w:semiHidden/>
    <w:locked/>
    <w:rsid w:val="001535BA"/>
    <w:rPr>
      <w:rFonts w:eastAsia="MS Mincho"/>
    </w:rPr>
  </w:style>
  <w:style w:type="paragraph" w:customStyle="1" w:styleId="ECHRFooterLine">
    <w:name w:val="ECHR_Footer_Line"/>
    <w:aliases w:val="Footer_Line"/>
    <w:basedOn w:val="Normalny"/>
    <w:next w:val="ECHRFooter"/>
    <w:uiPriority w:val="99"/>
    <w:semiHidden/>
    <w:rsid w:val="001535BA"/>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99"/>
    <w:semiHidden/>
    <w:rsid w:val="001535BA"/>
  </w:style>
  <w:style w:type="paragraph" w:customStyle="1" w:styleId="DecList">
    <w:name w:val="Dec_List"/>
    <w:basedOn w:val="Normalny"/>
    <w:uiPriority w:val="99"/>
    <w:semiHidden/>
    <w:rsid w:val="001535BA"/>
    <w:pPr>
      <w:spacing w:before="240"/>
      <w:ind w:left="284"/>
    </w:pPr>
  </w:style>
  <w:style w:type="paragraph" w:customStyle="1" w:styleId="JuParaSub">
    <w:name w:val="Ju_Para_Sub"/>
    <w:basedOn w:val="ECHRPara"/>
    <w:uiPriority w:val="99"/>
    <w:rsid w:val="001535BA"/>
    <w:pPr>
      <w:ind w:left="284"/>
    </w:pPr>
  </w:style>
  <w:style w:type="paragraph" w:customStyle="1" w:styleId="ECHRTitleCentre3">
    <w:name w:val="ECHR_Title_Centre_3"/>
    <w:aliases w:val="Ju_H_Article"/>
    <w:basedOn w:val="Normalny"/>
    <w:next w:val="ECHRParaQuote"/>
    <w:uiPriority w:val="99"/>
    <w:rsid w:val="001535BA"/>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1535BA"/>
    <w:pPr>
      <w:keepNext/>
      <w:keepLines/>
      <w:spacing w:after="240"/>
      <w:jc w:val="center"/>
      <w:outlineLvl w:val="0"/>
    </w:pPr>
    <w:rPr>
      <w:sz w:val="28"/>
      <w:szCs w:val="28"/>
    </w:rPr>
  </w:style>
  <w:style w:type="paragraph" w:customStyle="1" w:styleId="DummyStyle">
    <w:name w:val="Dummy_Style"/>
    <w:basedOn w:val="Normalny"/>
    <w:uiPriority w:val="99"/>
    <w:semiHidden/>
    <w:rsid w:val="001535BA"/>
    <w:rPr>
      <w:color w:val="00B050"/>
    </w:rPr>
  </w:style>
  <w:style w:type="paragraph" w:customStyle="1" w:styleId="JuAppQuestion">
    <w:name w:val="Ju_App_Question"/>
    <w:basedOn w:val="Normalny"/>
    <w:uiPriority w:val="99"/>
    <w:semiHidden/>
    <w:rsid w:val="001535BA"/>
    <w:pPr>
      <w:numPr>
        <w:numId w:val="7"/>
      </w:numPr>
      <w:tabs>
        <w:tab w:val="clear" w:pos="643"/>
        <w:tab w:val="num" w:pos="720"/>
      </w:tabs>
      <w:ind w:left="720"/>
      <w:jc w:val="left"/>
    </w:pPr>
    <w:rPr>
      <w:b/>
      <w:bCs/>
    </w:rPr>
  </w:style>
  <w:style w:type="paragraph" w:customStyle="1" w:styleId="JuCase">
    <w:name w:val="Ju_Case"/>
    <w:basedOn w:val="Normalny"/>
    <w:next w:val="ECHRPara"/>
    <w:uiPriority w:val="99"/>
    <w:rsid w:val="001535BA"/>
    <w:pPr>
      <w:ind w:firstLine="284"/>
    </w:pPr>
    <w:rPr>
      <w:b/>
      <w:bCs/>
    </w:rPr>
  </w:style>
  <w:style w:type="paragraph" w:customStyle="1" w:styleId="ECHRTitleCentre2">
    <w:name w:val="ECHR_Title_Centre_2"/>
    <w:aliases w:val="Dec_H_Case"/>
    <w:basedOn w:val="Normalny"/>
    <w:next w:val="ECHRPara"/>
    <w:uiPriority w:val="99"/>
    <w:rsid w:val="001535BA"/>
    <w:pPr>
      <w:spacing w:after="240"/>
      <w:jc w:val="center"/>
      <w:outlineLvl w:val="0"/>
    </w:pPr>
  </w:style>
  <w:style w:type="paragraph" w:customStyle="1" w:styleId="JuHeaderLandscape">
    <w:name w:val="Ju_Header_Landscape"/>
    <w:basedOn w:val="ECHRHeader"/>
    <w:uiPriority w:val="99"/>
    <w:rsid w:val="001535BA"/>
    <w:pPr>
      <w:tabs>
        <w:tab w:val="clear" w:pos="3686"/>
        <w:tab w:val="clear" w:pos="7371"/>
        <w:tab w:val="center" w:pos="6146"/>
        <w:tab w:val="right" w:pos="12293"/>
      </w:tabs>
    </w:pPr>
  </w:style>
  <w:style w:type="paragraph" w:styleId="Tytu">
    <w:name w:val="Title"/>
    <w:basedOn w:val="Normalny"/>
    <w:next w:val="Normalny"/>
    <w:link w:val="TytuZnak"/>
    <w:uiPriority w:val="99"/>
    <w:qFormat/>
    <w:rsid w:val="001535BA"/>
    <w:pPr>
      <w:pBdr>
        <w:bottom w:val="single" w:sz="4" w:space="1" w:color="auto"/>
      </w:pBdr>
    </w:pPr>
    <w:rPr>
      <w:rFonts w:eastAsia="MS Gothic"/>
      <w:spacing w:val="5"/>
      <w:sz w:val="52"/>
      <w:szCs w:val="52"/>
    </w:rPr>
  </w:style>
  <w:style w:type="character" w:customStyle="1" w:styleId="TytuZnak">
    <w:name w:val="Tytuł Znak"/>
    <w:link w:val="Tytu"/>
    <w:uiPriority w:val="99"/>
    <w:semiHidden/>
    <w:locked/>
    <w:rsid w:val="001535BA"/>
    <w:rPr>
      <w:rFonts w:ascii="Times New Roman" w:eastAsia="MS Gothic" w:hAnsi="Times New Roman" w:cs="Times New Roman"/>
      <w:spacing w:val="5"/>
      <w:sz w:val="52"/>
      <w:szCs w:val="52"/>
    </w:rPr>
  </w:style>
  <w:style w:type="paragraph" w:customStyle="1" w:styleId="ECHRHeading3">
    <w:name w:val="ECHR_Heading_3"/>
    <w:aliases w:val="Ju_H_1."/>
    <w:basedOn w:val="Nagwek3"/>
    <w:next w:val="ECHRPara"/>
    <w:uiPriority w:val="99"/>
    <w:rsid w:val="001535BA"/>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1535BA"/>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1535BA"/>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Nagwek6"/>
    <w:next w:val="ECHRPara"/>
    <w:uiPriority w:val="99"/>
    <w:rsid w:val="001535BA"/>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1535BA"/>
    <w:pPr>
      <w:keepNext/>
      <w:keepLines/>
      <w:spacing w:before="240" w:after="120"/>
      <w:ind w:left="1236"/>
    </w:pPr>
    <w:rPr>
      <w:sz w:val="20"/>
      <w:szCs w:val="20"/>
    </w:rPr>
  </w:style>
  <w:style w:type="paragraph" w:customStyle="1" w:styleId="JuQuotSub">
    <w:name w:val="Ju_Quot_Sub"/>
    <w:basedOn w:val="ECHRParaQuote"/>
    <w:uiPriority w:val="99"/>
    <w:rsid w:val="001535BA"/>
    <w:pPr>
      <w:ind w:left="567"/>
    </w:pPr>
  </w:style>
  <w:style w:type="paragraph" w:customStyle="1" w:styleId="JuInitialled">
    <w:name w:val="Ju_Initialled"/>
    <w:basedOn w:val="Normalny"/>
    <w:uiPriority w:val="99"/>
    <w:rsid w:val="001535BA"/>
    <w:pPr>
      <w:tabs>
        <w:tab w:val="center" w:pos="6407"/>
      </w:tabs>
      <w:spacing w:before="720"/>
      <w:jc w:val="right"/>
    </w:pPr>
  </w:style>
  <w:style w:type="paragraph" w:customStyle="1" w:styleId="JuCourt">
    <w:name w:val="Ju_Court"/>
    <w:basedOn w:val="Normalny"/>
    <w:next w:val="Normalny"/>
    <w:uiPriority w:val="99"/>
    <w:rsid w:val="001535BA"/>
    <w:pPr>
      <w:tabs>
        <w:tab w:val="left" w:pos="907"/>
        <w:tab w:val="left" w:pos="1701"/>
        <w:tab w:val="right" w:pos="7371"/>
      </w:tabs>
      <w:spacing w:before="240"/>
      <w:ind w:left="397" w:hanging="397"/>
      <w:jc w:val="left"/>
    </w:pPr>
  </w:style>
  <w:style w:type="paragraph" w:styleId="Nagwek">
    <w:name w:val="header"/>
    <w:basedOn w:val="Normalny"/>
    <w:link w:val="NagwekZnak"/>
    <w:uiPriority w:val="99"/>
    <w:semiHidden/>
    <w:rsid w:val="001535BA"/>
    <w:pPr>
      <w:tabs>
        <w:tab w:val="center" w:pos="4536"/>
        <w:tab w:val="right" w:pos="9072"/>
      </w:tabs>
    </w:pPr>
    <w:rPr>
      <w:rFonts w:eastAsia="Times New Roman"/>
    </w:rPr>
  </w:style>
  <w:style w:type="character" w:customStyle="1" w:styleId="NagwekZnak">
    <w:name w:val="Nagłówek Znak"/>
    <w:link w:val="Nagwek"/>
    <w:uiPriority w:val="99"/>
    <w:semiHidden/>
    <w:locked/>
    <w:rsid w:val="001535BA"/>
    <w:rPr>
      <w:sz w:val="24"/>
      <w:szCs w:val="24"/>
      <w:lang w:val="pl-PL"/>
    </w:rPr>
  </w:style>
  <w:style w:type="paragraph" w:customStyle="1" w:styleId="ECHRHeading1">
    <w:name w:val="ECHR_Heading_1"/>
    <w:aliases w:val="Ju_H_I_Roman"/>
    <w:basedOn w:val="Nagwek1"/>
    <w:next w:val="ECHRPara"/>
    <w:uiPriority w:val="99"/>
    <w:rsid w:val="001535BA"/>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1535BA"/>
    <w:pPr>
      <w:keepNext/>
      <w:keepLines/>
      <w:tabs>
        <w:tab w:val="left" w:pos="584"/>
      </w:tabs>
      <w:spacing w:before="360" w:after="240"/>
      <w:ind w:left="584" w:hanging="352"/>
    </w:pPr>
    <w:rPr>
      <w:color w:val="auto"/>
      <w:sz w:val="24"/>
      <w:szCs w:val="24"/>
    </w:rPr>
  </w:style>
  <w:style w:type="character" w:customStyle="1" w:styleId="JUNAMES">
    <w:name w:val="JU_NAMES"/>
    <w:uiPriority w:val="99"/>
    <w:rsid w:val="001535BA"/>
    <w:rPr>
      <w:smallCaps/>
    </w:rPr>
  </w:style>
  <w:style w:type="paragraph" w:customStyle="1" w:styleId="JuTitle">
    <w:name w:val="Ju_Title"/>
    <w:basedOn w:val="Normalny"/>
    <w:next w:val="ECHRPara"/>
    <w:uiPriority w:val="99"/>
    <w:semiHidden/>
    <w:rsid w:val="001535BA"/>
    <w:pPr>
      <w:spacing w:before="720" w:after="240"/>
      <w:jc w:val="center"/>
      <w:outlineLvl w:val="0"/>
    </w:pPr>
    <w:rPr>
      <w:b/>
      <w:bCs/>
      <w:caps/>
    </w:rPr>
  </w:style>
  <w:style w:type="character" w:styleId="Wyrnieniedelikatne">
    <w:name w:val="Subtle Emphasis"/>
    <w:uiPriority w:val="99"/>
    <w:qFormat/>
    <w:rsid w:val="001535BA"/>
    <w:rPr>
      <w:i/>
      <w:iCs/>
    </w:rPr>
  </w:style>
  <w:style w:type="table" w:customStyle="1" w:styleId="ECHRTable">
    <w:name w:val="ECHR_Table"/>
    <w:uiPriority w:val="99"/>
    <w:rsid w:val="00860B03"/>
    <w:rPr>
      <w:lang w:eastAsia="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lang w:eastAsia="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ny"/>
    <w:next w:val="ECHRPara"/>
    <w:uiPriority w:val="99"/>
    <w:rsid w:val="001535BA"/>
    <w:pPr>
      <w:keepNext/>
      <w:keepLines/>
      <w:spacing w:before="720" w:after="240"/>
      <w:outlineLvl w:val="0"/>
    </w:pPr>
    <w:rPr>
      <w:sz w:val="28"/>
      <w:szCs w:val="28"/>
    </w:rPr>
  </w:style>
  <w:style w:type="character" w:styleId="Uwydatnienie">
    <w:name w:val="Emphasis"/>
    <w:uiPriority w:val="99"/>
    <w:qFormat/>
    <w:rsid w:val="001535BA"/>
    <w:rPr>
      <w:b/>
      <w:bCs/>
      <w:i/>
      <w:iCs/>
      <w:spacing w:val="10"/>
      <w:shd w:val="clear" w:color="auto" w:fill="auto"/>
    </w:rPr>
  </w:style>
  <w:style w:type="paragraph" w:styleId="Stopka">
    <w:name w:val="footer"/>
    <w:basedOn w:val="Normalny"/>
    <w:link w:val="StopkaZnak"/>
    <w:uiPriority w:val="99"/>
    <w:semiHidden/>
    <w:rsid w:val="001535BA"/>
    <w:pPr>
      <w:tabs>
        <w:tab w:val="center" w:pos="4536"/>
        <w:tab w:val="right" w:pos="9696"/>
      </w:tabs>
      <w:ind w:left="-680" w:right="-680"/>
    </w:pPr>
    <w:rPr>
      <w:rFonts w:eastAsia="Times New Roman"/>
    </w:rPr>
  </w:style>
  <w:style w:type="character" w:customStyle="1" w:styleId="StopkaZnak">
    <w:name w:val="Stopka Znak"/>
    <w:link w:val="Stopka"/>
    <w:uiPriority w:val="99"/>
    <w:semiHidden/>
    <w:locked/>
    <w:rsid w:val="001535BA"/>
    <w:rPr>
      <w:sz w:val="24"/>
      <w:szCs w:val="24"/>
      <w:lang w:val="pl-PL"/>
    </w:rPr>
  </w:style>
  <w:style w:type="character" w:styleId="Odwoanieprzypisudolnego">
    <w:name w:val="footnote reference"/>
    <w:uiPriority w:val="99"/>
    <w:semiHidden/>
    <w:rsid w:val="001535BA"/>
    <w:rPr>
      <w:vertAlign w:val="superscript"/>
    </w:rPr>
  </w:style>
  <w:style w:type="paragraph" w:styleId="Tekstprzypisudolnego">
    <w:name w:val="footnote text"/>
    <w:basedOn w:val="Normalny"/>
    <w:link w:val="TekstprzypisudolnegoZnak"/>
    <w:uiPriority w:val="99"/>
    <w:semiHidden/>
    <w:rsid w:val="001535BA"/>
    <w:rPr>
      <w:sz w:val="20"/>
      <w:szCs w:val="20"/>
    </w:rPr>
  </w:style>
  <w:style w:type="character" w:customStyle="1" w:styleId="TekstprzypisudolnegoZnak">
    <w:name w:val="Tekst przypisu dolnego Znak"/>
    <w:link w:val="Tekstprzypisudolnego"/>
    <w:uiPriority w:val="99"/>
    <w:semiHidden/>
    <w:locked/>
    <w:rsid w:val="001535BA"/>
    <w:rPr>
      <w:rFonts w:eastAsia="MS Mincho"/>
      <w:sz w:val="20"/>
      <w:szCs w:val="20"/>
      <w:lang w:val="pl-PL"/>
    </w:rPr>
  </w:style>
  <w:style w:type="character" w:styleId="Hipercze">
    <w:name w:val="Hyperlink"/>
    <w:uiPriority w:val="99"/>
    <w:semiHidden/>
    <w:rsid w:val="001535BA"/>
    <w:rPr>
      <w:color w:val="0072BC"/>
      <w:u w:val="single"/>
    </w:rPr>
  </w:style>
  <w:style w:type="character" w:styleId="Wyrnienieintensywne">
    <w:name w:val="Intense Emphasis"/>
    <w:uiPriority w:val="99"/>
    <w:qFormat/>
    <w:rsid w:val="001535BA"/>
    <w:rPr>
      <w:b/>
      <w:bCs/>
    </w:rPr>
  </w:style>
  <w:style w:type="paragraph" w:styleId="Cytatintensywny">
    <w:name w:val="Intense Quote"/>
    <w:basedOn w:val="Normalny"/>
    <w:next w:val="Normalny"/>
    <w:link w:val="CytatintensywnyZnak"/>
    <w:uiPriority w:val="99"/>
    <w:qFormat/>
    <w:rsid w:val="001535BA"/>
    <w:pPr>
      <w:pBdr>
        <w:bottom w:val="single" w:sz="4" w:space="1" w:color="auto"/>
      </w:pBdr>
      <w:spacing w:before="200" w:after="280"/>
      <w:ind w:left="1008" w:right="1152"/>
    </w:pPr>
    <w:rPr>
      <w:b/>
      <w:bCs/>
      <w:i/>
      <w:iCs/>
      <w:sz w:val="22"/>
      <w:szCs w:val="22"/>
    </w:rPr>
  </w:style>
  <w:style w:type="character" w:customStyle="1" w:styleId="CytatintensywnyZnak">
    <w:name w:val="Cytat intensywny Znak"/>
    <w:link w:val="Cytatintensywny"/>
    <w:uiPriority w:val="99"/>
    <w:semiHidden/>
    <w:locked/>
    <w:rsid w:val="001535BA"/>
    <w:rPr>
      <w:rFonts w:eastAsia="MS Mincho"/>
      <w:b/>
      <w:bCs/>
      <w:i/>
      <w:iCs/>
    </w:rPr>
  </w:style>
  <w:style w:type="character" w:styleId="Odwoanieintensywne">
    <w:name w:val="Intense Reference"/>
    <w:uiPriority w:val="99"/>
    <w:qFormat/>
    <w:rsid w:val="001535BA"/>
    <w:rPr>
      <w:smallCaps/>
      <w:spacing w:val="5"/>
      <w:u w:val="single"/>
    </w:rPr>
  </w:style>
  <w:style w:type="paragraph" w:styleId="Akapitzlist">
    <w:name w:val="List Paragraph"/>
    <w:basedOn w:val="Normalny"/>
    <w:uiPriority w:val="99"/>
    <w:qFormat/>
    <w:rsid w:val="001535BA"/>
    <w:pPr>
      <w:ind w:left="720"/>
    </w:pPr>
  </w:style>
  <w:style w:type="table" w:customStyle="1" w:styleId="LtrTableAddress">
    <w:name w:val="Ltr_Table_Address"/>
    <w:uiPriority w:val="99"/>
    <w:rsid w:val="001E6F32"/>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1535BA"/>
    <w:pPr>
      <w:spacing w:before="200"/>
      <w:ind w:left="360" w:right="360"/>
    </w:pPr>
    <w:rPr>
      <w:i/>
      <w:iCs/>
      <w:sz w:val="22"/>
      <w:szCs w:val="22"/>
    </w:rPr>
  </w:style>
  <w:style w:type="character" w:customStyle="1" w:styleId="CytatZnak">
    <w:name w:val="Cytat Znak"/>
    <w:link w:val="Cytat"/>
    <w:uiPriority w:val="99"/>
    <w:semiHidden/>
    <w:locked/>
    <w:rsid w:val="001535BA"/>
    <w:rPr>
      <w:rFonts w:eastAsia="MS Mincho"/>
      <w:i/>
      <w:iCs/>
    </w:rPr>
  </w:style>
  <w:style w:type="character" w:styleId="Odwoaniedelikatne">
    <w:name w:val="Subtle Reference"/>
    <w:uiPriority w:val="99"/>
    <w:qFormat/>
    <w:rsid w:val="001535BA"/>
    <w:rPr>
      <w:smallCaps/>
    </w:rPr>
  </w:style>
  <w:style w:type="table" w:styleId="Tabela-Siatka">
    <w:name w:val="Table Grid"/>
    <w:basedOn w:val="Standardowy"/>
    <w:uiPriority w:val="99"/>
    <w:semiHidden/>
    <w:rsid w:val="001535B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1535BA"/>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1535BA"/>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1535BA"/>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1535BA"/>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1535BA"/>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1535BA"/>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lang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lang w:eastAsia="en-GB"/>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lang w:eastAsia="en-GB"/>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lang w:eastAsia="en-GB"/>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1535BA"/>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ny"/>
    <w:uiPriority w:val="99"/>
    <w:rsid w:val="001535BA"/>
    <w:pPr>
      <w:spacing w:before="120" w:after="120"/>
      <w:ind w:left="425" w:firstLine="142"/>
    </w:pPr>
    <w:rPr>
      <w:sz w:val="20"/>
      <w:szCs w:val="20"/>
    </w:rPr>
  </w:style>
  <w:style w:type="paragraph" w:customStyle="1" w:styleId="ECHRPara">
    <w:name w:val="ECHR_Para"/>
    <w:aliases w:val="Ju_Para,_Para,Left,First line:  0 cm,Para,N_Para,Ju_Para + Interligne : Double"/>
    <w:basedOn w:val="Normalny"/>
    <w:link w:val="ECHRParaChar"/>
    <w:uiPriority w:val="99"/>
    <w:rsid w:val="001535BA"/>
    <w:pPr>
      <w:ind w:firstLine="284"/>
    </w:pPr>
    <w:rPr>
      <w:lang w:eastAsia="pl-PL"/>
    </w:rPr>
  </w:style>
  <w:style w:type="table" w:customStyle="1" w:styleId="ECHRTableSimpleBox">
    <w:name w:val="ECHR_Table_Simple_Box"/>
    <w:uiPriority w:val="99"/>
    <w:rsid w:val="00AE354C"/>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lang w:eastAsia="en-GB"/>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lang w:eastAsia="en-GB"/>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1535BA"/>
    <w:rPr>
      <w:lang w:eastAsia="en-GB"/>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lang w:eastAsia="en-GB"/>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lang w:eastAsia="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ny"/>
    <w:uiPriority w:val="99"/>
    <w:rsid w:val="001535BA"/>
    <w:pPr>
      <w:tabs>
        <w:tab w:val="left" w:pos="567"/>
        <w:tab w:val="left" w:pos="1134"/>
      </w:tabs>
      <w:jc w:val="left"/>
    </w:pPr>
  </w:style>
  <w:style w:type="table" w:customStyle="1" w:styleId="ECHRHeaderTableReduced">
    <w:name w:val="ECHR_Header_Table_Reduced"/>
    <w:uiPriority w:val="99"/>
    <w:rsid w:val="00B52BE0"/>
    <w:rPr>
      <w:lang w:eastAsia="en-GB"/>
    </w:rPr>
    <w:tblPr>
      <w:tblCellMar>
        <w:top w:w="0" w:type="dxa"/>
        <w:left w:w="0" w:type="dxa"/>
        <w:bottom w:w="0" w:type="dxa"/>
        <w:right w:w="0" w:type="dxa"/>
      </w:tblCellMar>
    </w:tblPr>
  </w:style>
  <w:style w:type="paragraph" w:customStyle="1" w:styleId="JuList">
    <w:name w:val="Ju_List"/>
    <w:basedOn w:val="Normalny"/>
    <w:uiPriority w:val="99"/>
    <w:rsid w:val="001535BA"/>
    <w:pPr>
      <w:ind w:left="340" w:hanging="340"/>
    </w:pPr>
  </w:style>
  <w:style w:type="paragraph" w:customStyle="1" w:styleId="JuSigned">
    <w:name w:val="Ju_Signed"/>
    <w:basedOn w:val="Normalny"/>
    <w:next w:val="JuParaLast"/>
    <w:uiPriority w:val="99"/>
    <w:rsid w:val="001535BA"/>
    <w:pPr>
      <w:tabs>
        <w:tab w:val="center" w:pos="851"/>
        <w:tab w:val="center" w:pos="6407"/>
      </w:tabs>
      <w:spacing w:before="720"/>
      <w:jc w:val="left"/>
    </w:pPr>
  </w:style>
  <w:style w:type="paragraph" w:customStyle="1" w:styleId="JuParaLast">
    <w:name w:val="Ju_Para_Last"/>
    <w:basedOn w:val="Normalny"/>
    <w:next w:val="ECHRPara"/>
    <w:uiPriority w:val="99"/>
    <w:rsid w:val="001535BA"/>
    <w:pPr>
      <w:keepNext/>
      <w:keepLines/>
      <w:spacing w:before="240"/>
      <w:ind w:firstLine="284"/>
    </w:pPr>
  </w:style>
  <w:style w:type="paragraph" w:customStyle="1" w:styleId="OpiH1">
    <w:name w:val="Opi_H_1"/>
    <w:basedOn w:val="ECHRHeading2"/>
    <w:uiPriority w:val="99"/>
    <w:rsid w:val="001535BA"/>
    <w:pPr>
      <w:ind w:left="635" w:hanging="357"/>
      <w:outlineLvl w:val="2"/>
    </w:pPr>
  </w:style>
  <w:style w:type="character" w:styleId="Numerstrony">
    <w:name w:val="page number"/>
    <w:uiPriority w:val="99"/>
    <w:semiHidden/>
    <w:rsid w:val="00014566"/>
    <w:rPr>
      <w:sz w:val="18"/>
      <w:szCs w:val="18"/>
    </w:rPr>
  </w:style>
  <w:style w:type="paragraph" w:customStyle="1" w:styleId="JuLista">
    <w:name w:val="Ju_List_a"/>
    <w:basedOn w:val="JuList"/>
    <w:uiPriority w:val="99"/>
    <w:rsid w:val="001535BA"/>
    <w:pPr>
      <w:ind w:left="346" w:firstLine="0"/>
    </w:pPr>
  </w:style>
  <w:style w:type="paragraph" w:customStyle="1" w:styleId="JuListi">
    <w:name w:val="Ju_List_i"/>
    <w:basedOn w:val="Normalny"/>
    <w:next w:val="JuLista"/>
    <w:uiPriority w:val="99"/>
    <w:rsid w:val="001535BA"/>
    <w:pPr>
      <w:ind w:left="794"/>
    </w:pPr>
  </w:style>
  <w:style w:type="character" w:styleId="Odwoaniedokomentarza">
    <w:name w:val="annotation reference"/>
    <w:uiPriority w:val="99"/>
    <w:semiHidden/>
    <w:rsid w:val="00014566"/>
    <w:rPr>
      <w:sz w:val="16"/>
      <w:szCs w:val="16"/>
    </w:rPr>
  </w:style>
  <w:style w:type="paragraph" w:styleId="Tekstkomentarza">
    <w:name w:val="annotation text"/>
    <w:basedOn w:val="Normalny"/>
    <w:link w:val="TekstkomentarzaZnak"/>
    <w:uiPriority w:val="99"/>
    <w:semiHidden/>
    <w:rsid w:val="00014566"/>
    <w:rPr>
      <w:sz w:val="20"/>
      <w:szCs w:val="20"/>
    </w:rPr>
  </w:style>
  <w:style w:type="character" w:customStyle="1" w:styleId="TekstkomentarzaZnak">
    <w:name w:val="Tekst komentarza Znak"/>
    <w:link w:val="Tekstkomentarza"/>
    <w:uiPriority w:val="99"/>
    <w:semiHidden/>
    <w:locked/>
    <w:rsid w:val="00014566"/>
    <w:rPr>
      <w:rFonts w:eastAsia="MS Mincho"/>
      <w:sz w:val="20"/>
      <w:szCs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link w:val="Tematkomentarza"/>
    <w:uiPriority w:val="99"/>
    <w:semiHidden/>
    <w:locked/>
    <w:rsid w:val="00014566"/>
    <w:rPr>
      <w:rFonts w:eastAsia="MS Mincho"/>
      <w:b/>
      <w:bCs/>
      <w:sz w:val="20"/>
      <w:szCs w:val="20"/>
    </w:rPr>
  </w:style>
  <w:style w:type="character" w:styleId="Odwoanieprzypisukocowego">
    <w:name w:val="endnote reference"/>
    <w:uiPriority w:val="99"/>
    <w:semiHidden/>
    <w:rsid w:val="001535BA"/>
    <w:rPr>
      <w:vertAlign w:val="superscript"/>
    </w:rPr>
  </w:style>
  <w:style w:type="paragraph" w:styleId="Tekstprzypisukocowego">
    <w:name w:val="endnote text"/>
    <w:basedOn w:val="Normalny"/>
    <w:link w:val="TekstprzypisukocowegoZnak"/>
    <w:uiPriority w:val="99"/>
    <w:semiHidden/>
    <w:rsid w:val="001535BA"/>
    <w:rPr>
      <w:sz w:val="20"/>
      <w:szCs w:val="20"/>
    </w:rPr>
  </w:style>
  <w:style w:type="character" w:customStyle="1" w:styleId="TekstprzypisukocowegoZnak">
    <w:name w:val="Tekst przypisu końcowego Znak"/>
    <w:link w:val="Tekstprzypisukocowego"/>
    <w:uiPriority w:val="99"/>
    <w:semiHidden/>
    <w:locked/>
    <w:rsid w:val="001535BA"/>
    <w:rPr>
      <w:rFonts w:eastAsia="MS Mincho"/>
      <w:sz w:val="20"/>
      <w:szCs w:val="20"/>
      <w:lang w:val="pl-PL"/>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014566"/>
    <w:rPr>
      <w:rFonts w:ascii="Tahoma" w:eastAsia="MS Mincho" w:hAnsi="Tahoma" w:cs="Tahoma"/>
      <w:sz w:val="20"/>
      <w:szCs w:val="20"/>
      <w:shd w:val="clear" w:color="auto" w:fill="000080"/>
    </w:rPr>
  </w:style>
  <w:style w:type="paragraph" w:customStyle="1" w:styleId="OpiHa">
    <w:name w:val="Opi_H_a"/>
    <w:basedOn w:val="ECHRHeading3"/>
    <w:uiPriority w:val="99"/>
    <w:rsid w:val="001535BA"/>
    <w:pPr>
      <w:ind w:left="833" w:hanging="357"/>
      <w:outlineLvl w:val="3"/>
    </w:pPr>
    <w:rPr>
      <w:b/>
      <w:bCs/>
      <w:i w:val="0"/>
      <w:iCs w:val="0"/>
      <w:sz w:val="20"/>
      <w:szCs w:val="20"/>
    </w:rPr>
  </w:style>
  <w:style w:type="paragraph" w:styleId="Listapunktowana">
    <w:name w:val="List Bullet"/>
    <w:basedOn w:val="Normalny"/>
    <w:uiPriority w:val="99"/>
    <w:semiHidden/>
    <w:rsid w:val="00014566"/>
    <w:pPr>
      <w:numPr>
        <w:numId w:val="18"/>
      </w:numPr>
    </w:pPr>
  </w:style>
  <w:style w:type="character" w:customStyle="1" w:styleId="JuITMark">
    <w:name w:val="Ju_ITMark"/>
    <w:uiPriority w:val="99"/>
    <w:rsid w:val="001535BA"/>
    <w:rPr>
      <w:color w:val="auto"/>
      <w:sz w:val="14"/>
      <w:szCs w:val="14"/>
      <w:shd w:val="clear" w:color="auto" w:fill="BEE5FF"/>
    </w:rPr>
  </w:style>
  <w:style w:type="paragraph" w:styleId="Podtytu">
    <w:name w:val="Subtitle"/>
    <w:basedOn w:val="Normalny"/>
    <w:next w:val="Normalny"/>
    <w:link w:val="PodtytuZnak"/>
    <w:uiPriority w:val="99"/>
    <w:qFormat/>
    <w:rsid w:val="001535BA"/>
    <w:pPr>
      <w:spacing w:after="600"/>
    </w:pPr>
    <w:rPr>
      <w:rFonts w:eastAsia="MS Gothic"/>
      <w:i/>
      <w:iCs/>
      <w:spacing w:val="13"/>
    </w:rPr>
  </w:style>
  <w:style w:type="character" w:customStyle="1" w:styleId="PodtytuZnak">
    <w:name w:val="Podtytuł Znak"/>
    <w:link w:val="Podtytu"/>
    <w:uiPriority w:val="99"/>
    <w:semiHidden/>
    <w:locked/>
    <w:rsid w:val="001535BA"/>
    <w:rPr>
      <w:rFonts w:ascii="Times New Roman" w:eastAsia="MS Gothic" w:hAnsi="Times New Roman" w:cs="Times New Roman"/>
      <w:i/>
      <w:iCs/>
      <w:spacing w:val="13"/>
      <w:sz w:val="24"/>
      <w:szCs w:val="24"/>
    </w:rPr>
  </w:style>
  <w:style w:type="paragraph" w:styleId="Bibliografia">
    <w:name w:val="Bibliography"/>
    <w:basedOn w:val="Normalny"/>
    <w:next w:val="Normalny"/>
    <w:uiPriority w:val="99"/>
    <w:semiHidden/>
    <w:rsid w:val="00014566"/>
  </w:style>
  <w:style w:type="paragraph" w:styleId="Tekstblokowy">
    <w:name w:val="Block Text"/>
    <w:basedOn w:val="Normalny"/>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link w:val="Tekstpodstawowy"/>
    <w:uiPriority w:val="99"/>
    <w:semiHidden/>
    <w:locked/>
    <w:rsid w:val="00014566"/>
    <w:rPr>
      <w:rFonts w:eastAsia="MS Mincho"/>
      <w:sz w:val="24"/>
      <w:szCs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link w:val="Tekstpodstawowy2"/>
    <w:uiPriority w:val="99"/>
    <w:semiHidden/>
    <w:locked/>
    <w:rsid w:val="00014566"/>
    <w:rPr>
      <w:rFonts w:eastAsia="MS Mincho"/>
      <w:sz w:val="24"/>
      <w:szCs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link w:val="Tekstpodstawowy3"/>
    <w:uiPriority w:val="99"/>
    <w:semiHidden/>
    <w:locked/>
    <w:rsid w:val="00014566"/>
    <w:rPr>
      <w:rFonts w:eastAsia="MS Mincho"/>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link w:val="Tekstpodstawowyzwciciem"/>
    <w:uiPriority w:val="99"/>
    <w:semiHidden/>
    <w:locked/>
    <w:rsid w:val="00014566"/>
    <w:rPr>
      <w:rFonts w:eastAsia="MS Mincho"/>
      <w:sz w:val="24"/>
      <w:szCs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link w:val="Tekstpodstawowywcity"/>
    <w:uiPriority w:val="99"/>
    <w:semiHidden/>
    <w:locked/>
    <w:rsid w:val="00014566"/>
    <w:rPr>
      <w:rFonts w:eastAsia="MS Mincho"/>
      <w:sz w:val="24"/>
      <w:szCs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link w:val="Tekstpodstawowyzwciciem2"/>
    <w:uiPriority w:val="99"/>
    <w:semiHidden/>
    <w:locked/>
    <w:rsid w:val="00014566"/>
    <w:rPr>
      <w:rFonts w:eastAsia="MS Mincho"/>
      <w:sz w:val="24"/>
      <w:szCs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link w:val="Tekstpodstawowywcity2"/>
    <w:uiPriority w:val="99"/>
    <w:semiHidden/>
    <w:locked/>
    <w:rsid w:val="00014566"/>
    <w:rPr>
      <w:rFonts w:eastAsia="MS Mincho"/>
      <w:sz w:val="24"/>
      <w:szCs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14566"/>
    <w:rPr>
      <w:rFonts w:eastAsia="MS Mincho"/>
      <w:sz w:val="16"/>
      <w:szCs w:val="16"/>
    </w:rPr>
  </w:style>
  <w:style w:type="paragraph" w:styleId="Legenda">
    <w:name w:val="caption"/>
    <w:basedOn w:val="Normalny"/>
    <w:next w:val="Normalny"/>
    <w:uiPriority w:val="99"/>
    <w:qFormat/>
    <w:rsid w:val="00014566"/>
    <w:pPr>
      <w:spacing w:after="200"/>
    </w:pPr>
    <w:rPr>
      <w:b/>
      <w:bCs/>
      <w:color w:val="0072BC"/>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link w:val="Zwrotpoegnalny"/>
    <w:uiPriority w:val="99"/>
    <w:semiHidden/>
    <w:locked/>
    <w:rsid w:val="00014566"/>
    <w:rPr>
      <w:rFonts w:eastAsia="MS Mincho"/>
      <w:sz w:val="24"/>
      <w:szCs w:val="24"/>
    </w:rPr>
  </w:style>
  <w:style w:type="table" w:styleId="Kolorowasiatka">
    <w:name w:val="Colorful Grid"/>
    <w:basedOn w:val="Standardowy"/>
    <w:uiPriority w:val="99"/>
    <w:semiHidden/>
    <w:rsid w:val="00014566"/>
    <w:rPr>
      <w:color w:val="000000"/>
      <w:lang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014566"/>
    <w:rPr>
      <w:color w:val="000000"/>
      <w:lang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014566"/>
    <w:rPr>
      <w:color w:val="000000"/>
      <w:lang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014566"/>
    <w:rPr>
      <w:color w:val="00000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014566"/>
    <w:rPr>
      <w:color w:val="000000"/>
      <w:lang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014566"/>
    <w:rPr>
      <w:color w:val="00000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014566"/>
    <w:rPr>
      <w:color w:val="000000"/>
      <w:lang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014566"/>
    <w:rPr>
      <w:color w:val="000000"/>
      <w:lang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014566"/>
    <w:rPr>
      <w:color w:val="000000"/>
      <w:lang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014566"/>
    <w:rPr>
      <w:color w:val="000000"/>
      <w:lang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014566"/>
    <w:rPr>
      <w:color w:val="00000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014566"/>
    <w:rPr>
      <w:color w:val="000000"/>
      <w:lang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014566"/>
    <w:rPr>
      <w:color w:val="00000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014566"/>
    <w:rPr>
      <w:color w:val="000000"/>
      <w:lang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014566"/>
    <w:rPr>
      <w:color w:val="000000"/>
      <w:lang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014566"/>
    <w:rPr>
      <w:color w:val="000000"/>
      <w:lang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014566"/>
    <w:rPr>
      <w:color w:val="000000"/>
      <w:lang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014566"/>
    <w:rPr>
      <w:color w:val="000000"/>
      <w:lang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014566"/>
    <w:rPr>
      <w:color w:val="000000"/>
      <w:lang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014566"/>
    <w:rPr>
      <w:color w:val="000000"/>
      <w:lang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014566"/>
    <w:rPr>
      <w:color w:val="000000"/>
      <w:lang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Ciemnalista">
    <w:name w:val="Dark List"/>
    <w:basedOn w:val="Standardowy"/>
    <w:uiPriority w:val="99"/>
    <w:semiHidden/>
    <w:rsid w:val="00014566"/>
    <w:rPr>
      <w:color w:val="0072BC"/>
      <w:lang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014566"/>
    <w:rPr>
      <w:color w:val="0072BC"/>
      <w:lang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014566"/>
    <w:rPr>
      <w:color w:val="0072BC"/>
      <w:lang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014566"/>
    <w:rPr>
      <w:color w:val="0072BC"/>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014566"/>
    <w:rPr>
      <w:color w:val="0072BC"/>
      <w:lang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014566"/>
    <w:rPr>
      <w:color w:val="0072BC"/>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014566"/>
    <w:rPr>
      <w:color w:val="0072BC"/>
      <w:lang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014566"/>
  </w:style>
  <w:style w:type="character" w:customStyle="1" w:styleId="DataZnak">
    <w:name w:val="Data Znak"/>
    <w:link w:val="Data"/>
    <w:uiPriority w:val="99"/>
    <w:semiHidden/>
    <w:locked/>
    <w:rsid w:val="00014566"/>
    <w:rPr>
      <w:rFonts w:eastAsia="MS Mincho"/>
      <w:sz w:val="24"/>
      <w:szCs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link w:val="Podpise-mail"/>
    <w:uiPriority w:val="99"/>
    <w:semiHidden/>
    <w:locked/>
    <w:rsid w:val="00014566"/>
    <w:rPr>
      <w:rFonts w:eastAsia="MS Mincho"/>
      <w:sz w:val="24"/>
      <w:szCs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014566"/>
    <w:rPr>
      <w:rFonts w:eastAsia="MS Gothic"/>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link w:val="HTML-adres"/>
    <w:uiPriority w:val="99"/>
    <w:semiHidden/>
    <w:locked/>
    <w:rsid w:val="00014566"/>
    <w:rPr>
      <w:rFonts w:eastAsia="MS Mincho"/>
      <w:i/>
      <w:iCs/>
      <w:sz w:val="24"/>
      <w:szCs w:val="24"/>
    </w:rPr>
  </w:style>
  <w:style w:type="character" w:styleId="HTML-cytat">
    <w:name w:val="HTML Cite"/>
    <w:uiPriority w:val="99"/>
    <w:semiHidden/>
    <w:rsid w:val="00014566"/>
    <w:rPr>
      <w:i/>
      <w:iCs/>
    </w:rPr>
  </w:style>
  <w:style w:type="character" w:styleId="HTML-kod">
    <w:name w:val="HTML Code"/>
    <w:uiPriority w:val="99"/>
    <w:semiHidden/>
    <w:rsid w:val="00014566"/>
    <w:rPr>
      <w:rFonts w:ascii="Consolas" w:hAnsi="Consolas" w:cs="Consolas"/>
      <w:sz w:val="20"/>
      <w:szCs w:val="20"/>
    </w:rPr>
  </w:style>
  <w:style w:type="character" w:styleId="HTML-definicja">
    <w:name w:val="HTML Definition"/>
    <w:uiPriority w:val="99"/>
    <w:semiHidden/>
    <w:rsid w:val="00014566"/>
    <w:rPr>
      <w:i/>
      <w:iCs/>
    </w:rPr>
  </w:style>
  <w:style w:type="character" w:styleId="HTML-klawiatura">
    <w:name w:val="HTML Keyboard"/>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link w:val="HTML-wstpniesformatowany"/>
    <w:uiPriority w:val="99"/>
    <w:semiHidden/>
    <w:locked/>
    <w:rsid w:val="00014566"/>
    <w:rPr>
      <w:rFonts w:ascii="Consolas" w:eastAsia="MS Mincho" w:hAnsi="Consolas" w:cs="Consolas"/>
      <w:sz w:val="20"/>
      <w:szCs w:val="20"/>
    </w:rPr>
  </w:style>
  <w:style w:type="character" w:styleId="HTML-przykad">
    <w:name w:val="HTML Sample"/>
    <w:uiPriority w:val="99"/>
    <w:semiHidden/>
    <w:rsid w:val="00014566"/>
    <w:rPr>
      <w:rFonts w:ascii="Consolas" w:hAnsi="Consolas" w:cs="Consolas"/>
      <w:sz w:val="24"/>
      <w:szCs w:val="24"/>
    </w:rPr>
  </w:style>
  <w:style w:type="character" w:styleId="HTML-staaszeroko">
    <w:name w:val="HTML Typewriter"/>
    <w:uiPriority w:val="99"/>
    <w:semiHidden/>
    <w:rsid w:val="00014566"/>
    <w:rPr>
      <w:rFonts w:ascii="Consolas" w:hAnsi="Consolas" w:cs="Consolas"/>
      <w:sz w:val="20"/>
      <w:szCs w:val="20"/>
    </w:rPr>
  </w:style>
  <w:style w:type="character" w:styleId="HTML-zmienna">
    <w:name w:val="HTML Variable"/>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eastAsia="MS Gothic"/>
      <w:b/>
      <w:bCs/>
    </w:rPr>
  </w:style>
  <w:style w:type="table" w:styleId="Jasnasiatka">
    <w:name w:val="Light Grid"/>
    <w:basedOn w:val="Standardowy"/>
    <w:uiPriority w:val="99"/>
    <w:semiHidden/>
    <w:rsid w:val="00014566"/>
    <w:rPr>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014566"/>
    <w:rPr>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014566"/>
    <w:rPr>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014566"/>
    <w:rPr>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014566"/>
    <w:rPr>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014566"/>
    <w:rPr>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014566"/>
    <w:rPr>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014566"/>
    <w:rPr>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014566"/>
    <w:rPr>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014566"/>
    <w:rPr>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014566"/>
    <w:rPr>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014566"/>
    <w:rPr>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014566"/>
    <w:rPr>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014566"/>
    <w:rPr>
      <w:color w:val="00548C"/>
      <w:lang w:eastAsia="fr-FR"/>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014566"/>
    <w:rPr>
      <w:color w:val="8F0000"/>
      <w:lang w:eastAsia="fr-FR"/>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014566"/>
    <w:rPr>
      <w:color w:val="474747"/>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014566"/>
    <w:rPr>
      <w:color w:val="707070"/>
      <w:lang w:eastAsia="fr-FR"/>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014566"/>
    <w:rPr>
      <w:color w:val="474747"/>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014566"/>
    <w:rPr>
      <w:color w:val="393939"/>
      <w:lang w:eastAsia="fr-FR"/>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pPr>
  </w:style>
  <w:style w:type="paragraph" w:styleId="Lista2">
    <w:name w:val="List 2"/>
    <w:basedOn w:val="Normalny"/>
    <w:uiPriority w:val="99"/>
    <w:semiHidden/>
    <w:rsid w:val="00014566"/>
    <w:pPr>
      <w:ind w:left="566" w:hanging="283"/>
    </w:pPr>
  </w:style>
  <w:style w:type="paragraph" w:styleId="Lista3">
    <w:name w:val="List 3"/>
    <w:basedOn w:val="Normalny"/>
    <w:uiPriority w:val="99"/>
    <w:semiHidden/>
    <w:rsid w:val="00014566"/>
    <w:pPr>
      <w:ind w:left="849" w:hanging="283"/>
    </w:pPr>
  </w:style>
  <w:style w:type="paragraph" w:styleId="Lista4">
    <w:name w:val="List 4"/>
    <w:basedOn w:val="Normalny"/>
    <w:uiPriority w:val="99"/>
    <w:semiHidden/>
    <w:rsid w:val="00014566"/>
    <w:pPr>
      <w:ind w:left="1132" w:hanging="283"/>
    </w:pPr>
  </w:style>
  <w:style w:type="paragraph" w:styleId="Lista5">
    <w:name w:val="List 5"/>
    <w:basedOn w:val="Normalny"/>
    <w:uiPriority w:val="99"/>
    <w:semiHidden/>
    <w:rsid w:val="00014566"/>
    <w:pPr>
      <w:ind w:left="1415" w:hanging="283"/>
    </w:pPr>
  </w:style>
  <w:style w:type="paragraph" w:styleId="Listapunktowana2">
    <w:name w:val="List Bullet 2"/>
    <w:basedOn w:val="Normalny"/>
    <w:uiPriority w:val="99"/>
    <w:semiHidden/>
    <w:rsid w:val="00014566"/>
    <w:pPr>
      <w:numPr>
        <w:numId w:val="1"/>
      </w:numPr>
      <w:tabs>
        <w:tab w:val="clear" w:pos="360"/>
        <w:tab w:val="num" w:pos="643"/>
      </w:tabs>
      <w:ind w:left="643"/>
    </w:pPr>
  </w:style>
  <w:style w:type="paragraph" w:styleId="Listapunktowana3">
    <w:name w:val="List Bullet 3"/>
    <w:basedOn w:val="Normalny"/>
    <w:uiPriority w:val="99"/>
    <w:semiHidden/>
    <w:rsid w:val="00014566"/>
    <w:pPr>
      <w:numPr>
        <w:numId w:val="2"/>
      </w:numPr>
      <w:tabs>
        <w:tab w:val="clear" w:pos="643"/>
        <w:tab w:val="num" w:pos="926"/>
      </w:tabs>
      <w:ind w:left="926"/>
    </w:pPr>
  </w:style>
  <w:style w:type="paragraph" w:styleId="Listapunktowana4">
    <w:name w:val="List Bullet 4"/>
    <w:basedOn w:val="Normalny"/>
    <w:uiPriority w:val="99"/>
    <w:semiHidden/>
    <w:rsid w:val="00014566"/>
    <w:pPr>
      <w:numPr>
        <w:numId w:val="3"/>
      </w:numPr>
      <w:tabs>
        <w:tab w:val="clear" w:pos="926"/>
        <w:tab w:val="num" w:pos="1209"/>
      </w:tabs>
      <w:ind w:left="1209"/>
    </w:pPr>
  </w:style>
  <w:style w:type="paragraph" w:styleId="Listapunktowana5">
    <w:name w:val="List Bullet 5"/>
    <w:basedOn w:val="Normalny"/>
    <w:uiPriority w:val="99"/>
    <w:semiHidden/>
    <w:rsid w:val="00014566"/>
    <w:pPr>
      <w:numPr>
        <w:numId w:val="4"/>
      </w:numPr>
      <w:tabs>
        <w:tab w:val="clear" w:pos="1209"/>
        <w:tab w:val="num" w:pos="1492"/>
      </w:tabs>
      <w:ind w:left="1492"/>
    </w:pPr>
  </w:style>
  <w:style w:type="paragraph" w:styleId="Lista-kontynuacja">
    <w:name w:val="List Continue"/>
    <w:basedOn w:val="Normalny"/>
    <w:uiPriority w:val="99"/>
    <w:semiHidden/>
    <w:rsid w:val="00014566"/>
    <w:pPr>
      <w:spacing w:after="120"/>
      <w:ind w:left="283"/>
    </w:pPr>
  </w:style>
  <w:style w:type="paragraph" w:styleId="Lista-kontynuacja2">
    <w:name w:val="List Continue 2"/>
    <w:basedOn w:val="Normalny"/>
    <w:uiPriority w:val="99"/>
    <w:semiHidden/>
    <w:rsid w:val="00014566"/>
    <w:pPr>
      <w:spacing w:after="120"/>
      <w:ind w:left="566"/>
    </w:pPr>
  </w:style>
  <w:style w:type="paragraph" w:styleId="Lista-kontynuacja3">
    <w:name w:val="List Continue 3"/>
    <w:basedOn w:val="Normalny"/>
    <w:uiPriority w:val="99"/>
    <w:semiHidden/>
    <w:rsid w:val="00014566"/>
    <w:pPr>
      <w:spacing w:after="120"/>
      <w:ind w:left="849"/>
    </w:pPr>
  </w:style>
  <w:style w:type="paragraph" w:styleId="Lista-kontynuacja4">
    <w:name w:val="List Continue 4"/>
    <w:basedOn w:val="Normalny"/>
    <w:uiPriority w:val="99"/>
    <w:semiHidden/>
    <w:rsid w:val="00014566"/>
    <w:pPr>
      <w:spacing w:after="120"/>
      <w:ind w:left="1132"/>
    </w:pPr>
  </w:style>
  <w:style w:type="paragraph" w:styleId="Lista-kontynuacja5">
    <w:name w:val="List Continue 5"/>
    <w:basedOn w:val="Normalny"/>
    <w:uiPriority w:val="99"/>
    <w:semiHidden/>
    <w:rsid w:val="00014566"/>
    <w:pPr>
      <w:spacing w:after="120"/>
      <w:ind w:left="1415"/>
    </w:pPr>
  </w:style>
  <w:style w:type="paragraph" w:styleId="Listanumerowana">
    <w:name w:val="List Number"/>
    <w:basedOn w:val="Normalny"/>
    <w:uiPriority w:val="99"/>
    <w:semiHidden/>
    <w:rsid w:val="00014566"/>
    <w:pPr>
      <w:numPr>
        <w:numId w:val="5"/>
      </w:numPr>
      <w:tabs>
        <w:tab w:val="clear" w:pos="1492"/>
        <w:tab w:val="num" w:pos="360"/>
      </w:tabs>
      <w:ind w:left="360"/>
    </w:pPr>
  </w:style>
  <w:style w:type="paragraph" w:styleId="Listanumerowana2">
    <w:name w:val="List Number 2"/>
    <w:basedOn w:val="Normalny"/>
    <w:uiPriority w:val="99"/>
    <w:semiHidden/>
    <w:rsid w:val="00014566"/>
    <w:pPr>
      <w:numPr>
        <w:numId w:val="6"/>
      </w:numPr>
      <w:tabs>
        <w:tab w:val="clear" w:pos="360"/>
        <w:tab w:val="num" w:pos="643"/>
      </w:tabs>
      <w:ind w:left="643"/>
    </w:pPr>
  </w:style>
  <w:style w:type="paragraph" w:styleId="Listanumerowana3">
    <w:name w:val="List Number 3"/>
    <w:basedOn w:val="Normalny"/>
    <w:uiPriority w:val="99"/>
    <w:semiHidden/>
    <w:rsid w:val="00014566"/>
    <w:pPr>
      <w:tabs>
        <w:tab w:val="num" w:pos="926"/>
      </w:tabs>
      <w:ind w:left="926" w:hanging="360"/>
    </w:pPr>
  </w:style>
  <w:style w:type="paragraph" w:styleId="Listanumerowana4">
    <w:name w:val="List Number 4"/>
    <w:basedOn w:val="Normalny"/>
    <w:uiPriority w:val="99"/>
    <w:semiHidden/>
    <w:rsid w:val="00014566"/>
    <w:pPr>
      <w:numPr>
        <w:numId w:val="19"/>
      </w:numPr>
      <w:tabs>
        <w:tab w:val="num" w:pos="1209"/>
      </w:tabs>
      <w:ind w:left="1209"/>
    </w:pPr>
  </w:style>
  <w:style w:type="paragraph" w:styleId="Listanumerowana5">
    <w:name w:val="List Number 5"/>
    <w:basedOn w:val="Normalny"/>
    <w:uiPriority w:val="99"/>
    <w:semiHidden/>
    <w:rsid w:val="00014566"/>
    <w:pPr>
      <w:numPr>
        <w:numId w:val="20"/>
      </w:numPr>
      <w:tabs>
        <w:tab w:val="num" w:pos="1492"/>
      </w:tabs>
      <w:ind w:left="1492"/>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eastAsia="fr-FR"/>
    </w:rPr>
  </w:style>
  <w:style w:type="character" w:customStyle="1" w:styleId="TekstmakraZnak">
    <w:name w:val="Tekst makra Znak"/>
    <w:link w:val="Tekstmakra"/>
    <w:uiPriority w:val="99"/>
    <w:semiHidden/>
    <w:locked/>
    <w:rsid w:val="00014566"/>
    <w:rPr>
      <w:rFonts w:ascii="Consolas" w:hAnsi="Consolas" w:cs="Consolas"/>
      <w:lang w:val="pl-PL" w:eastAsia="fr-FR"/>
    </w:rPr>
  </w:style>
  <w:style w:type="table" w:styleId="redniasiatka1">
    <w:name w:val="Medium Grid 1"/>
    <w:basedOn w:val="Standardowy"/>
    <w:uiPriority w:val="99"/>
    <w:semiHidden/>
    <w:rsid w:val="00014566"/>
    <w:rPr>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014566"/>
    <w:rPr>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014566"/>
    <w:rPr>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014566"/>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014566"/>
    <w:rPr>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014566"/>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014566"/>
    <w:rPr>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014566"/>
    <w:rPr>
      <w:rFonts w:eastAsia="MS Gothic"/>
      <w:color w:val="00000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014566"/>
    <w:rPr>
      <w:rFonts w:eastAsia="MS Gothic"/>
      <w:color w:val="00000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014566"/>
    <w:rPr>
      <w:rFonts w:eastAsia="MS Gothic"/>
      <w:color w:val="000000"/>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014566"/>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014566"/>
    <w:rPr>
      <w:rFonts w:eastAsia="MS Gothic"/>
      <w:color w:val="000000"/>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014566"/>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014566"/>
    <w:rPr>
      <w:rFonts w:eastAsia="MS Gothic"/>
      <w:color w:val="000000"/>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014566"/>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014566"/>
    <w:rPr>
      <w:color w:val="000000"/>
      <w:lang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014566"/>
    <w:rPr>
      <w:color w:val="000000"/>
      <w:lang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014566"/>
    <w:rPr>
      <w:color w:val="000000"/>
      <w:lang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014566"/>
    <w:rPr>
      <w:color w:val="00000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014566"/>
    <w:rPr>
      <w:color w:val="000000"/>
      <w:lang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014566"/>
    <w:rPr>
      <w:color w:val="00000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014566"/>
    <w:rPr>
      <w:color w:val="000000"/>
      <w:lang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014566"/>
    <w:rPr>
      <w:rFonts w:eastAsia="MS Gothic"/>
      <w:color w:val="00000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eastAsia="MS Gothic"/>
      <w:color w:val="000000"/>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eastAsia="MS Gothic"/>
      <w:color w:val="000000"/>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eastAsia="MS Gothic"/>
      <w:color w:val="000000"/>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eastAsia="MS Gothic"/>
      <w:color w:val="000000"/>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014566"/>
    <w:rPr>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NagwekwiadomociZnak">
    <w:name w:val="Nagłówek wiadomości Znak"/>
    <w:link w:val="Nagwekwiadomoci"/>
    <w:uiPriority w:val="99"/>
    <w:semiHidden/>
    <w:locked/>
    <w:rsid w:val="00014566"/>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014566"/>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link w:val="Nagweknotatki"/>
    <w:uiPriority w:val="99"/>
    <w:semiHidden/>
    <w:locked/>
    <w:rsid w:val="00014566"/>
    <w:rPr>
      <w:rFonts w:eastAsia="MS Mincho"/>
      <w:sz w:val="24"/>
      <w:szCs w:val="24"/>
    </w:rPr>
  </w:style>
  <w:style w:type="character" w:styleId="Tekstzastpczy">
    <w:name w:val="Placeholder Text"/>
    <w:uiPriority w:val="99"/>
    <w:semiHidden/>
    <w:rsid w:val="001535BA"/>
    <w:rPr>
      <w:color w:val="auto"/>
      <w:shd w:val="clear" w:color="auto" w:fill="DFDFDF"/>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link w:val="Zwykytekst"/>
    <w:uiPriority w:val="99"/>
    <w:semiHidden/>
    <w:locked/>
    <w:rsid w:val="00014566"/>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link w:val="Zwrotgrzecznociowy"/>
    <w:uiPriority w:val="99"/>
    <w:semiHidden/>
    <w:locked/>
    <w:rsid w:val="00014566"/>
    <w:rPr>
      <w:rFonts w:eastAsia="MS Mincho"/>
      <w:sz w:val="24"/>
      <w:szCs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link w:val="Podpis"/>
    <w:uiPriority w:val="99"/>
    <w:semiHidden/>
    <w:locked/>
    <w:rsid w:val="00014566"/>
    <w:rPr>
      <w:rFonts w:eastAsia="MS Mincho"/>
      <w:sz w:val="24"/>
      <w:szCs w:val="24"/>
    </w:rPr>
  </w:style>
  <w:style w:type="table" w:styleId="Tabela-Efekty3W1">
    <w:name w:val="Table 3D effects 1"/>
    <w:basedOn w:val="Standardowy"/>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1535BA"/>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1535BA"/>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OpiHA0">
    <w:name w:val="Opi_H_A"/>
    <w:basedOn w:val="ECHRHeading1"/>
    <w:next w:val="OpiPara"/>
    <w:uiPriority w:val="99"/>
    <w:rsid w:val="001535BA"/>
    <w:pPr>
      <w:tabs>
        <w:tab w:val="clear" w:pos="357"/>
      </w:tabs>
      <w:outlineLvl w:val="1"/>
    </w:pPr>
    <w:rPr>
      <w:b/>
      <w:bCs/>
    </w:rPr>
  </w:style>
  <w:style w:type="paragraph" w:customStyle="1" w:styleId="OpiHi">
    <w:name w:val="Opi_H_i"/>
    <w:basedOn w:val="ECHRHeading4"/>
    <w:uiPriority w:val="99"/>
    <w:rsid w:val="001535BA"/>
    <w:pPr>
      <w:ind w:left="1037" w:hanging="357"/>
      <w:outlineLvl w:val="4"/>
    </w:pPr>
    <w:rPr>
      <w:b w:val="0"/>
      <w:bCs w:val="0"/>
      <w:i/>
      <w:iCs/>
    </w:rPr>
  </w:style>
  <w:style w:type="paragraph" w:customStyle="1" w:styleId="OpiPara">
    <w:name w:val="Opi_Para"/>
    <w:basedOn w:val="ECHRPara"/>
    <w:uiPriority w:val="99"/>
    <w:rsid w:val="001535BA"/>
  </w:style>
  <w:style w:type="paragraph" w:customStyle="1" w:styleId="OpiParaSub">
    <w:name w:val="Opi_Para_Sub"/>
    <w:basedOn w:val="JuParaSub"/>
    <w:uiPriority w:val="99"/>
    <w:rsid w:val="001535BA"/>
  </w:style>
  <w:style w:type="paragraph" w:customStyle="1" w:styleId="OpiQuot">
    <w:name w:val="Opi_Quot"/>
    <w:basedOn w:val="ECHRParaQuote"/>
    <w:uiPriority w:val="99"/>
    <w:rsid w:val="001535BA"/>
  </w:style>
  <w:style w:type="paragraph" w:customStyle="1" w:styleId="OpiQuotSub">
    <w:name w:val="Opi_Quot_Sub"/>
    <w:basedOn w:val="JuQuotSub"/>
    <w:uiPriority w:val="99"/>
    <w:rsid w:val="001535BA"/>
  </w:style>
  <w:style w:type="paragraph" w:customStyle="1" w:styleId="OpiTranslation">
    <w:name w:val="Opi_Translation"/>
    <w:basedOn w:val="Normalny"/>
    <w:next w:val="OpiPara"/>
    <w:uiPriority w:val="99"/>
    <w:rsid w:val="001535BA"/>
    <w:pPr>
      <w:jc w:val="center"/>
      <w:outlineLvl w:val="0"/>
    </w:pPr>
    <w:rPr>
      <w:i/>
      <w:iCs/>
    </w:rPr>
  </w:style>
  <w:style w:type="character" w:customStyle="1" w:styleId="ECHRParaChar">
    <w:name w:val="ECHR_Para Char"/>
    <w:aliases w:val="Ju_Para Char"/>
    <w:link w:val="ECHRPara"/>
    <w:uiPriority w:val="99"/>
    <w:locked/>
    <w:rsid w:val="00B8760D"/>
    <w:rPr>
      <w:rFonts w:eastAsia="MS Mincho"/>
      <w:sz w:val="24"/>
      <w:szCs w:val="24"/>
      <w:lang w:val="pl-PL"/>
    </w:rPr>
  </w:style>
  <w:style w:type="paragraph" w:styleId="Poprawka">
    <w:name w:val="Revision"/>
    <w:hidden/>
    <w:uiPriority w:val="99"/>
    <w:semiHidden/>
    <w:rsid w:val="00B64F69"/>
    <w:rPr>
      <w:rFonts w:eastAsia="MS Mincho"/>
      <w:sz w:val="24"/>
      <w:szCs w:val="24"/>
      <w:lang w:eastAsia="en-US"/>
    </w:rPr>
  </w:style>
  <w:style w:type="paragraph" w:customStyle="1" w:styleId="jupara">
    <w:name w:val="jupara"/>
    <w:basedOn w:val="Normalny"/>
    <w:uiPriority w:val="99"/>
    <w:rsid w:val="00445EBE"/>
    <w:pPr>
      <w:ind w:firstLine="284"/>
    </w:pPr>
    <w:rPr>
      <w:rFonts w:eastAsia="Times New Roman"/>
      <w:lang w:eastAsia="en-GB"/>
    </w:rPr>
  </w:style>
  <w:style w:type="paragraph" w:customStyle="1" w:styleId="jucase0">
    <w:name w:val="jucase"/>
    <w:basedOn w:val="Normalny"/>
    <w:uiPriority w:val="99"/>
    <w:rsid w:val="00445EBE"/>
    <w:pPr>
      <w:ind w:firstLine="284"/>
    </w:pPr>
    <w:rPr>
      <w:rFonts w:eastAsia="Times New Roman"/>
      <w:b/>
      <w:bCs/>
      <w:lang w:eastAsia="en-GB"/>
    </w:rPr>
  </w:style>
  <w:style w:type="character" w:customStyle="1" w:styleId="ECHRParaChar1">
    <w:name w:val="ECHR_Para Char1"/>
    <w:aliases w:val="Ju_Para Char1"/>
    <w:uiPriority w:val="99"/>
    <w:locked/>
    <w:rsid w:val="003143EA"/>
    <w:rPr>
      <w:rFonts w:eastAsia="MS Mincho"/>
      <w:sz w:val="24"/>
      <w:szCs w:val="24"/>
      <w:lang w:val="pl-PL" w:eastAsia="pl-PL"/>
    </w:rPr>
  </w:style>
  <w:style w:type="character" w:customStyle="1" w:styleId="JuParaCar">
    <w:name w:val="Ju_Para Car"/>
    <w:uiPriority w:val="99"/>
    <w:locked/>
    <w:rsid w:val="003143EA"/>
    <w:rPr>
      <w:rFonts w:eastAsia="MS Mincho"/>
      <w:sz w:val="24"/>
      <w:szCs w:val="24"/>
      <w:lang w:val="pl-PL"/>
    </w:rPr>
  </w:style>
  <w:style w:type="paragraph" w:customStyle="1" w:styleId="s50c0b1c7">
    <w:name w:val="s50c0b1c7"/>
    <w:basedOn w:val="Normalny"/>
    <w:uiPriority w:val="99"/>
    <w:rsid w:val="003143EA"/>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3143EA"/>
  </w:style>
  <w:style w:type="character" w:customStyle="1" w:styleId="sfbbfee58">
    <w:name w:val="sfbbfee58"/>
    <w:basedOn w:val="Domylnaczcionkaakapitu"/>
    <w:uiPriority w:val="99"/>
    <w:rsid w:val="003143EA"/>
  </w:style>
  <w:style w:type="paragraph" w:customStyle="1" w:styleId="s6c429373">
    <w:name w:val="s6c429373"/>
    <w:basedOn w:val="Normalny"/>
    <w:uiPriority w:val="99"/>
    <w:rsid w:val="00D26A75"/>
    <w:pPr>
      <w:spacing w:before="100" w:beforeAutospacing="1" w:after="100" w:afterAutospacing="1"/>
      <w:jc w:val="left"/>
    </w:pPr>
    <w:rPr>
      <w:rFonts w:eastAsia="Times New Roman"/>
      <w:lang w:eastAsia="pl-PL"/>
    </w:rPr>
  </w:style>
  <w:style w:type="character" w:customStyle="1" w:styleId="s4f807e54">
    <w:name w:val="s4f807e54"/>
    <w:uiPriority w:val="99"/>
    <w:rsid w:val="00E31CB0"/>
  </w:style>
  <w:style w:type="numbering" w:styleId="1ai">
    <w:name w:val="Outline List 1"/>
    <w:basedOn w:val="Bezlisty"/>
    <w:uiPriority w:val="99"/>
    <w:semiHidden/>
    <w:unhideWhenUsed/>
    <w:locked/>
    <w:rsid w:val="0088083A"/>
    <w:pPr>
      <w:numPr>
        <w:numId w:val="20"/>
      </w:numPr>
    </w:pPr>
  </w:style>
  <w:style w:type="numbering" w:styleId="111111">
    <w:name w:val="Outline List 2"/>
    <w:basedOn w:val="Bezlisty"/>
    <w:uiPriority w:val="99"/>
    <w:semiHidden/>
    <w:unhideWhenUsed/>
    <w:locked/>
    <w:rsid w:val="0088083A"/>
    <w:pPr>
      <w:numPr>
        <w:numId w:val="19"/>
      </w:numPr>
    </w:pPr>
  </w:style>
  <w:style w:type="numbering" w:styleId="Artykusekcja">
    <w:name w:val="Outline List 3"/>
    <w:basedOn w:val="Bezlisty"/>
    <w:uiPriority w:val="99"/>
    <w:semiHidden/>
    <w:unhideWhenUsed/>
    <w:locked/>
    <w:rsid w:val="0088083A"/>
    <w:pPr>
      <w:numPr>
        <w:numId w:val="21"/>
      </w:numPr>
    </w:pPr>
  </w:style>
  <w:style w:type="character" w:customStyle="1" w:styleId="word">
    <w:name w:val="word"/>
    <w:rsid w:val="003F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0604">
      <w:marLeft w:val="0"/>
      <w:marRight w:val="0"/>
      <w:marTop w:val="0"/>
      <w:marBottom w:val="0"/>
      <w:divBdr>
        <w:top w:val="none" w:sz="0" w:space="0" w:color="auto"/>
        <w:left w:val="none" w:sz="0" w:space="0" w:color="auto"/>
        <w:bottom w:val="none" w:sz="0" w:space="0" w:color="auto"/>
        <w:right w:val="none" w:sz="0" w:space="0" w:color="auto"/>
      </w:divBdr>
      <w:divsChild>
        <w:div w:id="632370707">
          <w:marLeft w:val="0"/>
          <w:marRight w:val="0"/>
          <w:marTop w:val="0"/>
          <w:marBottom w:val="0"/>
          <w:divBdr>
            <w:top w:val="none" w:sz="0" w:space="0" w:color="auto"/>
            <w:left w:val="none" w:sz="0" w:space="0" w:color="auto"/>
            <w:bottom w:val="none" w:sz="0" w:space="0" w:color="auto"/>
            <w:right w:val="none" w:sz="0" w:space="0" w:color="auto"/>
          </w:divBdr>
          <w:divsChild>
            <w:div w:id="632370733">
              <w:marLeft w:val="0"/>
              <w:marRight w:val="0"/>
              <w:marTop w:val="0"/>
              <w:marBottom w:val="0"/>
              <w:divBdr>
                <w:top w:val="none" w:sz="0" w:space="0" w:color="auto"/>
                <w:left w:val="none" w:sz="0" w:space="0" w:color="auto"/>
                <w:bottom w:val="none" w:sz="0" w:space="0" w:color="auto"/>
                <w:right w:val="none" w:sz="0" w:space="0" w:color="auto"/>
              </w:divBdr>
              <w:divsChild>
                <w:div w:id="632370742">
                  <w:marLeft w:val="0"/>
                  <w:marRight w:val="0"/>
                  <w:marTop w:val="0"/>
                  <w:marBottom w:val="0"/>
                  <w:divBdr>
                    <w:top w:val="none" w:sz="0" w:space="0" w:color="auto"/>
                    <w:left w:val="none" w:sz="0" w:space="0" w:color="auto"/>
                    <w:bottom w:val="none" w:sz="0" w:space="0" w:color="auto"/>
                    <w:right w:val="none" w:sz="0" w:space="0" w:color="auto"/>
                  </w:divBdr>
                  <w:divsChild>
                    <w:div w:id="632370700">
                      <w:marLeft w:val="0"/>
                      <w:marRight w:val="0"/>
                      <w:marTop w:val="0"/>
                      <w:marBottom w:val="0"/>
                      <w:divBdr>
                        <w:top w:val="none" w:sz="0" w:space="0" w:color="auto"/>
                        <w:left w:val="none" w:sz="0" w:space="0" w:color="auto"/>
                        <w:bottom w:val="none" w:sz="0" w:space="0" w:color="auto"/>
                        <w:right w:val="none" w:sz="0" w:space="0" w:color="auto"/>
                      </w:divBdr>
                      <w:divsChild>
                        <w:div w:id="632370668">
                          <w:marLeft w:val="0"/>
                          <w:marRight w:val="0"/>
                          <w:marTop w:val="0"/>
                          <w:marBottom w:val="0"/>
                          <w:divBdr>
                            <w:top w:val="none" w:sz="0" w:space="0" w:color="auto"/>
                            <w:left w:val="none" w:sz="0" w:space="0" w:color="auto"/>
                            <w:bottom w:val="none" w:sz="0" w:space="0" w:color="auto"/>
                            <w:right w:val="none" w:sz="0" w:space="0" w:color="auto"/>
                          </w:divBdr>
                          <w:divsChild>
                            <w:div w:id="6323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0611">
      <w:marLeft w:val="0"/>
      <w:marRight w:val="0"/>
      <w:marTop w:val="0"/>
      <w:marBottom w:val="0"/>
      <w:divBdr>
        <w:top w:val="none" w:sz="0" w:space="0" w:color="auto"/>
        <w:left w:val="none" w:sz="0" w:space="0" w:color="auto"/>
        <w:bottom w:val="none" w:sz="0" w:space="0" w:color="auto"/>
        <w:right w:val="none" w:sz="0" w:space="0" w:color="auto"/>
      </w:divBdr>
      <w:divsChild>
        <w:div w:id="632370709">
          <w:marLeft w:val="0"/>
          <w:marRight w:val="0"/>
          <w:marTop w:val="0"/>
          <w:marBottom w:val="0"/>
          <w:divBdr>
            <w:top w:val="none" w:sz="0" w:space="0" w:color="auto"/>
            <w:left w:val="none" w:sz="0" w:space="0" w:color="auto"/>
            <w:bottom w:val="none" w:sz="0" w:space="0" w:color="auto"/>
            <w:right w:val="none" w:sz="0" w:space="0" w:color="auto"/>
          </w:divBdr>
          <w:divsChild>
            <w:div w:id="632370676">
              <w:marLeft w:val="0"/>
              <w:marRight w:val="0"/>
              <w:marTop w:val="0"/>
              <w:marBottom w:val="0"/>
              <w:divBdr>
                <w:top w:val="none" w:sz="0" w:space="0" w:color="auto"/>
                <w:left w:val="none" w:sz="0" w:space="0" w:color="auto"/>
                <w:bottom w:val="none" w:sz="0" w:space="0" w:color="auto"/>
                <w:right w:val="none" w:sz="0" w:space="0" w:color="auto"/>
              </w:divBdr>
              <w:divsChild>
                <w:div w:id="632370710">
                  <w:marLeft w:val="0"/>
                  <w:marRight w:val="0"/>
                  <w:marTop w:val="0"/>
                  <w:marBottom w:val="0"/>
                  <w:divBdr>
                    <w:top w:val="none" w:sz="0" w:space="0" w:color="auto"/>
                    <w:left w:val="none" w:sz="0" w:space="0" w:color="auto"/>
                    <w:bottom w:val="none" w:sz="0" w:space="0" w:color="auto"/>
                    <w:right w:val="none" w:sz="0" w:space="0" w:color="auto"/>
                  </w:divBdr>
                  <w:divsChild>
                    <w:div w:id="632370665">
                      <w:marLeft w:val="0"/>
                      <w:marRight w:val="0"/>
                      <w:marTop w:val="0"/>
                      <w:marBottom w:val="0"/>
                      <w:divBdr>
                        <w:top w:val="none" w:sz="0" w:space="0" w:color="auto"/>
                        <w:left w:val="none" w:sz="0" w:space="0" w:color="auto"/>
                        <w:bottom w:val="none" w:sz="0" w:space="0" w:color="auto"/>
                        <w:right w:val="none" w:sz="0" w:space="0" w:color="auto"/>
                      </w:divBdr>
                      <w:divsChild>
                        <w:div w:id="632370699">
                          <w:marLeft w:val="0"/>
                          <w:marRight w:val="0"/>
                          <w:marTop w:val="0"/>
                          <w:marBottom w:val="0"/>
                          <w:divBdr>
                            <w:top w:val="none" w:sz="0" w:space="0" w:color="auto"/>
                            <w:left w:val="none" w:sz="0" w:space="0" w:color="auto"/>
                            <w:bottom w:val="none" w:sz="0" w:space="0" w:color="auto"/>
                            <w:right w:val="none" w:sz="0" w:space="0" w:color="auto"/>
                          </w:divBdr>
                          <w:divsChild>
                            <w:div w:id="632370608">
                              <w:marLeft w:val="0"/>
                              <w:marRight w:val="0"/>
                              <w:marTop w:val="0"/>
                              <w:marBottom w:val="0"/>
                              <w:divBdr>
                                <w:top w:val="none" w:sz="0" w:space="0" w:color="auto"/>
                                <w:left w:val="none" w:sz="0" w:space="0" w:color="auto"/>
                                <w:bottom w:val="none" w:sz="0" w:space="0" w:color="auto"/>
                                <w:right w:val="none" w:sz="0" w:space="0" w:color="auto"/>
                              </w:divBdr>
                              <w:divsChild>
                                <w:div w:id="632370645">
                                  <w:marLeft w:val="-225"/>
                                  <w:marRight w:val="-225"/>
                                  <w:marTop w:val="0"/>
                                  <w:marBottom w:val="0"/>
                                  <w:divBdr>
                                    <w:top w:val="none" w:sz="0" w:space="0" w:color="auto"/>
                                    <w:left w:val="none" w:sz="0" w:space="0" w:color="auto"/>
                                    <w:bottom w:val="none" w:sz="0" w:space="0" w:color="auto"/>
                                    <w:right w:val="none" w:sz="0" w:space="0" w:color="auto"/>
                                  </w:divBdr>
                                  <w:divsChild>
                                    <w:div w:id="632370716">
                                      <w:marLeft w:val="0"/>
                                      <w:marRight w:val="0"/>
                                      <w:marTop w:val="0"/>
                                      <w:marBottom w:val="0"/>
                                      <w:divBdr>
                                        <w:top w:val="none" w:sz="0" w:space="0" w:color="auto"/>
                                        <w:left w:val="none" w:sz="0" w:space="0" w:color="auto"/>
                                        <w:bottom w:val="none" w:sz="0" w:space="0" w:color="auto"/>
                                        <w:right w:val="none" w:sz="0" w:space="0" w:color="auto"/>
                                      </w:divBdr>
                                      <w:divsChild>
                                        <w:div w:id="632370631">
                                          <w:marLeft w:val="0"/>
                                          <w:marRight w:val="0"/>
                                          <w:marTop w:val="0"/>
                                          <w:marBottom w:val="0"/>
                                          <w:divBdr>
                                            <w:top w:val="none" w:sz="0" w:space="0" w:color="auto"/>
                                            <w:left w:val="none" w:sz="0" w:space="0" w:color="auto"/>
                                            <w:bottom w:val="none" w:sz="0" w:space="0" w:color="auto"/>
                                            <w:right w:val="none" w:sz="0" w:space="0" w:color="auto"/>
                                          </w:divBdr>
                                          <w:divsChild>
                                            <w:div w:id="632370689">
                                              <w:marLeft w:val="0"/>
                                              <w:marRight w:val="0"/>
                                              <w:marTop w:val="0"/>
                                              <w:marBottom w:val="0"/>
                                              <w:divBdr>
                                                <w:top w:val="single" w:sz="6" w:space="0" w:color="EEEEEE"/>
                                                <w:left w:val="single" w:sz="6" w:space="0" w:color="EEEEEE"/>
                                                <w:bottom w:val="single" w:sz="6" w:space="0" w:color="EEEEEE"/>
                                                <w:right w:val="single" w:sz="6" w:space="0" w:color="EEEEEE"/>
                                              </w:divBdr>
                                              <w:divsChild>
                                                <w:div w:id="632370678">
                                                  <w:marLeft w:val="0"/>
                                                  <w:marRight w:val="0"/>
                                                  <w:marTop w:val="0"/>
                                                  <w:marBottom w:val="0"/>
                                                  <w:divBdr>
                                                    <w:top w:val="none" w:sz="0" w:space="0" w:color="auto"/>
                                                    <w:left w:val="none" w:sz="0" w:space="0" w:color="auto"/>
                                                    <w:bottom w:val="none" w:sz="0" w:space="0" w:color="auto"/>
                                                    <w:right w:val="none" w:sz="0" w:space="0" w:color="auto"/>
                                                  </w:divBdr>
                                                  <w:divsChild>
                                                    <w:div w:id="632370612">
                                                      <w:marLeft w:val="0"/>
                                                      <w:marRight w:val="0"/>
                                                      <w:marTop w:val="0"/>
                                                      <w:marBottom w:val="0"/>
                                                      <w:divBdr>
                                                        <w:top w:val="none" w:sz="0" w:space="0" w:color="auto"/>
                                                        <w:left w:val="none" w:sz="0" w:space="0" w:color="auto"/>
                                                        <w:bottom w:val="none" w:sz="0" w:space="0" w:color="auto"/>
                                                        <w:right w:val="none" w:sz="0" w:space="0" w:color="auto"/>
                                                      </w:divBdr>
                                                      <w:divsChild>
                                                        <w:div w:id="632370639">
                                                          <w:marLeft w:val="0"/>
                                                          <w:marRight w:val="0"/>
                                                          <w:marTop w:val="0"/>
                                                          <w:marBottom w:val="0"/>
                                                          <w:divBdr>
                                                            <w:top w:val="none" w:sz="0" w:space="0" w:color="auto"/>
                                                            <w:left w:val="none" w:sz="0" w:space="0" w:color="auto"/>
                                                            <w:bottom w:val="none" w:sz="0" w:space="0" w:color="auto"/>
                                                            <w:right w:val="none" w:sz="0" w:space="0" w:color="auto"/>
                                                          </w:divBdr>
                                                          <w:divsChild>
                                                            <w:div w:id="632370640">
                                                              <w:marLeft w:val="0"/>
                                                              <w:marRight w:val="0"/>
                                                              <w:marTop w:val="0"/>
                                                              <w:marBottom w:val="0"/>
                                                              <w:divBdr>
                                                                <w:top w:val="none" w:sz="0" w:space="0" w:color="auto"/>
                                                                <w:left w:val="none" w:sz="0" w:space="0" w:color="auto"/>
                                                                <w:bottom w:val="none" w:sz="0" w:space="0" w:color="auto"/>
                                                                <w:right w:val="none" w:sz="0" w:space="0" w:color="auto"/>
                                                              </w:divBdr>
                                                              <w:divsChild>
                                                                <w:div w:id="632370627">
                                                                  <w:marLeft w:val="0"/>
                                                                  <w:marRight w:val="0"/>
                                                                  <w:marTop w:val="0"/>
                                                                  <w:marBottom w:val="0"/>
                                                                  <w:divBdr>
                                                                    <w:top w:val="none" w:sz="0" w:space="0" w:color="auto"/>
                                                                    <w:left w:val="none" w:sz="0" w:space="0" w:color="auto"/>
                                                                    <w:bottom w:val="none" w:sz="0" w:space="0" w:color="auto"/>
                                                                    <w:right w:val="none" w:sz="0" w:space="0" w:color="auto"/>
                                                                  </w:divBdr>
                                                                  <w:divsChild>
                                                                    <w:div w:id="632370666">
                                                                      <w:marLeft w:val="0"/>
                                                                      <w:marRight w:val="0"/>
                                                                      <w:marTop w:val="0"/>
                                                                      <w:marBottom w:val="0"/>
                                                                      <w:divBdr>
                                                                        <w:top w:val="none" w:sz="0" w:space="0" w:color="auto"/>
                                                                        <w:left w:val="none" w:sz="0" w:space="0" w:color="auto"/>
                                                                        <w:bottom w:val="none" w:sz="0" w:space="0" w:color="auto"/>
                                                                        <w:right w:val="none" w:sz="0" w:space="0" w:color="auto"/>
                                                                      </w:divBdr>
                                                                      <w:divsChild>
                                                                        <w:div w:id="632370741">
                                                                          <w:marLeft w:val="0"/>
                                                                          <w:marRight w:val="0"/>
                                                                          <w:marTop w:val="0"/>
                                                                          <w:marBottom w:val="0"/>
                                                                          <w:divBdr>
                                                                            <w:top w:val="none" w:sz="0" w:space="0" w:color="auto"/>
                                                                            <w:left w:val="none" w:sz="0" w:space="0" w:color="auto"/>
                                                                            <w:bottom w:val="none" w:sz="0" w:space="0" w:color="auto"/>
                                                                            <w:right w:val="none" w:sz="0" w:space="0" w:color="auto"/>
                                                                          </w:divBdr>
                                                                          <w:divsChild>
                                                                            <w:div w:id="632370731">
                                                                              <w:marLeft w:val="0"/>
                                                                              <w:marRight w:val="0"/>
                                                                              <w:marTop w:val="0"/>
                                                                              <w:marBottom w:val="0"/>
                                                                              <w:divBdr>
                                                                                <w:top w:val="none" w:sz="0" w:space="0" w:color="auto"/>
                                                                                <w:left w:val="none" w:sz="0" w:space="0" w:color="auto"/>
                                                                                <w:bottom w:val="none" w:sz="0" w:space="0" w:color="auto"/>
                                                                                <w:right w:val="none" w:sz="0" w:space="0" w:color="auto"/>
                                                                              </w:divBdr>
                                                                              <w:divsChild>
                                                                                <w:div w:id="632370630">
                                                                                  <w:marLeft w:val="0"/>
                                                                                  <w:marRight w:val="0"/>
                                                                                  <w:marTop w:val="0"/>
                                                                                  <w:marBottom w:val="0"/>
                                                                                  <w:divBdr>
                                                                                    <w:top w:val="none" w:sz="0" w:space="0" w:color="auto"/>
                                                                                    <w:left w:val="none" w:sz="0" w:space="0" w:color="auto"/>
                                                                                    <w:bottom w:val="none" w:sz="0" w:space="0" w:color="auto"/>
                                                                                    <w:right w:val="none" w:sz="0" w:space="0" w:color="auto"/>
                                                                                  </w:divBdr>
                                                                                  <w:divsChild>
                                                                                    <w:div w:id="6323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370633">
      <w:marLeft w:val="0"/>
      <w:marRight w:val="0"/>
      <w:marTop w:val="0"/>
      <w:marBottom w:val="0"/>
      <w:divBdr>
        <w:top w:val="none" w:sz="0" w:space="0" w:color="auto"/>
        <w:left w:val="none" w:sz="0" w:space="0" w:color="auto"/>
        <w:bottom w:val="none" w:sz="0" w:space="0" w:color="auto"/>
        <w:right w:val="none" w:sz="0" w:space="0" w:color="auto"/>
      </w:divBdr>
      <w:divsChild>
        <w:div w:id="632370628">
          <w:marLeft w:val="0"/>
          <w:marRight w:val="0"/>
          <w:marTop w:val="0"/>
          <w:marBottom w:val="0"/>
          <w:divBdr>
            <w:top w:val="none" w:sz="0" w:space="0" w:color="auto"/>
            <w:left w:val="none" w:sz="0" w:space="0" w:color="auto"/>
            <w:bottom w:val="none" w:sz="0" w:space="0" w:color="auto"/>
            <w:right w:val="none" w:sz="0" w:space="0" w:color="auto"/>
          </w:divBdr>
          <w:divsChild>
            <w:div w:id="632370728">
              <w:marLeft w:val="0"/>
              <w:marRight w:val="0"/>
              <w:marTop w:val="0"/>
              <w:marBottom w:val="0"/>
              <w:divBdr>
                <w:top w:val="none" w:sz="0" w:space="0" w:color="auto"/>
                <w:left w:val="none" w:sz="0" w:space="0" w:color="auto"/>
                <w:bottom w:val="none" w:sz="0" w:space="0" w:color="auto"/>
                <w:right w:val="none" w:sz="0" w:space="0" w:color="auto"/>
              </w:divBdr>
              <w:divsChild>
                <w:div w:id="632370722">
                  <w:marLeft w:val="0"/>
                  <w:marRight w:val="0"/>
                  <w:marTop w:val="0"/>
                  <w:marBottom w:val="0"/>
                  <w:divBdr>
                    <w:top w:val="none" w:sz="0" w:space="0" w:color="auto"/>
                    <w:left w:val="none" w:sz="0" w:space="0" w:color="auto"/>
                    <w:bottom w:val="none" w:sz="0" w:space="0" w:color="auto"/>
                    <w:right w:val="none" w:sz="0" w:space="0" w:color="auto"/>
                  </w:divBdr>
                  <w:divsChild>
                    <w:div w:id="632370618">
                      <w:marLeft w:val="0"/>
                      <w:marRight w:val="0"/>
                      <w:marTop w:val="0"/>
                      <w:marBottom w:val="0"/>
                      <w:divBdr>
                        <w:top w:val="none" w:sz="0" w:space="0" w:color="auto"/>
                        <w:left w:val="none" w:sz="0" w:space="0" w:color="auto"/>
                        <w:bottom w:val="none" w:sz="0" w:space="0" w:color="auto"/>
                        <w:right w:val="none" w:sz="0" w:space="0" w:color="auto"/>
                      </w:divBdr>
                      <w:divsChild>
                        <w:div w:id="632370687">
                          <w:marLeft w:val="0"/>
                          <w:marRight w:val="0"/>
                          <w:marTop w:val="0"/>
                          <w:marBottom w:val="0"/>
                          <w:divBdr>
                            <w:top w:val="none" w:sz="0" w:space="0" w:color="auto"/>
                            <w:left w:val="none" w:sz="0" w:space="0" w:color="auto"/>
                            <w:bottom w:val="none" w:sz="0" w:space="0" w:color="auto"/>
                            <w:right w:val="none" w:sz="0" w:space="0" w:color="auto"/>
                          </w:divBdr>
                          <w:divsChild>
                            <w:div w:id="632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0650">
      <w:marLeft w:val="0"/>
      <w:marRight w:val="0"/>
      <w:marTop w:val="0"/>
      <w:marBottom w:val="0"/>
      <w:divBdr>
        <w:top w:val="none" w:sz="0" w:space="0" w:color="auto"/>
        <w:left w:val="none" w:sz="0" w:space="0" w:color="auto"/>
        <w:bottom w:val="none" w:sz="0" w:space="0" w:color="auto"/>
        <w:right w:val="none" w:sz="0" w:space="0" w:color="auto"/>
      </w:divBdr>
      <w:divsChild>
        <w:div w:id="632370682">
          <w:marLeft w:val="0"/>
          <w:marRight w:val="0"/>
          <w:marTop w:val="0"/>
          <w:marBottom w:val="0"/>
          <w:divBdr>
            <w:top w:val="none" w:sz="0" w:space="0" w:color="auto"/>
            <w:left w:val="none" w:sz="0" w:space="0" w:color="auto"/>
            <w:bottom w:val="none" w:sz="0" w:space="0" w:color="auto"/>
            <w:right w:val="none" w:sz="0" w:space="0" w:color="auto"/>
          </w:divBdr>
          <w:divsChild>
            <w:div w:id="632370613">
              <w:marLeft w:val="0"/>
              <w:marRight w:val="0"/>
              <w:marTop w:val="0"/>
              <w:marBottom w:val="0"/>
              <w:divBdr>
                <w:top w:val="single" w:sz="2" w:space="0" w:color="FFFFFF"/>
                <w:left w:val="single" w:sz="6" w:space="0" w:color="FFFFFF"/>
                <w:bottom w:val="single" w:sz="6" w:space="0" w:color="FFFFFF"/>
                <w:right w:val="single" w:sz="6" w:space="0" w:color="FFFFFF"/>
              </w:divBdr>
              <w:divsChild>
                <w:div w:id="632370672">
                  <w:marLeft w:val="0"/>
                  <w:marRight w:val="0"/>
                  <w:marTop w:val="0"/>
                  <w:marBottom w:val="0"/>
                  <w:divBdr>
                    <w:top w:val="single" w:sz="6" w:space="1" w:color="D3D3D3"/>
                    <w:left w:val="none" w:sz="0" w:space="0" w:color="auto"/>
                    <w:bottom w:val="none" w:sz="0" w:space="0" w:color="auto"/>
                    <w:right w:val="none" w:sz="0" w:space="0" w:color="auto"/>
                  </w:divBdr>
                  <w:divsChild>
                    <w:div w:id="6323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70653">
      <w:marLeft w:val="0"/>
      <w:marRight w:val="0"/>
      <w:marTop w:val="0"/>
      <w:marBottom w:val="0"/>
      <w:divBdr>
        <w:top w:val="none" w:sz="0" w:space="0" w:color="auto"/>
        <w:left w:val="none" w:sz="0" w:space="0" w:color="auto"/>
        <w:bottom w:val="none" w:sz="0" w:space="0" w:color="auto"/>
        <w:right w:val="none" w:sz="0" w:space="0" w:color="auto"/>
      </w:divBdr>
      <w:divsChild>
        <w:div w:id="632370739">
          <w:marLeft w:val="0"/>
          <w:marRight w:val="0"/>
          <w:marTop w:val="0"/>
          <w:marBottom w:val="0"/>
          <w:divBdr>
            <w:top w:val="none" w:sz="0" w:space="0" w:color="auto"/>
            <w:left w:val="none" w:sz="0" w:space="0" w:color="auto"/>
            <w:bottom w:val="none" w:sz="0" w:space="0" w:color="auto"/>
            <w:right w:val="none" w:sz="0" w:space="0" w:color="auto"/>
          </w:divBdr>
          <w:divsChild>
            <w:div w:id="632370693">
              <w:marLeft w:val="0"/>
              <w:marRight w:val="0"/>
              <w:marTop w:val="0"/>
              <w:marBottom w:val="0"/>
              <w:divBdr>
                <w:top w:val="single" w:sz="2" w:space="0" w:color="FFFFFF"/>
                <w:left w:val="single" w:sz="6" w:space="0" w:color="FFFFFF"/>
                <w:bottom w:val="single" w:sz="6" w:space="0" w:color="FFFFFF"/>
                <w:right w:val="single" w:sz="6" w:space="0" w:color="FFFFFF"/>
              </w:divBdr>
              <w:divsChild>
                <w:div w:id="632370638">
                  <w:marLeft w:val="0"/>
                  <w:marRight w:val="0"/>
                  <w:marTop w:val="0"/>
                  <w:marBottom w:val="0"/>
                  <w:divBdr>
                    <w:top w:val="single" w:sz="6" w:space="1" w:color="D3D3D3"/>
                    <w:left w:val="none" w:sz="0" w:space="0" w:color="auto"/>
                    <w:bottom w:val="none" w:sz="0" w:space="0" w:color="auto"/>
                    <w:right w:val="none" w:sz="0" w:space="0" w:color="auto"/>
                  </w:divBdr>
                  <w:divsChild>
                    <w:div w:id="632370723">
                      <w:marLeft w:val="0"/>
                      <w:marRight w:val="0"/>
                      <w:marTop w:val="0"/>
                      <w:marBottom w:val="0"/>
                      <w:divBdr>
                        <w:top w:val="none" w:sz="0" w:space="0" w:color="auto"/>
                        <w:left w:val="none" w:sz="0" w:space="0" w:color="auto"/>
                        <w:bottom w:val="none" w:sz="0" w:space="0" w:color="auto"/>
                        <w:right w:val="none" w:sz="0" w:space="0" w:color="auto"/>
                      </w:divBdr>
                      <w:divsChild>
                        <w:div w:id="6323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370654">
      <w:marLeft w:val="0"/>
      <w:marRight w:val="0"/>
      <w:marTop w:val="0"/>
      <w:marBottom w:val="0"/>
      <w:divBdr>
        <w:top w:val="none" w:sz="0" w:space="0" w:color="auto"/>
        <w:left w:val="none" w:sz="0" w:space="0" w:color="auto"/>
        <w:bottom w:val="none" w:sz="0" w:space="0" w:color="auto"/>
        <w:right w:val="none" w:sz="0" w:space="0" w:color="auto"/>
      </w:divBdr>
      <w:divsChild>
        <w:div w:id="632370660">
          <w:marLeft w:val="720"/>
          <w:marRight w:val="720"/>
          <w:marTop w:val="100"/>
          <w:marBottom w:val="100"/>
          <w:divBdr>
            <w:top w:val="none" w:sz="0" w:space="0" w:color="auto"/>
            <w:left w:val="none" w:sz="0" w:space="0" w:color="auto"/>
            <w:bottom w:val="none" w:sz="0" w:space="0" w:color="auto"/>
            <w:right w:val="none" w:sz="0" w:space="0" w:color="auto"/>
          </w:divBdr>
        </w:div>
        <w:div w:id="632370661">
          <w:marLeft w:val="720"/>
          <w:marRight w:val="720"/>
          <w:marTop w:val="100"/>
          <w:marBottom w:val="100"/>
          <w:divBdr>
            <w:top w:val="none" w:sz="0" w:space="0" w:color="auto"/>
            <w:left w:val="none" w:sz="0" w:space="0" w:color="auto"/>
            <w:bottom w:val="none" w:sz="0" w:space="0" w:color="auto"/>
            <w:right w:val="none" w:sz="0" w:space="0" w:color="auto"/>
          </w:divBdr>
        </w:div>
        <w:div w:id="632370705">
          <w:marLeft w:val="720"/>
          <w:marRight w:val="720"/>
          <w:marTop w:val="100"/>
          <w:marBottom w:val="100"/>
          <w:divBdr>
            <w:top w:val="none" w:sz="0" w:space="0" w:color="auto"/>
            <w:left w:val="none" w:sz="0" w:space="0" w:color="auto"/>
            <w:bottom w:val="none" w:sz="0" w:space="0" w:color="auto"/>
            <w:right w:val="none" w:sz="0" w:space="0" w:color="auto"/>
          </w:divBdr>
        </w:div>
      </w:divsChild>
    </w:div>
    <w:div w:id="632370663">
      <w:marLeft w:val="0"/>
      <w:marRight w:val="0"/>
      <w:marTop w:val="0"/>
      <w:marBottom w:val="0"/>
      <w:divBdr>
        <w:top w:val="none" w:sz="0" w:space="0" w:color="auto"/>
        <w:left w:val="none" w:sz="0" w:space="0" w:color="auto"/>
        <w:bottom w:val="none" w:sz="0" w:space="0" w:color="auto"/>
        <w:right w:val="none" w:sz="0" w:space="0" w:color="auto"/>
      </w:divBdr>
      <w:divsChild>
        <w:div w:id="632370694">
          <w:marLeft w:val="0"/>
          <w:marRight w:val="0"/>
          <w:marTop w:val="0"/>
          <w:marBottom w:val="0"/>
          <w:divBdr>
            <w:top w:val="none" w:sz="0" w:space="0" w:color="auto"/>
            <w:left w:val="none" w:sz="0" w:space="0" w:color="auto"/>
            <w:bottom w:val="none" w:sz="0" w:space="0" w:color="auto"/>
            <w:right w:val="none" w:sz="0" w:space="0" w:color="auto"/>
          </w:divBdr>
          <w:divsChild>
            <w:div w:id="632370615">
              <w:marLeft w:val="0"/>
              <w:marRight w:val="0"/>
              <w:marTop w:val="0"/>
              <w:marBottom w:val="0"/>
              <w:divBdr>
                <w:top w:val="none" w:sz="0" w:space="0" w:color="auto"/>
                <w:left w:val="none" w:sz="0" w:space="0" w:color="auto"/>
                <w:bottom w:val="none" w:sz="0" w:space="0" w:color="auto"/>
                <w:right w:val="none" w:sz="0" w:space="0" w:color="auto"/>
              </w:divBdr>
              <w:divsChild>
                <w:div w:id="632370624">
                  <w:marLeft w:val="0"/>
                  <w:marRight w:val="0"/>
                  <w:marTop w:val="0"/>
                  <w:marBottom w:val="0"/>
                  <w:divBdr>
                    <w:top w:val="none" w:sz="0" w:space="0" w:color="auto"/>
                    <w:left w:val="none" w:sz="0" w:space="0" w:color="auto"/>
                    <w:bottom w:val="none" w:sz="0" w:space="0" w:color="auto"/>
                    <w:right w:val="none" w:sz="0" w:space="0" w:color="auto"/>
                  </w:divBdr>
                  <w:divsChild>
                    <w:div w:id="632370626">
                      <w:marLeft w:val="0"/>
                      <w:marRight w:val="0"/>
                      <w:marTop w:val="0"/>
                      <w:marBottom w:val="0"/>
                      <w:divBdr>
                        <w:top w:val="none" w:sz="0" w:space="0" w:color="auto"/>
                        <w:left w:val="none" w:sz="0" w:space="0" w:color="auto"/>
                        <w:bottom w:val="none" w:sz="0" w:space="0" w:color="auto"/>
                        <w:right w:val="none" w:sz="0" w:space="0" w:color="auto"/>
                      </w:divBdr>
                      <w:divsChild>
                        <w:div w:id="632370721">
                          <w:marLeft w:val="0"/>
                          <w:marRight w:val="0"/>
                          <w:marTop w:val="0"/>
                          <w:marBottom w:val="0"/>
                          <w:divBdr>
                            <w:top w:val="none" w:sz="0" w:space="0" w:color="auto"/>
                            <w:left w:val="none" w:sz="0" w:space="0" w:color="auto"/>
                            <w:bottom w:val="none" w:sz="0" w:space="0" w:color="auto"/>
                            <w:right w:val="none" w:sz="0" w:space="0" w:color="auto"/>
                          </w:divBdr>
                          <w:divsChild>
                            <w:div w:id="632370656">
                              <w:marLeft w:val="0"/>
                              <w:marRight w:val="0"/>
                              <w:marTop w:val="0"/>
                              <w:marBottom w:val="0"/>
                              <w:divBdr>
                                <w:top w:val="none" w:sz="0" w:space="0" w:color="auto"/>
                                <w:left w:val="none" w:sz="0" w:space="0" w:color="auto"/>
                                <w:bottom w:val="none" w:sz="0" w:space="0" w:color="auto"/>
                                <w:right w:val="none" w:sz="0" w:space="0" w:color="auto"/>
                              </w:divBdr>
                              <w:divsChild>
                                <w:div w:id="632370621">
                                  <w:marLeft w:val="-225"/>
                                  <w:marRight w:val="-225"/>
                                  <w:marTop w:val="0"/>
                                  <w:marBottom w:val="0"/>
                                  <w:divBdr>
                                    <w:top w:val="none" w:sz="0" w:space="0" w:color="auto"/>
                                    <w:left w:val="none" w:sz="0" w:space="0" w:color="auto"/>
                                    <w:bottom w:val="none" w:sz="0" w:space="0" w:color="auto"/>
                                    <w:right w:val="none" w:sz="0" w:space="0" w:color="auto"/>
                                  </w:divBdr>
                                  <w:divsChild>
                                    <w:div w:id="632370674">
                                      <w:marLeft w:val="0"/>
                                      <w:marRight w:val="0"/>
                                      <w:marTop w:val="0"/>
                                      <w:marBottom w:val="0"/>
                                      <w:divBdr>
                                        <w:top w:val="none" w:sz="0" w:space="0" w:color="auto"/>
                                        <w:left w:val="none" w:sz="0" w:space="0" w:color="auto"/>
                                        <w:bottom w:val="none" w:sz="0" w:space="0" w:color="auto"/>
                                        <w:right w:val="none" w:sz="0" w:space="0" w:color="auto"/>
                                      </w:divBdr>
                                      <w:divsChild>
                                        <w:div w:id="632370664">
                                          <w:marLeft w:val="0"/>
                                          <w:marRight w:val="0"/>
                                          <w:marTop w:val="0"/>
                                          <w:marBottom w:val="0"/>
                                          <w:divBdr>
                                            <w:top w:val="none" w:sz="0" w:space="0" w:color="auto"/>
                                            <w:left w:val="none" w:sz="0" w:space="0" w:color="auto"/>
                                            <w:bottom w:val="none" w:sz="0" w:space="0" w:color="auto"/>
                                            <w:right w:val="none" w:sz="0" w:space="0" w:color="auto"/>
                                          </w:divBdr>
                                          <w:divsChild>
                                            <w:div w:id="632370702">
                                              <w:marLeft w:val="0"/>
                                              <w:marRight w:val="0"/>
                                              <w:marTop w:val="0"/>
                                              <w:marBottom w:val="0"/>
                                              <w:divBdr>
                                                <w:top w:val="single" w:sz="6" w:space="0" w:color="EEEEEE"/>
                                                <w:left w:val="single" w:sz="6" w:space="0" w:color="EEEEEE"/>
                                                <w:bottom w:val="single" w:sz="6" w:space="0" w:color="EEEEEE"/>
                                                <w:right w:val="single" w:sz="6" w:space="0" w:color="EEEEEE"/>
                                              </w:divBdr>
                                              <w:divsChild>
                                                <w:div w:id="632370648">
                                                  <w:marLeft w:val="0"/>
                                                  <w:marRight w:val="0"/>
                                                  <w:marTop w:val="0"/>
                                                  <w:marBottom w:val="0"/>
                                                  <w:divBdr>
                                                    <w:top w:val="none" w:sz="0" w:space="0" w:color="auto"/>
                                                    <w:left w:val="none" w:sz="0" w:space="0" w:color="auto"/>
                                                    <w:bottom w:val="none" w:sz="0" w:space="0" w:color="auto"/>
                                                    <w:right w:val="none" w:sz="0" w:space="0" w:color="auto"/>
                                                  </w:divBdr>
                                                  <w:divsChild>
                                                    <w:div w:id="632370718">
                                                      <w:marLeft w:val="0"/>
                                                      <w:marRight w:val="0"/>
                                                      <w:marTop w:val="0"/>
                                                      <w:marBottom w:val="0"/>
                                                      <w:divBdr>
                                                        <w:top w:val="none" w:sz="0" w:space="0" w:color="auto"/>
                                                        <w:left w:val="none" w:sz="0" w:space="0" w:color="auto"/>
                                                        <w:bottom w:val="none" w:sz="0" w:space="0" w:color="auto"/>
                                                        <w:right w:val="none" w:sz="0" w:space="0" w:color="auto"/>
                                                      </w:divBdr>
                                                      <w:divsChild>
                                                        <w:div w:id="632370636">
                                                          <w:marLeft w:val="0"/>
                                                          <w:marRight w:val="0"/>
                                                          <w:marTop w:val="0"/>
                                                          <w:marBottom w:val="0"/>
                                                          <w:divBdr>
                                                            <w:top w:val="none" w:sz="0" w:space="0" w:color="auto"/>
                                                            <w:left w:val="none" w:sz="0" w:space="0" w:color="auto"/>
                                                            <w:bottom w:val="none" w:sz="0" w:space="0" w:color="auto"/>
                                                            <w:right w:val="none" w:sz="0" w:space="0" w:color="auto"/>
                                                          </w:divBdr>
                                                          <w:divsChild>
                                                            <w:div w:id="632370643">
                                                              <w:marLeft w:val="0"/>
                                                              <w:marRight w:val="0"/>
                                                              <w:marTop w:val="0"/>
                                                              <w:marBottom w:val="0"/>
                                                              <w:divBdr>
                                                                <w:top w:val="none" w:sz="0" w:space="0" w:color="auto"/>
                                                                <w:left w:val="none" w:sz="0" w:space="0" w:color="auto"/>
                                                                <w:bottom w:val="none" w:sz="0" w:space="0" w:color="auto"/>
                                                                <w:right w:val="none" w:sz="0" w:space="0" w:color="auto"/>
                                                              </w:divBdr>
                                                              <w:divsChild>
                                                                <w:div w:id="632370673">
                                                                  <w:marLeft w:val="0"/>
                                                                  <w:marRight w:val="0"/>
                                                                  <w:marTop w:val="0"/>
                                                                  <w:marBottom w:val="0"/>
                                                                  <w:divBdr>
                                                                    <w:top w:val="none" w:sz="0" w:space="0" w:color="auto"/>
                                                                    <w:left w:val="none" w:sz="0" w:space="0" w:color="auto"/>
                                                                    <w:bottom w:val="none" w:sz="0" w:space="0" w:color="auto"/>
                                                                    <w:right w:val="none" w:sz="0" w:space="0" w:color="auto"/>
                                                                  </w:divBdr>
                                                                  <w:divsChild>
                                                                    <w:div w:id="632370625">
                                                                      <w:marLeft w:val="0"/>
                                                                      <w:marRight w:val="0"/>
                                                                      <w:marTop w:val="0"/>
                                                                      <w:marBottom w:val="0"/>
                                                                      <w:divBdr>
                                                                        <w:top w:val="none" w:sz="0" w:space="0" w:color="auto"/>
                                                                        <w:left w:val="none" w:sz="0" w:space="0" w:color="auto"/>
                                                                        <w:bottom w:val="none" w:sz="0" w:space="0" w:color="auto"/>
                                                                        <w:right w:val="none" w:sz="0" w:space="0" w:color="auto"/>
                                                                      </w:divBdr>
                                                                      <w:divsChild>
                                                                        <w:div w:id="632370725">
                                                                          <w:marLeft w:val="0"/>
                                                                          <w:marRight w:val="0"/>
                                                                          <w:marTop w:val="0"/>
                                                                          <w:marBottom w:val="0"/>
                                                                          <w:divBdr>
                                                                            <w:top w:val="none" w:sz="0" w:space="0" w:color="auto"/>
                                                                            <w:left w:val="none" w:sz="0" w:space="0" w:color="auto"/>
                                                                            <w:bottom w:val="none" w:sz="0" w:space="0" w:color="auto"/>
                                                                            <w:right w:val="none" w:sz="0" w:space="0" w:color="auto"/>
                                                                          </w:divBdr>
                                                                          <w:divsChild>
                                                                            <w:div w:id="632370647">
                                                                              <w:marLeft w:val="0"/>
                                                                              <w:marRight w:val="0"/>
                                                                              <w:marTop w:val="0"/>
                                                                              <w:marBottom w:val="0"/>
                                                                              <w:divBdr>
                                                                                <w:top w:val="none" w:sz="0" w:space="0" w:color="auto"/>
                                                                                <w:left w:val="none" w:sz="0" w:space="0" w:color="auto"/>
                                                                                <w:bottom w:val="none" w:sz="0" w:space="0" w:color="auto"/>
                                                                                <w:right w:val="none" w:sz="0" w:space="0" w:color="auto"/>
                                                                              </w:divBdr>
                                                                              <w:divsChild>
                                                                                <w:div w:id="632370696">
                                                                                  <w:marLeft w:val="0"/>
                                                                                  <w:marRight w:val="0"/>
                                                                                  <w:marTop w:val="0"/>
                                                                                  <w:marBottom w:val="0"/>
                                                                                  <w:divBdr>
                                                                                    <w:top w:val="none" w:sz="0" w:space="0" w:color="auto"/>
                                                                                    <w:left w:val="none" w:sz="0" w:space="0" w:color="auto"/>
                                                                                    <w:bottom w:val="none" w:sz="0" w:space="0" w:color="auto"/>
                                                                                    <w:right w:val="none" w:sz="0" w:space="0" w:color="auto"/>
                                                                                  </w:divBdr>
                                                                                  <w:divsChild>
                                                                                    <w:div w:id="6323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370670">
      <w:marLeft w:val="0"/>
      <w:marRight w:val="0"/>
      <w:marTop w:val="0"/>
      <w:marBottom w:val="0"/>
      <w:divBdr>
        <w:top w:val="none" w:sz="0" w:space="0" w:color="auto"/>
        <w:left w:val="none" w:sz="0" w:space="0" w:color="auto"/>
        <w:bottom w:val="none" w:sz="0" w:space="0" w:color="auto"/>
        <w:right w:val="none" w:sz="0" w:space="0" w:color="auto"/>
      </w:divBdr>
    </w:div>
    <w:div w:id="632370679">
      <w:marLeft w:val="0"/>
      <w:marRight w:val="0"/>
      <w:marTop w:val="0"/>
      <w:marBottom w:val="0"/>
      <w:divBdr>
        <w:top w:val="none" w:sz="0" w:space="0" w:color="auto"/>
        <w:left w:val="none" w:sz="0" w:space="0" w:color="auto"/>
        <w:bottom w:val="none" w:sz="0" w:space="0" w:color="auto"/>
        <w:right w:val="none" w:sz="0" w:space="0" w:color="auto"/>
      </w:divBdr>
      <w:divsChild>
        <w:div w:id="632370610">
          <w:marLeft w:val="0"/>
          <w:marRight w:val="0"/>
          <w:marTop w:val="0"/>
          <w:marBottom w:val="0"/>
          <w:divBdr>
            <w:top w:val="none" w:sz="0" w:space="0" w:color="auto"/>
            <w:left w:val="none" w:sz="0" w:space="0" w:color="auto"/>
            <w:bottom w:val="none" w:sz="0" w:space="0" w:color="auto"/>
            <w:right w:val="none" w:sz="0" w:space="0" w:color="auto"/>
          </w:divBdr>
          <w:divsChild>
            <w:div w:id="632370616">
              <w:marLeft w:val="0"/>
              <w:marRight w:val="0"/>
              <w:marTop w:val="0"/>
              <w:marBottom w:val="0"/>
              <w:divBdr>
                <w:top w:val="none" w:sz="0" w:space="0" w:color="auto"/>
                <w:left w:val="none" w:sz="0" w:space="0" w:color="auto"/>
                <w:bottom w:val="none" w:sz="0" w:space="0" w:color="auto"/>
                <w:right w:val="none" w:sz="0" w:space="0" w:color="auto"/>
              </w:divBdr>
              <w:divsChild>
                <w:div w:id="632370619">
                  <w:marLeft w:val="0"/>
                  <w:marRight w:val="0"/>
                  <w:marTop w:val="0"/>
                  <w:marBottom w:val="0"/>
                  <w:divBdr>
                    <w:top w:val="none" w:sz="0" w:space="0" w:color="auto"/>
                    <w:left w:val="none" w:sz="0" w:space="0" w:color="auto"/>
                    <w:bottom w:val="none" w:sz="0" w:space="0" w:color="auto"/>
                    <w:right w:val="none" w:sz="0" w:space="0" w:color="auto"/>
                  </w:divBdr>
                  <w:divsChild>
                    <w:div w:id="632370659">
                      <w:marLeft w:val="-150"/>
                      <w:marRight w:val="-150"/>
                      <w:marTop w:val="0"/>
                      <w:marBottom w:val="0"/>
                      <w:divBdr>
                        <w:top w:val="none" w:sz="0" w:space="0" w:color="auto"/>
                        <w:left w:val="none" w:sz="0" w:space="0" w:color="auto"/>
                        <w:bottom w:val="none" w:sz="0" w:space="0" w:color="auto"/>
                        <w:right w:val="none" w:sz="0" w:space="0" w:color="auto"/>
                      </w:divBdr>
                      <w:divsChild>
                        <w:div w:id="632370714">
                          <w:marLeft w:val="0"/>
                          <w:marRight w:val="0"/>
                          <w:marTop w:val="0"/>
                          <w:marBottom w:val="0"/>
                          <w:divBdr>
                            <w:top w:val="none" w:sz="0" w:space="0" w:color="auto"/>
                            <w:left w:val="none" w:sz="0" w:space="0" w:color="auto"/>
                            <w:bottom w:val="none" w:sz="0" w:space="0" w:color="auto"/>
                            <w:right w:val="none" w:sz="0" w:space="0" w:color="auto"/>
                          </w:divBdr>
                          <w:divsChild>
                            <w:div w:id="632370701">
                              <w:marLeft w:val="0"/>
                              <w:marRight w:val="0"/>
                              <w:marTop w:val="0"/>
                              <w:marBottom w:val="0"/>
                              <w:divBdr>
                                <w:top w:val="none" w:sz="0" w:space="0" w:color="auto"/>
                                <w:left w:val="none" w:sz="0" w:space="0" w:color="auto"/>
                                <w:bottom w:val="none" w:sz="0" w:space="0" w:color="auto"/>
                                <w:right w:val="none" w:sz="0" w:space="0" w:color="auto"/>
                              </w:divBdr>
                              <w:divsChild>
                                <w:div w:id="632370617">
                                  <w:marLeft w:val="0"/>
                                  <w:marRight w:val="0"/>
                                  <w:marTop w:val="0"/>
                                  <w:marBottom w:val="300"/>
                                  <w:divBdr>
                                    <w:top w:val="none" w:sz="0" w:space="0" w:color="auto"/>
                                    <w:left w:val="none" w:sz="0" w:space="0" w:color="auto"/>
                                    <w:bottom w:val="none" w:sz="0" w:space="0" w:color="auto"/>
                                    <w:right w:val="none" w:sz="0" w:space="0" w:color="auto"/>
                                  </w:divBdr>
                                  <w:divsChild>
                                    <w:div w:id="632370706">
                                      <w:marLeft w:val="0"/>
                                      <w:marRight w:val="0"/>
                                      <w:marTop w:val="0"/>
                                      <w:marBottom w:val="0"/>
                                      <w:divBdr>
                                        <w:top w:val="none" w:sz="0" w:space="0" w:color="auto"/>
                                        <w:left w:val="none" w:sz="0" w:space="0" w:color="auto"/>
                                        <w:bottom w:val="none" w:sz="0" w:space="0" w:color="auto"/>
                                        <w:right w:val="none" w:sz="0" w:space="0" w:color="auto"/>
                                      </w:divBdr>
                                      <w:divsChild>
                                        <w:div w:id="632370614">
                                          <w:marLeft w:val="0"/>
                                          <w:marRight w:val="0"/>
                                          <w:marTop w:val="0"/>
                                          <w:marBottom w:val="0"/>
                                          <w:divBdr>
                                            <w:top w:val="none" w:sz="0" w:space="0" w:color="auto"/>
                                            <w:left w:val="none" w:sz="0" w:space="0" w:color="auto"/>
                                            <w:bottom w:val="none" w:sz="0" w:space="0" w:color="auto"/>
                                            <w:right w:val="none" w:sz="0" w:space="0" w:color="auto"/>
                                          </w:divBdr>
                                          <w:divsChild>
                                            <w:div w:id="632370605">
                                              <w:marLeft w:val="0"/>
                                              <w:marRight w:val="0"/>
                                              <w:marTop w:val="0"/>
                                              <w:marBottom w:val="0"/>
                                              <w:divBdr>
                                                <w:top w:val="none" w:sz="0" w:space="0" w:color="auto"/>
                                                <w:left w:val="none" w:sz="0" w:space="0" w:color="auto"/>
                                                <w:bottom w:val="none" w:sz="0" w:space="0" w:color="auto"/>
                                                <w:right w:val="none" w:sz="0" w:space="0" w:color="auto"/>
                                              </w:divBdr>
                                              <w:divsChild>
                                                <w:div w:id="632370641">
                                                  <w:marLeft w:val="0"/>
                                                  <w:marRight w:val="0"/>
                                                  <w:marTop w:val="0"/>
                                                  <w:marBottom w:val="0"/>
                                                  <w:divBdr>
                                                    <w:top w:val="none" w:sz="0" w:space="0" w:color="auto"/>
                                                    <w:left w:val="none" w:sz="0" w:space="0" w:color="auto"/>
                                                    <w:bottom w:val="none" w:sz="0" w:space="0" w:color="auto"/>
                                                    <w:right w:val="none" w:sz="0" w:space="0" w:color="auto"/>
                                                  </w:divBdr>
                                                  <w:divsChild>
                                                    <w:div w:id="632370681">
                                                      <w:marLeft w:val="0"/>
                                                      <w:marRight w:val="0"/>
                                                      <w:marTop w:val="0"/>
                                                      <w:marBottom w:val="0"/>
                                                      <w:divBdr>
                                                        <w:top w:val="none" w:sz="0" w:space="0" w:color="auto"/>
                                                        <w:left w:val="none" w:sz="0" w:space="0" w:color="auto"/>
                                                        <w:bottom w:val="none" w:sz="0" w:space="0" w:color="auto"/>
                                                        <w:right w:val="none" w:sz="0" w:space="0" w:color="auto"/>
                                                      </w:divBdr>
                                                      <w:divsChild>
                                                        <w:div w:id="632370726">
                                                          <w:marLeft w:val="0"/>
                                                          <w:marRight w:val="0"/>
                                                          <w:marTop w:val="0"/>
                                                          <w:marBottom w:val="0"/>
                                                          <w:divBdr>
                                                            <w:top w:val="none" w:sz="0" w:space="0" w:color="auto"/>
                                                            <w:left w:val="none" w:sz="0" w:space="0" w:color="auto"/>
                                                            <w:bottom w:val="none" w:sz="0" w:space="0" w:color="auto"/>
                                                            <w:right w:val="none" w:sz="0" w:space="0" w:color="auto"/>
                                                          </w:divBdr>
                                                          <w:divsChild>
                                                            <w:div w:id="6323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370684">
      <w:marLeft w:val="0"/>
      <w:marRight w:val="0"/>
      <w:marTop w:val="0"/>
      <w:marBottom w:val="0"/>
      <w:divBdr>
        <w:top w:val="none" w:sz="0" w:space="0" w:color="auto"/>
        <w:left w:val="none" w:sz="0" w:space="0" w:color="auto"/>
        <w:bottom w:val="none" w:sz="0" w:space="0" w:color="auto"/>
        <w:right w:val="none" w:sz="0" w:space="0" w:color="auto"/>
      </w:divBdr>
      <w:divsChild>
        <w:div w:id="632370729">
          <w:marLeft w:val="0"/>
          <w:marRight w:val="0"/>
          <w:marTop w:val="0"/>
          <w:marBottom w:val="0"/>
          <w:divBdr>
            <w:top w:val="none" w:sz="0" w:space="0" w:color="auto"/>
            <w:left w:val="none" w:sz="0" w:space="0" w:color="auto"/>
            <w:bottom w:val="none" w:sz="0" w:space="0" w:color="auto"/>
            <w:right w:val="none" w:sz="0" w:space="0" w:color="auto"/>
          </w:divBdr>
          <w:divsChild>
            <w:div w:id="632370738">
              <w:marLeft w:val="0"/>
              <w:marRight w:val="0"/>
              <w:marTop w:val="0"/>
              <w:marBottom w:val="0"/>
              <w:divBdr>
                <w:top w:val="none" w:sz="0" w:space="0" w:color="auto"/>
                <w:left w:val="none" w:sz="0" w:space="0" w:color="auto"/>
                <w:bottom w:val="none" w:sz="0" w:space="0" w:color="auto"/>
                <w:right w:val="none" w:sz="0" w:space="0" w:color="auto"/>
              </w:divBdr>
              <w:divsChild>
                <w:div w:id="632370683">
                  <w:marLeft w:val="0"/>
                  <w:marRight w:val="0"/>
                  <w:marTop w:val="0"/>
                  <w:marBottom w:val="0"/>
                  <w:divBdr>
                    <w:top w:val="none" w:sz="0" w:space="0" w:color="auto"/>
                    <w:left w:val="none" w:sz="0" w:space="0" w:color="auto"/>
                    <w:bottom w:val="none" w:sz="0" w:space="0" w:color="auto"/>
                    <w:right w:val="none" w:sz="0" w:space="0" w:color="auto"/>
                  </w:divBdr>
                  <w:divsChild>
                    <w:div w:id="632370635">
                      <w:marLeft w:val="0"/>
                      <w:marRight w:val="0"/>
                      <w:marTop w:val="0"/>
                      <w:marBottom w:val="0"/>
                      <w:divBdr>
                        <w:top w:val="none" w:sz="0" w:space="0" w:color="auto"/>
                        <w:left w:val="none" w:sz="0" w:space="0" w:color="auto"/>
                        <w:bottom w:val="none" w:sz="0" w:space="0" w:color="auto"/>
                        <w:right w:val="none" w:sz="0" w:space="0" w:color="auto"/>
                      </w:divBdr>
                      <w:divsChild>
                        <w:div w:id="632370652">
                          <w:marLeft w:val="0"/>
                          <w:marRight w:val="0"/>
                          <w:marTop w:val="0"/>
                          <w:marBottom w:val="0"/>
                          <w:divBdr>
                            <w:top w:val="none" w:sz="0" w:space="0" w:color="auto"/>
                            <w:left w:val="none" w:sz="0" w:space="0" w:color="auto"/>
                            <w:bottom w:val="none" w:sz="0" w:space="0" w:color="auto"/>
                            <w:right w:val="none" w:sz="0" w:space="0" w:color="auto"/>
                          </w:divBdr>
                          <w:divsChild>
                            <w:div w:id="6323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0708">
      <w:marLeft w:val="0"/>
      <w:marRight w:val="0"/>
      <w:marTop w:val="0"/>
      <w:marBottom w:val="0"/>
      <w:divBdr>
        <w:top w:val="none" w:sz="0" w:space="0" w:color="auto"/>
        <w:left w:val="none" w:sz="0" w:space="0" w:color="auto"/>
        <w:bottom w:val="none" w:sz="0" w:space="0" w:color="auto"/>
        <w:right w:val="none" w:sz="0" w:space="0" w:color="auto"/>
      </w:divBdr>
    </w:div>
    <w:div w:id="632370712">
      <w:marLeft w:val="0"/>
      <w:marRight w:val="0"/>
      <w:marTop w:val="0"/>
      <w:marBottom w:val="0"/>
      <w:divBdr>
        <w:top w:val="none" w:sz="0" w:space="0" w:color="auto"/>
        <w:left w:val="none" w:sz="0" w:space="0" w:color="auto"/>
        <w:bottom w:val="none" w:sz="0" w:space="0" w:color="auto"/>
        <w:right w:val="none" w:sz="0" w:space="0" w:color="auto"/>
      </w:divBdr>
    </w:div>
    <w:div w:id="632370715">
      <w:marLeft w:val="0"/>
      <w:marRight w:val="0"/>
      <w:marTop w:val="0"/>
      <w:marBottom w:val="0"/>
      <w:divBdr>
        <w:top w:val="none" w:sz="0" w:space="0" w:color="auto"/>
        <w:left w:val="none" w:sz="0" w:space="0" w:color="auto"/>
        <w:bottom w:val="none" w:sz="0" w:space="0" w:color="auto"/>
        <w:right w:val="none" w:sz="0" w:space="0" w:color="auto"/>
      </w:divBdr>
    </w:div>
    <w:div w:id="632370717">
      <w:marLeft w:val="0"/>
      <w:marRight w:val="0"/>
      <w:marTop w:val="0"/>
      <w:marBottom w:val="0"/>
      <w:divBdr>
        <w:top w:val="none" w:sz="0" w:space="0" w:color="auto"/>
        <w:left w:val="none" w:sz="0" w:space="0" w:color="auto"/>
        <w:bottom w:val="none" w:sz="0" w:space="0" w:color="auto"/>
        <w:right w:val="none" w:sz="0" w:space="0" w:color="auto"/>
      </w:divBdr>
      <w:divsChild>
        <w:div w:id="632370655">
          <w:marLeft w:val="0"/>
          <w:marRight w:val="0"/>
          <w:marTop w:val="0"/>
          <w:marBottom w:val="0"/>
          <w:divBdr>
            <w:top w:val="none" w:sz="0" w:space="0" w:color="auto"/>
            <w:left w:val="none" w:sz="0" w:space="0" w:color="auto"/>
            <w:bottom w:val="none" w:sz="0" w:space="0" w:color="auto"/>
            <w:right w:val="none" w:sz="0" w:space="0" w:color="auto"/>
          </w:divBdr>
          <w:divsChild>
            <w:div w:id="632370620">
              <w:marLeft w:val="0"/>
              <w:marRight w:val="0"/>
              <w:marTop w:val="0"/>
              <w:marBottom w:val="0"/>
              <w:divBdr>
                <w:top w:val="none" w:sz="0" w:space="0" w:color="auto"/>
                <w:left w:val="none" w:sz="0" w:space="0" w:color="auto"/>
                <w:bottom w:val="none" w:sz="0" w:space="0" w:color="auto"/>
                <w:right w:val="none" w:sz="0" w:space="0" w:color="auto"/>
              </w:divBdr>
              <w:divsChild>
                <w:div w:id="632370642">
                  <w:marLeft w:val="0"/>
                  <w:marRight w:val="0"/>
                  <w:marTop w:val="0"/>
                  <w:marBottom w:val="0"/>
                  <w:divBdr>
                    <w:top w:val="none" w:sz="0" w:space="0" w:color="auto"/>
                    <w:left w:val="none" w:sz="0" w:space="0" w:color="auto"/>
                    <w:bottom w:val="none" w:sz="0" w:space="0" w:color="auto"/>
                    <w:right w:val="none" w:sz="0" w:space="0" w:color="auto"/>
                  </w:divBdr>
                  <w:divsChild>
                    <w:div w:id="632370690">
                      <w:marLeft w:val="0"/>
                      <w:marRight w:val="0"/>
                      <w:marTop w:val="0"/>
                      <w:marBottom w:val="0"/>
                      <w:divBdr>
                        <w:top w:val="none" w:sz="0" w:space="0" w:color="auto"/>
                        <w:left w:val="none" w:sz="0" w:space="0" w:color="auto"/>
                        <w:bottom w:val="none" w:sz="0" w:space="0" w:color="auto"/>
                        <w:right w:val="none" w:sz="0" w:space="0" w:color="auto"/>
                      </w:divBdr>
                      <w:divsChild>
                        <w:div w:id="632370711">
                          <w:marLeft w:val="0"/>
                          <w:marRight w:val="0"/>
                          <w:marTop w:val="0"/>
                          <w:marBottom w:val="0"/>
                          <w:divBdr>
                            <w:top w:val="none" w:sz="0" w:space="0" w:color="auto"/>
                            <w:left w:val="none" w:sz="0" w:space="0" w:color="auto"/>
                            <w:bottom w:val="none" w:sz="0" w:space="0" w:color="auto"/>
                            <w:right w:val="none" w:sz="0" w:space="0" w:color="auto"/>
                          </w:divBdr>
                          <w:divsChild>
                            <w:div w:id="6323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0724">
      <w:marLeft w:val="0"/>
      <w:marRight w:val="0"/>
      <w:marTop w:val="0"/>
      <w:marBottom w:val="0"/>
      <w:divBdr>
        <w:top w:val="none" w:sz="0" w:space="0" w:color="auto"/>
        <w:left w:val="none" w:sz="0" w:space="0" w:color="auto"/>
        <w:bottom w:val="none" w:sz="0" w:space="0" w:color="auto"/>
        <w:right w:val="none" w:sz="0" w:space="0" w:color="auto"/>
      </w:divBdr>
      <w:divsChild>
        <w:div w:id="632370657">
          <w:marLeft w:val="0"/>
          <w:marRight w:val="0"/>
          <w:marTop w:val="0"/>
          <w:marBottom w:val="0"/>
          <w:divBdr>
            <w:top w:val="none" w:sz="0" w:space="0" w:color="auto"/>
            <w:left w:val="none" w:sz="0" w:space="0" w:color="auto"/>
            <w:bottom w:val="none" w:sz="0" w:space="0" w:color="auto"/>
            <w:right w:val="none" w:sz="0" w:space="0" w:color="auto"/>
          </w:divBdr>
          <w:divsChild>
            <w:div w:id="632370623">
              <w:marLeft w:val="0"/>
              <w:marRight w:val="0"/>
              <w:marTop w:val="0"/>
              <w:marBottom w:val="0"/>
              <w:divBdr>
                <w:top w:val="none" w:sz="0" w:space="0" w:color="auto"/>
                <w:left w:val="none" w:sz="0" w:space="0" w:color="auto"/>
                <w:bottom w:val="none" w:sz="0" w:space="0" w:color="auto"/>
                <w:right w:val="none" w:sz="0" w:space="0" w:color="auto"/>
              </w:divBdr>
              <w:divsChild>
                <w:div w:id="632370607">
                  <w:marLeft w:val="0"/>
                  <w:marRight w:val="0"/>
                  <w:marTop w:val="0"/>
                  <w:marBottom w:val="0"/>
                  <w:divBdr>
                    <w:top w:val="none" w:sz="0" w:space="0" w:color="auto"/>
                    <w:left w:val="none" w:sz="0" w:space="0" w:color="auto"/>
                    <w:bottom w:val="none" w:sz="0" w:space="0" w:color="auto"/>
                    <w:right w:val="none" w:sz="0" w:space="0" w:color="auto"/>
                  </w:divBdr>
                  <w:divsChild>
                    <w:div w:id="632370703">
                      <w:marLeft w:val="0"/>
                      <w:marRight w:val="0"/>
                      <w:marTop w:val="0"/>
                      <w:marBottom w:val="0"/>
                      <w:divBdr>
                        <w:top w:val="none" w:sz="0" w:space="0" w:color="auto"/>
                        <w:left w:val="none" w:sz="0" w:space="0" w:color="auto"/>
                        <w:bottom w:val="none" w:sz="0" w:space="0" w:color="auto"/>
                        <w:right w:val="none" w:sz="0" w:space="0" w:color="auto"/>
                      </w:divBdr>
                      <w:divsChild>
                        <w:div w:id="632370658">
                          <w:marLeft w:val="0"/>
                          <w:marRight w:val="0"/>
                          <w:marTop w:val="0"/>
                          <w:marBottom w:val="0"/>
                          <w:divBdr>
                            <w:top w:val="none" w:sz="0" w:space="0" w:color="auto"/>
                            <w:left w:val="none" w:sz="0" w:space="0" w:color="auto"/>
                            <w:bottom w:val="none" w:sz="0" w:space="0" w:color="auto"/>
                            <w:right w:val="none" w:sz="0" w:space="0" w:color="auto"/>
                          </w:divBdr>
                          <w:divsChild>
                            <w:div w:id="632370644">
                              <w:marLeft w:val="0"/>
                              <w:marRight w:val="0"/>
                              <w:marTop w:val="0"/>
                              <w:marBottom w:val="0"/>
                              <w:divBdr>
                                <w:top w:val="none" w:sz="0" w:space="0" w:color="auto"/>
                                <w:left w:val="none" w:sz="0" w:space="0" w:color="auto"/>
                                <w:bottom w:val="none" w:sz="0" w:space="0" w:color="auto"/>
                                <w:right w:val="none" w:sz="0" w:space="0" w:color="auto"/>
                              </w:divBdr>
                              <w:divsChild>
                                <w:div w:id="632370713">
                                  <w:marLeft w:val="-225"/>
                                  <w:marRight w:val="-225"/>
                                  <w:marTop w:val="0"/>
                                  <w:marBottom w:val="0"/>
                                  <w:divBdr>
                                    <w:top w:val="none" w:sz="0" w:space="0" w:color="auto"/>
                                    <w:left w:val="none" w:sz="0" w:space="0" w:color="auto"/>
                                    <w:bottom w:val="none" w:sz="0" w:space="0" w:color="auto"/>
                                    <w:right w:val="none" w:sz="0" w:space="0" w:color="auto"/>
                                  </w:divBdr>
                                  <w:divsChild>
                                    <w:div w:id="632370606">
                                      <w:marLeft w:val="0"/>
                                      <w:marRight w:val="0"/>
                                      <w:marTop w:val="0"/>
                                      <w:marBottom w:val="0"/>
                                      <w:divBdr>
                                        <w:top w:val="none" w:sz="0" w:space="0" w:color="auto"/>
                                        <w:left w:val="none" w:sz="0" w:space="0" w:color="auto"/>
                                        <w:bottom w:val="none" w:sz="0" w:space="0" w:color="auto"/>
                                        <w:right w:val="none" w:sz="0" w:space="0" w:color="auto"/>
                                      </w:divBdr>
                                      <w:divsChild>
                                        <w:div w:id="632370662">
                                          <w:marLeft w:val="0"/>
                                          <w:marRight w:val="0"/>
                                          <w:marTop w:val="0"/>
                                          <w:marBottom w:val="0"/>
                                          <w:divBdr>
                                            <w:top w:val="none" w:sz="0" w:space="0" w:color="auto"/>
                                            <w:left w:val="none" w:sz="0" w:space="0" w:color="auto"/>
                                            <w:bottom w:val="none" w:sz="0" w:space="0" w:color="auto"/>
                                            <w:right w:val="none" w:sz="0" w:space="0" w:color="auto"/>
                                          </w:divBdr>
                                          <w:divsChild>
                                            <w:div w:id="632370603">
                                              <w:marLeft w:val="0"/>
                                              <w:marRight w:val="0"/>
                                              <w:marTop w:val="0"/>
                                              <w:marBottom w:val="0"/>
                                              <w:divBdr>
                                                <w:top w:val="single" w:sz="6" w:space="0" w:color="EEEEEE"/>
                                                <w:left w:val="single" w:sz="6" w:space="0" w:color="EEEEEE"/>
                                                <w:bottom w:val="single" w:sz="6" w:space="0" w:color="EEEEEE"/>
                                                <w:right w:val="single" w:sz="6" w:space="0" w:color="EEEEEE"/>
                                              </w:divBdr>
                                              <w:divsChild>
                                                <w:div w:id="632370629">
                                                  <w:marLeft w:val="0"/>
                                                  <w:marRight w:val="0"/>
                                                  <w:marTop w:val="0"/>
                                                  <w:marBottom w:val="0"/>
                                                  <w:divBdr>
                                                    <w:top w:val="none" w:sz="0" w:space="0" w:color="auto"/>
                                                    <w:left w:val="none" w:sz="0" w:space="0" w:color="auto"/>
                                                    <w:bottom w:val="none" w:sz="0" w:space="0" w:color="auto"/>
                                                    <w:right w:val="none" w:sz="0" w:space="0" w:color="auto"/>
                                                  </w:divBdr>
                                                  <w:divsChild>
                                                    <w:div w:id="632370677">
                                                      <w:marLeft w:val="0"/>
                                                      <w:marRight w:val="0"/>
                                                      <w:marTop w:val="0"/>
                                                      <w:marBottom w:val="0"/>
                                                      <w:divBdr>
                                                        <w:top w:val="none" w:sz="0" w:space="0" w:color="auto"/>
                                                        <w:left w:val="none" w:sz="0" w:space="0" w:color="auto"/>
                                                        <w:bottom w:val="none" w:sz="0" w:space="0" w:color="auto"/>
                                                        <w:right w:val="none" w:sz="0" w:space="0" w:color="auto"/>
                                                      </w:divBdr>
                                                      <w:divsChild>
                                                        <w:div w:id="632370686">
                                                          <w:marLeft w:val="0"/>
                                                          <w:marRight w:val="0"/>
                                                          <w:marTop w:val="0"/>
                                                          <w:marBottom w:val="0"/>
                                                          <w:divBdr>
                                                            <w:top w:val="none" w:sz="0" w:space="0" w:color="auto"/>
                                                            <w:left w:val="none" w:sz="0" w:space="0" w:color="auto"/>
                                                            <w:bottom w:val="none" w:sz="0" w:space="0" w:color="auto"/>
                                                            <w:right w:val="none" w:sz="0" w:space="0" w:color="auto"/>
                                                          </w:divBdr>
                                                          <w:divsChild>
                                                            <w:div w:id="632370609">
                                                              <w:marLeft w:val="0"/>
                                                              <w:marRight w:val="0"/>
                                                              <w:marTop w:val="0"/>
                                                              <w:marBottom w:val="0"/>
                                                              <w:divBdr>
                                                                <w:top w:val="none" w:sz="0" w:space="0" w:color="auto"/>
                                                                <w:left w:val="none" w:sz="0" w:space="0" w:color="auto"/>
                                                                <w:bottom w:val="none" w:sz="0" w:space="0" w:color="auto"/>
                                                                <w:right w:val="none" w:sz="0" w:space="0" w:color="auto"/>
                                                              </w:divBdr>
                                                              <w:divsChild>
                                                                <w:div w:id="632370680">
                                                                  <w:marLeft w:val="0"/>
                                                                  <w:marRight w:val="0"/>
                                                                  <w:marTop w:val="0"/>
                                                                  <w:marBottom w:val="0"/>
                                                                  <w:divBdr>
                                                                    <w:top w:val="none" w:sz="0" w:space="0" w:color="auto"/>
                                                                    <w:left w:val="none" w:sz="0" w:space="0" w:color="auto"/>
                                                                    <w:bottom w:val="none" w:sz="0" w:space="0" w:color="auto"/>
                                                                    <w:right w:val="none" w:sz="0" w:space="0" w:color="auto"/>
                                                                  </w:divBdr>
                                                                  <w:divsChild>
                                                                    <w:div w:id="632370667">
                                                                      <w:marLeft w:val="0"/>
                                                                      <w:marRight w:val="0"/>
                                                                      <w:marTop w:val="0"/>
                                                                      <w:marBottom w:val="0"/>
                                                                      <w:divBdr>
                                                                        <w:top w:val="none" w:sz="0" w:space="0" w:color="auto"/>
                                                                        <w:left w:val="none" w:sz="0" w:space="0" w:color="auto"/>
                                                                        <w:bottom w:val="none" w:sz="0" w:space="0" w:color="auto"/>
                                                                        <w:right w:val="none" w:sz="0" w:space="0" w:color="auto"/>
                                                                      </w:divBdr>
                                                                      <w:divsChild>
                                                                        <w:div w:id="632370695">
                                                                          <w:marLeft w:val="0"/>
                                                                          <w:marRight w:val="0"/>
                                                                          <w:marTop w:val="0"/>
                                                                          <w:marBottom w:val="0"/>
                                                                          <w:divBdr>
                                                                            <w:top w:val="none" w:sz="0" w:space="0" w:color="auto"/>
                                                                            <w:left w:val="none" w:sz="0" w:space="0" w:color="auto"/>
                                                                            <w:bottom w:val="none" w:sz="0" w:space="0" w:color="auto"/>
                                                                            <w:right w:val="none" w:sz="0" w:space="0" w:color="auto"/>
                                                                          </w:divBdr>
                                                                          <w:divsChild>
                                                                            <w:div w:id="632370646">
                                                                              <w:marLeft w:val="0"/>
                                                                              <w:marRight w:val="0"/>
                                                                              <w:marTop w:val="0"/>
                                                                              <w:marBottom w:val="0"/>
                                                                              <w:divBdr>
                                                                                <w:top w:val="none" w:sz="0" w:space="0" w:color="auto"/>
                                                                                <w:left w:val="none" w:sz="0" w:space="0" w:color="auto"/>
                                                                                <w:bottom w:val="none" w:sz="0" w:space="0" w:color="auto"/>
                                                                                <w:right w:val="none" w:sz="0" w:space="0" w:color="auto"/>
                                                                              </w:divBdr>
                                                                              <w:divsChild>
                                                                                <w:div w:id="632370692">
                                                                                  <w:marLeft w:val="0"/>
                                                                                  <w:marRight w:val="0"/>
                                                                                  <w:marTop w:val="0"/>
                                                                                  <w:marBottom w:val="0"/>
                                                                                  <w:divBdr>
                                                                                    <w:top w:val="none" w:sz="0" w:space="0" w:color="auto"/>
                                                                                    <w:left w:val="none" w:sz="0" w:space="0" w:color="auto"/>
                                                                                    <w:bottom w:val="none" w:sz="0" w:space="0" w:color="auto"/>
                                                                                    <w:right w:val="none" w:sz="0" w:space="0" w:color="auto"/>
                                                                                  </w:divBdr>
                                                                                  <w:divsChild>
                                                                                    <w:div w:id="6323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370730">
      <w:marLeft w:val="0"/>
      <w:marRight w:val="0"/>
      <w:marTop w:val="0"/>
      <w:marBottom w:val="0"/>
      <w:divBdr>
        <w:top w:val="none" w:sz="0" w:space="0" w:color="auto"/>
        <w:left w:val="none" w:sz="0" w:space="0" w:color="auto"/>
        <w:bottom w:val="none" w:sz="0" w:space="0" w:color="auto"/>
        <w:right w:val="none" w:sz="0" w:space="0" w:color="auto"/>
      </w:divBdr>
      <w:divsChild>
        <w:div w:id="632370637">
          <w:marLeft w:val="0"/>
          <w:marRight w:val="0"/>
          <w:marTop w:val="0"/>
          <w:marBottom w:val="0"/>
          <w:divBdr>
            <w:top w:val="none" w:sz="0" w:space="0" w:color="auto"/>
            <w:left w:val="none" w:sz="0" w:space="0" w:color="auto"/>
            <w:bottom w:val="none" w:sz="0" w:space="0" w:color="auto"/>
            <w:right w:val="none" w:sz="0" w:space="0" w:color="auto"/>
          </w:divBdr>
          <w:divsChild>
            <w:div w:id="632370675">
              <w:marLeft w:val="0"/>
              <w:marRight w:val="0"/>
              <w:marTop w:val="0"/>
              <w:marBottom w:val="0"/>
              <w:divBdr>
                <w:top w:val="none" w:sz="0" w:space="0" w:color="auto"/>
                <w:left w:val="none" w:sz="0" w:space="0" w:color="auto"/>
                <w:bottom w:val="none" w:sz="0" w:space="0" w:color="auto"/>
                <w:right w:val="none" w:sz="0" w:space="0" w:color="auto"/>
              </w:divBdr>
              <w:divsChild>
                <w:div w:id="632370704">
                  <w:marLeft w:val="0"/>
                  <w:marRight w:val="0"/>
                  <w:marTop w:val="0"/>
                  <w:marBottom w:val="0"/>
                  <w:divBdr>
                    <w:top w:val="none" w:sz="0" w:space="0" w:color="auto"/>
                    <w:left w:val="none" w:sz="0" w:space="0" w:color="auto"/>
                    <w:bottom w:val="none" w:sz="0" w:space="0" w:color="auto"/>
                    <w:right w:val="none" w:sz="0" w:space="0" w:color="auto"/>
                  </w:divBdr>
                  <w:divsChild>
                    <w:div w:id="632370651">
                      <w:marLeft w:val="0"/>
                      <w:marRight w:val="0"/>
                      <w:marTop w:val="0"/>
                      <w:marBottom w:val="0"/>
                      <w:divBdr>
                        <w:top w:val="none" w:sz="0" w:space="0" w:color="auto"/>
                        <w:left w:val="none" w:sz="0" w:space="0" w:color="auto"/>
                        <w:bottom w:val="none" w:sz="0" w:space="0" w:color="auto"/>
                        <w:right w:val="none" w:sz="0" w:space="0" w:color="auto"/>
                      </w:divBdr>
                      <w:divsChild>
                        <w:div w:id="632370698">
                          <w:marLeft w:val="0"/>
                          <w:marRight w:val="0"/>
                          <w:marTop w:val="0"/>
                          <w:marBottom w:val="0"/>
                          <w:divBdr>
                            <w:top w:val="none" w:sz="0" w:space="0" w:color="auto"/>
                            <w:left w:val="none" w:sz="0" w:space="0" w:color="auto"/>
                            <w:bottom w:val="none" w:sz="0" w:space="0" w:color="auto"/>
                            <w:right w:val="none" w:sz="0" w:space="0" w:color="auto"/>
                          </w:divBdr>
                          <w:divsChild>
                            <w:div w:id="6323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0732">
      <w:marLeft w:val="0"/>
      <w:marRight w:val="0"/>
      <w:marTop w:val="0"/>
      <w:marBottom w:val="0"/>
      <w:divBdr>
        <w:top w:val="none" w:sz="0" w:space="0" w:color="auto"/>
        <w:left w:val="none" w:sz="0" w:space="0" w:color="auto"/>
        <w:bottom w:val="none" w:sz="0" w:space="0" w:color="auto"/>
        <w:right w:val="none" w:sz="0" w:space="0" w:color="auto"/>
      </w:divBdr>
      <w:divsChild>
        <w:div w:id="6323706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32370740">
      <w:marLeft w:val="0"/>
      <w:marRight w:val="0"/>
      <w:marTop w:val="0"/>
      <w:marBottom w:val="0"/>
      <w:divBdr>
        <w:top w:val="none" w:sz="0" w:space="0" w:color="auto"/>
        <w:left w:val="none" w:sz="0" w:space="0" w:color="auto"/>
        <w:bottom w:val="none" w:sz="0" w:space="0" w:color="auto"/>
        <w:right w:val="none" w:sz="0" w:space="0" w:color="auto"/>
      </w:divBdr>
      <w:divsChild>
        <w:div w:id="632370688">
          <w:marLeft w:val="0"/>
          <w:marRight w:val="0"/>
          <w:marTop w:val="0"/>
          <w:marBottom w:val="0"/>
          <w:divBdr>
            <w:top w:val="none" w:sz="0" w:space="0" w:color="auto"/>
            <w:left w:val="none" w:sz="0" w:space="0" w:color="auto"/>
            <w:bottom w:val="none" w:sz="0" w:space="0" w:color="auto"/>
            <w:right w:val="none" w:sz="0" w:space="0" w:color="auto"/>
          </w:divBdr>
          <w:divsChild>
            <w:div w:id="632370649">
              <w:marLeft w:val="0"/>
              <w:marRight w:val="0"/>
              <w:marTop w:val="0"/>
              <w:marBottom w:val="0"/>
              <w:divBdr>
                <w:top w:val="none" w:sz="0" w:space="0" w:color="auto"/>
                <w:left w:val="none" w:sz="0" w:space="0" w:color="auto"/>
                <w:bottom w:val="none" w:sz="0" w:space="0" w:color="auto"/>
                <w:right w:val="none" w:sz="0" w:space="0" w:color="auto"/>
              </w:divBdr>
              <w:divsChild>
                <w:div w:id="632370737">
                  <w:marLeft w:val="0"/>
                  <w:marRight w:val="0"/>
                  <w:marTop w:val="0"/>
                  <w:marBottom w:val="0"/>
                  <w:divBdr>
                    <w:top w:val="none" w:sz="0" w:space="0" w:color="auto"/>
                    <w:left w:val="none" w:sz="0" w:space="0" w:color="auto"/>
                    <w:bottom w:val="none" w:sz="0" w:space="0" w:color="auto"/>
                    <w:right w:val="none" w:sz="0" w:space="0" w:color="auto"/>
                  </w:divBdr>
                  <w:divsChild>
                    <w:div w:id="632370685">
                      <w:marLeft w:val="0"/>
                      <w:marRight w:val="0"/>
                      <w:marTop w:val="0"/>
                      <w:marBottom w:val="0"/>
                      <w:divBdr>
                        <w:top w:val="none" w:sz="0" w:space="0" w:color="auto"/>
                        <w:left w:val="none" w:sz="0" w:space="0" w:color="auto"/>
                        <w:bottom w:val="none" w:sz="0" w:space="0" w:color="auto"/>
                        <w:right w:val="none" w:sz="0" w:space="0" w:color="auto"/>
                      </w:divBdr>
                      <w:divsChild>
                        <w:div w:id="632370697">
                          <w:marLeft w:val="0"/>
                          <w:marRight w:val="0"/>
                          <w:marTop w:val="0"/>
                          <w:marBottom w:val="0"/>
                          <w:divBdr>
                            <w:top w:val="none" w:sz="0" w:space="0" w:color="auto"/>
                            <w:left w:val="none" w:sz="0" w:space="0" w:color="auto"/>
                            <w:bottom w:val="none" w:sz="0" w:space="0" w:color="auto"/>
                            <w:right w:val="none" w:sz="0" w:space="0" w:color="auto"/>
                          </w:divBdr>
                          <w:divsChild>
                            <w:div w:id="6323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0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5340</Words>
  <Characters>32044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2021-08-23T13:32:00Z</dcterms:created>
  <dcterms:modified xsi:type="dcterms:W3CDTF">2021-08-23T13:32:00Z</dcterms:modified>
</cp:coreProperties>
</file>